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80"/>
        <w:jc w:val="both"/>
        <w:rPr/>
      </w:pPr>
      <w:r>
        <w:rPr>
          <w:color w:val="000000"/>
        </w:rPr>
        <w:t>☑     </w:t>
      </w:r>
      <w:r>
        <w:rPr>
          <w:rFonts w:ascii="Times New Roman;serif" w:hAnsi="Times New Roman;serif"/>
          <w:b/>
          <w:color w:val="000000"/>
          <w:sz w:val="27"/>
        </w:rPr>
        <w:t>QUARTERLY REPORT PURSUANT TO SECTION 13 OR 15(d) OF THE SECURITIES EXCHANGE ACT OF 1934</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For the quarterly period ended June 30, 2026</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88" w:before="0" w:after="80"/>
        <w:jc w:val="both"/>
        <w:rPr/>
      </w:pPr>
      <w:r>
        <w:rPr>
          <w:color w:val="000000"/>
        </w:rPr>
        <w:t>☐     </w:t>
      </w:r>
      <w:r>
        <w:rPr>
          <w:rFonts w:ascii="Times New Roman;serif" w:hAnsi="Times New Roman;serif"/>
          <w:b/>
          <w:color w:val="000000"/>
          <w:sz w:val="27"/>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transition period from __ to __</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Commission File Number 001-08106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before="80" w:after="283"/>
        <w:jc w:val="center"/>
        <w:rPr/>
      </w:pPr>
      <w:r>
        <w:rPr/>
        <w:drawing>
          <wp:inline distT="0" distB="0" distL="0" distR="0">
            <wp:extent cx="108585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2095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MasTec, Inc.</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tbl>
      <w:tblPr>
        <w:tblW w:w="6415" w:type="dxa"/>
        <w:jc w:val="center"/>
        <w:tblInd w:w="0" w:type="dxa"/>
        <w:tblLayout w:type="fixed"/>
        <w:tblCellMar>
          <w:top w:w="28" w:type="dxa"/>
          <w:left w:w="28" w:type="dxa"/>
          <w:bottom w:w="28" w:type="dxa"/>
          <w:right w:w="28" w:type="dxa"/>
        </w:tblCellMar>
      </w:tblPr>
      <w:tblGrid>
        <w:gridCol w:w="734"/>
        <w:gridCol w:w="645"/>
        <w:gridCol w:w="645"/>
        <w:gridCol w:w="645"/>
        <w:gridCol w:w="645"/>
        <w:gridCol w:w="657"/>
        <w:gridCol w:w="714"/>
        <w:gridCol w:w="714"/>
        <w:gridCol w:w="1016"/>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65-0829355</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(State or other jurisdiction of incorporation or organization)</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(I.R.S. Employer Identification No.)</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800 S. Douglas Road, 12th Floor</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Coral Gables,</w:t>
            </w:r>
          </w:p>
        </w:tc>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33134</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(Address of principal executive offices)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(305) 599-1800</w:t>
      </w:r>
    </w:p>
    <w:p>
      <w:pPr>
        <w:pStyle w:val="TextBody"/>
        <w:bidi w:val="0"/>
        <w:spacing w:lineRule="auto" w:line="288" w:before="0" w:after="10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6868" w:type="dxa"/>
        <w:jc w:val="center"/>
        <w:tblInd w:w="0" w:type="dxa"/>
        <w:tblLayout w:type="fixed"/>
        <w:tblCellMar>
          <w:top w:w="28" w:type="dxa"/>
          <w:left w:w="28" w:type="dxa"/>
          <w:bottom w:w="28" w:type="dxa"/>
          <w:right w:w="28" w:type="dxa"/>
        </w:tblCellMar>
      </w:tblPr>
      <w:tblGrid>
        <w:gridCol w:w="948"/>
        <w:gridCol w:w="835"/>
        <w:gridCol w:w="841"/>
        <w:gridCol w:w="434"/>
        <w:gridCol w:w="434"/>
        <w:gridCol w:w="436"/>
        <w:gridCol w:w="860"/>
        <w:gridCol w:w="860"/>
        <w:gridCol w:w="1220"/>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Title of each class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u w:val="single"/>
              </w:rPr>
            </w:pPr>
            <w:r>
              <w:rPr>
                <w:rFonts w:ascii="Times New Roman;serif" w:hAnsi="Times New Roman;serif"/>
                <w:b/>
                <w:color w:val="000000"/>
                <w:sz w:val="15"/>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$0.10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MTZ</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60" w:after="283"/>
        <w:jc w:val="both"/>
        <w:rPr/>
      </w:pPr>
      <w:r>
        <w:rPr>
          <w:color w:val="000000"/>
        </w:rPr>
        <w:t>    </w:t>
      </w: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color w:val="000000"/>
        </w:rPr>
        <w:t>    </w:t>
      </w: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bl>
    <w:p>
      <w:pPr>
        <w:pStyle w:val="TextBody"/>
        <w:bidi w:val="0"/>
        <w:spacing w:lineRule="auto" w:line="288" w:before="120" w:after="283"/>
        <w:jc w:val="left"/>
        <w:rPr/>
      </w:pPr>
      <w:r>
        <w:rPr>
          <w:color w:val="000000"/>
        </w:rPr>
        <w:t>    </w:t>
      </w: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color w:val="000000"/>
        </w:rPr>
        <w:t>    </w:t>
      </w:r>
      <w:r>
        <w:rPr>
          <w:rFonts w:ascii="Times New Roman;serif" w:hAnsi="Times New Roman;serif"/>
          <w:b w:val="false"/>
          <w:color w:val="000000"/>
          <w:sz w:val="18"/>
        </w:rPr>
        <w:t>Indicate by check mark whether the registrant is a shell company (as defined in Rule 12b-2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18"/>
        </w:rPr>
        <w:t>As of July 27, 2026, MasTec, Inc. had 80,304,948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QUARTER ENDED JUNE 30, 2026</w:t>
      </w:r>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9017" w:type="dxa"/>
        <w:jc w:val="center"/>
        <w:tblInd w:w="0" w:type="dxa"/>
        <w:tblLayout w:type="fixed"/>
        <w:tblCellMar>
          <w:top w:w="28" w:type="dxa"/>
          <w:left w:w="28" w:type="dxa"/>
          <w:bottom w:w="28" w:type="dxa"/>
          <w:right w:w="28" w:type="dxa"/>
        </w:tblCellMar>
      </w:tblPr>
      <w:tblGrid>
        <w:gridCol w:w="362"/>
        <w:gridCol w:w="319"/>
        <w:gridCol w:w="319"/>
        <w:gridCol w:w="677"/>
        <w:gridCol w:w="677"/>
        <w:gridCol w:w="677"/>
        <w:gridCol w:w="1816"/>
        <w:gridCol w:w="1816"/>
        <w:gridCol w:w="1858"/>
        <w:gridCol w:w="145"/>
        <w:gridCol w:w="145"/>
        <w:gridCol w:w="206"/>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5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852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0">
              <w:r>
                <w:rPr>
                  <w:rStyle w:val="InternetLink"/>
                  <w:rFonts w:ascii="Times New Roman;serif" w:hAnsi="Times New Roman;serif"/>
                  <w:b w:val="false"/>
                  <w:color w:val="0000FF"/>
                  <w:sz w:val="18"/>
                  <w:u w:val="single"/>
                </w:rPr>
                <w:t>Part I. FINANCIAL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0">
              <w:r>
                <w:rPr>
                  <w:rStyle w:val="InternetLink"/>
                  <w:rFonts w:ascii="Times New Roman;serif" w:hAnsi="Times New Roman;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
              <w:r>
                <w:rPr>
                  <w:rStyle w:val="InternetLink"/>
                  <w:rFonts w:ascii="Times New Roman;serif" w:hAnsi="Times New Roman;serif"/>
                  <w:b w:val="false"/>
                  <w:color w:val="0000FF"/>
                  <w:sz w:val="18"/>
                  <w:u w:val="single"/>
                </w:rPr>
                <w:t>Item 1</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
              <w:r>
                <w:rPr>
                  <w:rStyle w:val="InternetLink"/>
                  <w:rFonts w:ascii="Times New Roman;serif" w:hAnsi="Times New Roman;serif"/>
                  <w:b w:val="false"/>
                  <w:color w:val="0000FF"/>
                  <w:sz w:val="18"/>
                  <w:u w:val="single"/>
                </w:rPr>
                <w:t>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3">
              <w:r>
                <w:rPr>
                  <w:rStyle w:val="InternetLink"/>
                  <w:rFonts w:ascii="Times New Roman;serif" w:hAnsi="Times New Roman;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6">
              <w:r>
                <w:rPr>
                  <w:rStyle w:val="InternetLink"/>
                  <w:rFonts w:ascii="Times New Roman;serif" w:hAnsi="Times New Roman;serif"/>
                  <w:b w:val="false"/>
                  <w:color w:val="0000FF"/>
                  <w:sz w:val="18"/>
                  <w:u w:val="single"/>
                </w:rPr>
                <w:t>Consolidated Statements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6">
              <w:r>
                <w:rPr>
                  <w:rStyle w:val="InternetLink"/>
                  <w:rFonts w:ascii="Times New Roman;serif" w:hAnsi="Times New Roman;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9">
              <w:r>
                <w:rPr>
                  <w:rStyle w:val="InternetLink"/>
                  <w:rFonts w:ascii="Times New Roman;serif" w:hAnsi="Times New Roman;serif"/>
                  <w:b w:val="false"/>
                  <w:color w:val="0000FF"/>
                  <w:sz w:val="18"/>
                  <w:u w:val="single"/>
                </w:rPr>
                <w:t>Consolidated Statements of Comprehensive Income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9">
              <w:r>
                <w:rPr>
                  <w:rStyle w:val="InternetLink"/>
                  <w:rFonts w:ascii="Times New Roman;serif" w:hAnsi="Times New Roman;serif"/>
                  <w:b w:val="false"/>
                  <w:color w:val="0000FF"/>
                  <w:sz w:val="18"/>
                  <w:u w:val="single"/>
                </w:rPr>
                <w:t>4</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22">
              <w:r>
                <w:rPr>
                  <w:rStyle w:val="InternetLink"/>
                  <w:rFonts w:ascii="Times New Roman;serif" w:hAnsi="Times New Roman;serif"/>
                  <w:b w:val="false"/>
                  <w:color w:val="0000FF"/>
                  <w:sz w:val="18"/>
                  <w:u w:val="single"/>
                </w:rPr>
                <w:t>Consolidated Balance Sheets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22">
              <w:r>
                <w:rPr>
                  <w:rStyle w:val="InternetLink"/>
                  <w:rFonts w:ascii="Times New Roman;serif" w:hAnsi="Times New Roman;serif"/>
                  <w:b w:val="false"/>
                  <w:color w:val="0000FF"/>
                  <w:sz w:val="18"/>
                  <w:u w:val="single"/>
                </w:rPr>
                <w:t>5</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25">
              <w:r>
                <w:rPr>
                  <w:rStyle w:val="InternetLink"/>
                  <w:rFonts w:ascii="Times New Roman;serif" w:hAnsi="Times New Roman;serif"/>
                  <w:b w:val="false"/>
                  <w:color w:val="0000FF"/>
                  <w:sz w:val="18"/>
                  <w:u w:val="single"/>
                </w:rPr>
                <w:t>Consolidated Statements of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25">
              <w:r>
                <w:rPr>
                  <w:rStyle w:val="InternetLink"/>
                  <w:rFonts w:ascii="Times New Roman;serif" w:hAnsi="Times New Roman;serif"/>
                  <w:b w:val="false"/>
                  <w:color w:val="0000FF"/>
                  <w:sz w:val="18"/>
                  <w:u w:val="single"/>
                </w:rPr>
                <w:t>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31">
              <w:r>
                <w:rPr>
                  <w:rStyle w:val="InternetLink"/>
                  <w:rFonts w:ascii="Times New Roman;serif" w:hAnsi="Times New Roman;serif"/>
                  <w:b w:val="false"/>
                  <w:color w:val="0000FF"/>
                  <w:sz w:val="18"/>
                  <w:u w:val="single"/>
                </w:rPr>
                <w:t>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31">
              <w:r>
                <w:rPr>
                  <w:rStyle w:val="InternetLink"/>
                  <w:rFonts w:ascii="Times New Roman;serif" w:hAnsi="Times New Roman;serif"/>
                  <w:b w:val="false"/>
                  <w:color w:val="0000FF"/>
                  <w:sz w:val="18"/>
                  <w:u w:val="single"/>
                </w:rPr>
                <w:t>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34">
              <w:r>
                <w:rPr>
                  <w:rStyle w:val="InternetLink"/>
                  <w:rFonts w:ascii="Times New Roman;serif" w:hAnsi="Times New Roman;serif"/>
                  <w:b w:val="false"/>
                  <w:color w:val="0000FF"/>
                  <w:sz w:val="18"/>
                  <w:u w:val="single"/>
                </w:rPr>
                <w:t>Notes to Consolidated 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34">
              <w:r>
                <w:rPr>
                  <w:rStyle w:val="InternetLink"/>
                  <w:rFonts w:ascii="Times New Roman;serif" w:hAnsi="Times New Roman;serif"/>
                  <w:b w:val="false"/>
                  <w:color w:val="0000FF"/>
                  <w:sz w:val="18"/>
                  <w:u w:val="single"/>
                </w:rPr>
                <w:t>9</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37">
              <w:r>
                <w:rPr>
                  <w:rStyle w:val="InternetLink"/>
                  <w:rFonts w:ascii="Times New Roman;serif" w:hAnsi="Times New Roman;serif"/>
                  <w:b w:val="false"/>
                  <w:color w:val="0000FF"/>
                  <w:sz w:val="18"/>
                  <w:u w:val="single"/>
                </w:rPr>
                <w:t>Business, Basis of Presentation and Significant Accounting Policies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37">
              <w:r>
                <w:rPr>
                  <w:rStyle w:val="InternetLink"/>
                  <w:rFonts w:ascii="Times New Roman;serif" w:hAnsi="Times New Roman;serif"/>
                  <w:b w:val="false"/>
                  <w:color w:val="0000FF"/>
                  <w:sz w:val="18"/>
                  <w:u w:val="single"/>
                </w:rPr>
                <w:t>9</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2.</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43">
              <w:r>
                <w:rPr>
                  <w:rStyle w:val="InternetLink"/>
                  <w:rFonts w:ascii="Times New Roman;serif" w:hAnsi="Times New Roman;serif"/>
                  <w:b w:val="false"/>
                  <w:color w:val="0000FF"/>
                  <w:sz w:val="18"/>
                  <w:u w:val="single"/>
                </w:rPr>
                <w:t>Earnings Per Share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43">
              <w:r>
                <w:rPr>
                  <w:rStyle w:val="InternetLink"/>
                  <w:rFonts w:ascii="Times New Roman;serif" w:hAnsi="Times New Roman;serif"/>
                  <w:b w:val="false"/>
                  <w:color w:val="0000FF"/>
                  <w:sz w:val="18"/>
                  <w:u w:val="single"/>
                </w:rPr>
                <w:t>12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3.</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46">
              <w:r>
                <w:rPr>
                  <w:rStyle w:val="InternetLink"/>
                  <w:rFonts w:ascii="Times New Roman;serif" w:hAnsi="Times New Roman;serif"/>
                  <w:b w:val="false"/>
                  <w:color w:val="0000FF"/>
                  <w:sz w:val="18"/>
                  <w:u w:val="single"/>
                </w:rPr>
                <w:t>Acquisitions, Goodwill and Other Intangible Assets, Net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46">
              <w:r>
                <w:rPr>
                  <w:rStyle w:val="InternetLink"/>
                  <w:rFonts w:ascii="Times New Roman;serif" w:hAnsi="Times New Roman;serif"/>
                  <w:b w:val="false"/>
                  <w:color w:val="0000FF"/>
                  <w:sz w:val="18"/>
                  <w:u w:val="single"/>
                </w:rPr>
                <w:t>12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4.</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49">
              <w:r>
                <w:rPr>
                  <w:rStyle w:val="InternetLink"/>
                  <w:rFonts w:ascii="Times New Roman;serif" w:hAnsi="Times New Roman;serif"/>
                  <w:b w:val="false"/>
                  <w:color w:val="0000FF"/>
                  <w:sz w:val="18"/>
                  <w:u w:val="single"/>
                </w:rPr>
                <w:t>Fair Value of Financial Instruments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49">
              <w:r>
                <w:rPr>
                  <w:rStyle w:val="InternetLink"/>
                  <w:rFonts w:ascii="Times New Roman;serif" w:hAnsi="Times New Roman;serif"/>
                  <w:b w:val="false"/>
                  <w:color w:val="0000FF"/>
                  <w:sz w:val="18"/>
                  <w:u w:val="single"/>
                </w:rPr>
                <w:t>16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5.</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52">
              <w:r>
                <w:rPr>
                  <w:rStyle w:val="InternetLink"/>
                  <w:rFonts w:ascii="Times New Roman;serif" w:hAnsi="Times New Roman;serif"/>
                  <w:b w:val="false"/>
                  <w:color w:val="0000FF"/>
                  <w:sz w:val="18"/>
                  <w:u w:val="single"/>
                </w:rPr>
                <w:t>Accounts Receivable, Net of Allowance, and Contract Assets and Liabilities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52">
              <w:r>
                <w:rPr>
                  <w:rStyle w:val="InternetLink"/>
                  <w:rFonts w:ascii="Times New Roman;serif" w:hAnsi="Times New Roman;serif"/>
                  <w:b w:val="false"/>
                  <w:color w:val="0000FF"/>
                  <w:sz w:val="18"/>
                  <w:u w:val="single"/>
                </w:rPr>
                <w:t>17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6.</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55">
              <w:r>
                <w:rPr>
                  <w:rStyle w:val="InternetLink"/>
                  <w:rFonts w:ascii="Times New Roman;serif" w:hAnsi="Times New Roman;serif"/>
                  <w:b w:val="false"/>
                  <w:color w:val="0000FF"/>
                  <w:sz w:val="18"/>
                  <w:u w:val="single"/>
                </w:rPr>
                <w:t>Property and Equipment, Net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55">
              <w:r>
                <w:rPr>
                  <w:rStyle w:val="InternetLink"/>
                  <w:rFonts w:ascii="Times New Roman;serif" w:hAnsi="Times New Roman;serif"/>
                  <w:b w:val="false"/>
                  <w:color w:val="0000FF"/>
                  <w:sz w:val="18"/>
                  <w:u w:val="single"/>
                </w:rPr>
                <w:t>18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7.</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58">
              <w:r>
                <w:rPr>
                  <w:rStyle w:val="InternetLink"/>
                  <w:rFonts w:ascii="Times New Roman;serif" w:hAnsi="Times New Roman;serif"/>
                  <w:b w:val="false"/>
                  <w:color w:val="0000FF"/>
                  <w:sz w:val="18"/>
                  <w:u w:val="single"/>
                </w:rPr>
                <w:t>Other Accrued Expenses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58">
              <w:r>
                <w:rPr>
                  <w:rStyle w:val="InternetLink"/>
                  <w:rFonts w:ascii="Times New Roman;serif" w:hAnsi="Times New Roman;serif"/>
                  <w:b w:val="false"/>
                  <w:color w:val="0000FF"/>
                  <w:sz w:val="18"/>
                  <w:u w:val="single"/>
                </w:rPr>
                <w:t>19</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8.</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61">
              <w:r>
                <w:rPr>
                  <w:rStyle w:val="InternetLink"/>
                  <w:rFonts w:ascii="Times New Roman;serif" w:hAnsi="Times New Roman;serif"/>
                  <w:b w:val="false"/>
                  <w:color w:val="0000FF"/>
                  <w:sz w:val="18"/>
                  <w:u w:val="single"/>
                </w:rPr>
                <w:t>Debt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61">
              <w:r>
                <w:rPr>
                  <w:rStyle w:val="InternetLink"/>
                  <w:rFonts w:ascii="Times New Roman;serif" w:hAnsi="Times New Roman;serif"/>
                  <w:b w:val="false"/>
                  <w:color w:val="0000FF"/>
                  <w:sz w:val="18"/>
                  <w:u w:val="single"/>
                </w:rPr>
                <w:t>19</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9.</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64">
              <w:r>
                <w:rPr>
                  <w:rStyle w:val="InternetLink"/>
                  <w:rFonts w:ascii="Times New Roman;serif" w:hAnsi="Times New Roman;serif"/>
                  <w:b w:val="false"/>
                  <w:color w:val="0000FF"/>
                  <w:sz w:val="18"/>
                  <w:u w:val="single"/>
                </w:rPr>
                <w:t>Lease Obligations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64">
              <w:r>
                <w:rPr>
                  <w:rStyle w:val="InternetLink"/>
                  <w:rFonts w:ascii="Times New Roman;serif" w:hAnsi="Times New Roman;serif"/>
                  <w:b w:val="false"/>
                  <w:color w:val="0000FF"/>
                  <w:sz w:val="18"/>
                  <w:u w:val="single"/>
                </w:rPr>
                <w:t>21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10.</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67">
              <w:r>
                <w:rPr>
                  <w:rStyle w:val="InternetLink"/>
                  <w:rFonts w:ascii="Times New Roman;serif" w:hAnsi="Times New Roman;serif"/>
                  <w:b w:val="false"/>
                  <w:color w:val="0000FF"/>
                  <w:sz w:val="18"/>
                  <w:u w:val="single"/>
                </w:rPr>
                <w:t>Stockholders'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67">
              <w:r>
                <w:rPr>
                  <w:rStyle w:val="InternetLink"/>
                  <w:rFonts w:ascii="Times New Roman;serif" w:hAnsi="Times New Roman;serif"/>
                  <w:b w:val="false"/>
                  <w:color w:val="0000FF"/>
                  <w:sz w:val="18"/>
                  <w:u w:val="single"/>
                </w:rPr>
                <w:t>22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11.</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73">
              <w:r>
                <w:rPr>
                  <w:rStyle w:val="InternetLink"/>
                  <w:rFonts w:ascii="Times New Roman;serif" w:hAnsi="Times New Roman;serif"/>
                  <w:b w:val="false"/>
                  <w:color w:val="0000FF"/>
                  <w:sz w:val="18"/>
                  <w:u w:val="single"/>
                </w:rPr>
                <w:t>Income Taxes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73">
              <w:r>
                <w:rPr>
                  <w:rStyle w:val="InternetLink"/>
                  <w:rFonts w:ascii="Times New Roman;serif" w:hAnsi="Times New Roman;serif"/>
                  <w:b w:val="false"/>
                  <w:color w:val="0000FF"/>
                  <w:sz w:val="18"/>
                  <w:u w:val="single"/>
                </w:rPr>
                <w:t>22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12.</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76">
              <w:r>
                <w:rPr>
                  <w:rStyle w:val="InternetLink"/>
                  <w:rFonts w:ascii="Times New Roman;serif" w:hAnsi="Times New Roman;serif"/>
                  <w:b w:val="false"/>
                  <w:color w:val="0000FF"/>
                  <w:sz w:val="18"/>
                  <w:u w:val="single"/>
                </w:rPr>
                <w:t>Segments and Related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76">
              <w:r>
                <w:rPr>
                  <w:rStyle w:val="InternetLink"/>
                  <w:rFonts w:ascii="Times New Roman;serif" w:hAnsi="Times New Roman;serif"/>
                  <w:b w:val="false"/>
                  <w:color w:val="0000FF"/>
                  <w:sz w:val="18"/>
                  <w:u w:val="single"/>
                </w:rPr>
                <w:t>23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13.</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79">
              <w:r>
                <w:rPr>
                  <w:rStyle w:val="InternetLink"/>
                  <w:rFonts w:ascii="Times New Roman;serif" w:hAnsi="Times New Roman;serif"/>
                  <w:b w:val="false"/>
                  <w:color w:val="0000FF"/>
                  <w:sz w:val="18"/>
                  <w:u w:val="single"/>
                </w:rPr>
                <w:t>Commitments and Contingencies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79">
              <w:r>
                <w:rPr>
                  <w:rStyle w:val="InternetLink"/>
                  <w:rFonts w:ascii="Times New Roman;serif" w:hAnsi="Times New Roman;serif"/>
                  <w:b w:val="false"/>
                  <w:color w:val="0000FF"/>
                  <w:sz w:val="18"/>
                  <w:u w:val="single"/>
                </w:rPr>
                <w:t>25</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14.</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82">
              <w:r>
                <w:rPr>
                  <w:rStyle w:val="InternetLink"/>
                  <w:rFonts w:ascii="Times New Roman;serif" w:hAnsi="Times New Roman;serif"/>
                  <w:b w:val="false"/>
                  <w:color w:val="0000FF"/>
                  <w:sz w:val="18"/>
                  <w:u w:val="single"/>
                </w:rPr>
                <w:t>Related Party Transactions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82">
              <w:r>
                <w:rPr>
                  <w:rStyle w:val="InternetLink"/>
                  <w:rFonts w:ascii="Times New Roman;serif" w:hAnsi="Times New Roman;serif"/>
                  <w:b w:val="false"/>
                  <w:color w:val="0000FF"/>
                  <w:sz w:val="18"/>
                  <w:u w:val="single"/>
                </w:rPr>
                <w:t>26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88">
              <w:r>
                <w:rPr>
                  <w:rStyle w:val="InternetLink"/>
                  <w:rFonts w:ascii="Times New Roman;serif" w:hAnsi="Times New Roman;serif"/>
                  <w:b w:val="false"/>
                  <w:color w:val="0000FF"/>
                  <w:sz w:val="18"/>
                  <w:u w:val="single"/>
                </w:rPr>
                <w:t>Item 2</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88">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88">
              <w:r>
                <w:rPr>
                  <w:rStyle w:val="InternetLink"/>
                  <w:rFonts w:ascii="Times New Roman;serif" w:hAnsi="Times New Roman;serif"/>
                  <w:b w:val="false"/>
                  <w:color w:val="0000FF"/>
                  <w:sz w:val="18"/>
                  <w:u w:val="single"/>
                </w:rPr>
                <w:t>28</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24">
              <w:r>
                <w:rPr>
                  <w:rStyle w:val="InternetLink"/>
                  <w:rFonts w:ascii="Times New Roman;serif" w:hAnsi="Times New Roman;serif"/>
                  <w:b w:val="false"/>
                  <w:color w:val="0000FF"/>
                  <w:sz w:val="18"/>
                  <w:u w:val="single"/>
                </w:rPr>
                <w:t>Item 3</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24">
              <w:r>
                <w:rPr>
                  <w:rStyle w:val="InternetLink"/>
                  <w:rFonts w:ascii="Times New Roman;serif" w:hAnsi="Times New Roman;serif"/>
                  <w:b w:val="false"/>
                  <w:color w:val="0000FF"/>
                  <w:sz w:val="18"/>
                  <w:u w:val="single"/>
                </w:rPr>
                <w:t>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24">
              <w:r>
                <w:rPr>
                  <w:rStyle w:val="InternetLink"/>
                  <w:rFonts w:ascii="Times New Roman;serif" w:hAnsi="Times New Roman;serif"/>
                  <w:b w:val="false"/>
                  <w:color w:val="0000FF"/>
                  <w:sz w:val="18"/>
                  <w:u w:val="single"/>
                </w:rPr>
                <w:t>41</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27">
              <w:r>
                <w:rPr>
                  <w:rStyle w:val="InternetLink"/>
                  <w:rFonts w:ascii="Times New Roman;serif" w:hAnsi="Times New Roman;serif"/>
                  <w:b w:val="false"/>
                  <w:color w:val="0000FF"/>
                  <w:sz w:val="18"/>
                  <w:u w:val="single"/>
                </w:rPr>
                <w:t>Item 4</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27">
              <w:r>
                <w:rPr>
                  <w:rStyle w:val="InternetLink"/>
                  <w:rFonts w:ascii="Times New Roman;serif" w:hAnsi="Times New Roman;serif"/>
                  <w:b w:val="false"/>
                  <w:color w:val="0000FF"/>
                  <w:sz w:val="18"/>
                  <w:u w:val="single"/>
                </w:rPr>
                <w:t>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27">
              <w:r>
                <w:rPr>
                  <w:rStyle w:val="InternetLink"/>
                  <w:rFonts w:ascii="Times New Roman;serif" w:hAnsi="Times New Roman;serif"/>
                  <w:b w:val="false"/>
                  <w:color w:val="0000FF"/>
                  <w:sz w:val="18"/>
                  <w:u w:val="single"/>
                </w:rPr>
                <w:t>41</w:t>
              </w:r>
            </w:hyperlink>
          </w:p>
        </w:tc>
      </w:tr>
      <w:tr>
        <w:trPr/>
        <w:tc>
          <w:tcPr>
            <w:tcW w:w="852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0">
              <w:r>
                <w:rPr>
                  <w:rStyle w:val="InternetLink"/>
                  <w:rFonts w:ascii="Times New Roman;serif" w:hAnsi="Times New Roman;serif"/>
                  <w:b w:val="false"/>
                  <w:color w:val="0000FF"/>
                  <w:sz w:val="18"/>
                  <w:u w:val="single"/>
                </w:rPr>
                <w:t>Part II.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30">
              <w:r>
                <w:rPr>
                  <w:rStyle w:val="InternetLink"/>
                  <w:rFonts w:ascii="Times New Roman;serif" w:hAnsi="Times New Roman;serif"/>
                  <w:b w:val="false"/>
                  <w:color w:val="0000FF"/>
                  <w:sz w:val="18"/>
                  <w:u w:val="single"/>
                </w:rPr>
                <w:t>42</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3">
              <w:r>
                <w:rPr>
                  <w:rStyle w:val="InternetLink"/>
                  <w:rFonts w:ascii="Times New Roman;serif" w:hAnsi="Times New Roman;serif"/>
                  <w:b w:val="false"/>
                  <w:color w:val="0000FF"/>
                  <w:sz w:val="18"/>
                  <w:u w:val="single"/>
                </w:rPr>
                <w:t>Item 1</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3">
              <w:r>
                <w:rPr>
                  <w:rStyle w:val="InternetLink"/>
                  <w:rFonts w:ascii="Times New Roman;serif" w:hAnsi="Times New Roman;serif"/>
                  <w:b w:val="false"/>
                  <w:color w:val="0000FF"/>
                  <w:sz w:val="18"/>
                  <w:u w:val="single"/>
                </w:rPr>
                <w:t>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33">
              <w:r>
                <w:rPr>
                  <w:rStyle w:val="InternetLink"/>
                  <w:rFonts w:ascii="Times New Roman;serif" w:hAnsi="Times New Roman;serif"/>
                  <w:b w:val="false"/>
                  <w:color w:val="0000FF"/>
                  <w:sz w:val="18"/>
                  <w:u w:val="single"/>
                </w:rPr>
                <w:t>42</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6">
              <w:r>
                <w:rPr>
                  <w:rStyle w:val="InternetLink"/>
                  <w:rFonts w:ascii="Times New Roman;serif" w:hAnsi="Times New Roman;serif"/>
                  <w:b w:val="false"/>
                  <w:color w:val="0000FF"/>
                  <w:sz w:val="18"/>
                  <w:u w:val="single"/>
                </w:rPr>
                <w:t>Item 1A</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6">
              <w:r>
                <w:rPr>
                  <w:rStyle w:val="InternetLink"/>
                  <w:rFonts w:ascii="Times New Roman;serif" w:hAnsi="Times New Roman;serif"/>
                  <w:b w:val="false"/>
                  <w:color w:val="0000FF"/>
                  <w:sz w:val="18"/>
                  <w:u w:val="single"/>
                </w:rPr>
                <w:t>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36">
              <w:r>
                <w:rPr>
                  <w:rStyle w:val="InternetLink"/>
                  <w:rFonts w:ascii="Times New Roman;serif" w:hAnsi="Times New Roman;serif"/>
                  <w:b w:val="false"/>
                  <w:color w:val="0000FF"/>
                  <w:sz w:val="18"/>
                  <w:u w:val="single"/>
                </w:rPr>
                <w:t>42</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9">
              <w:r>
                <w:rPr>
                  <w:rStyle w:val="InternetLink"/>
                  <w:rFonts w:ascii="Times New Roman;serif" w:hAnsi="Times New Roman;serif"/>
                  <w:b w:val="false"/>
                  <w:color w:val="0000FF"/>
                  <w:sz w:val="18"/>
                  <w:u w:val="single"/>
                </w:rPr>
                <w:t>Item 2</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39">
              <w:r>
                <w:rPr>
                  <w:rStyle w:val="InternetLink"/>
                  <w:rFonts w:ascii="Times New Roman;serif" w:hAnsi="Times New Roman;serif"/>
                  <w:b w:val="false"/>
                  <w:color w:val="0000FF"/>
                  <w:sz w:val="18"/>
                  <w:u w:val="single"/>
                </w:rPr>
                <w:t>Unregistered Sales of Equity Securities and Use of Proceeds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39">
              <w:r>
                <w:rPr>
                  <w:rStyle w:val="InternetLink"/>
                  <w:rFonts w:ascii="Times New Roman;serif" w:hAnsi="Times New Roman;serif"/>
                  <w:b w:val="false"/>
                  <w:color w:val="0000FF"/>
                  <w:sz w:val="18"/>
                  <w:u w:val="single"/>
                </w:rPr>
                <w:t>42</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42">
              <w:r>
                <w:rPr>
                  <w:rStyle w:val="InternetLink"/>
                  <w:rFonts w:ascii="Times New Roman;serif" w:hAnsi="Times New Roman;serif"/>
                  <w:b w:val="false"/>
                  <w:color w:val="0000FF"/>
                  <w:sz w:val="18"/>
                  <w:u w:val="single"/>
                </w:rPr>
                <w:t>Item 4</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42">
              <w:r>
                <w:rPr>
                  <w:rStyle w:val="InternetLink"/>
                  <w:rFonts w:ascii="Times New Roman;serif" w:hAnsi="Times New Roman;serif"/>
                  <w:b w:val="false"/>
                  <w:color w:val="0000FF"/>
                  <w:sz w:val="18"/>
                  <w:u w:val="single"/>
                </w:rPr>
                <w:t>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42">
              <w:r>
                <w:rPr>
                  <w:rStyle w:val="InternetLink"/>
                  <w:rFonts w:ascii="Times New Roman;serif" w:hAnsi="Times New Roman;serif"/>
                  <w:b w:val="false"/>
                  <w:color w:val="0000FF"/>
                  <w:sz w:val="18"/>
                  <w:u w:val="single"/>
                </w:rPr>
                <w:t>42</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45">
              <w:r>
                <w:rPr>
                  <w:rStyle w:val="InternetLink"/>
                  <w:rFonts w:ascii="Times New Roman;serif" w:hAnsi="Times New Roman;serif"/>
                  <w:b w:val="false"/>
                  <w:color w:val="0000FF"/>
                  <w:sz w:val="18"/>
                  <w:u w:val="single"/>
                </w:rPr>
                <w:t>Item 5</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45">
              <w:r>
                <w:rPr>
                  <w:rStyle w:val="InternetLink"/>
                  <w:rFonts w:ascii="Times New Roman;serif" w:hAnsi="Times New Roman;serif"/>
                  <w:b w:val="false"/>
                  <w:color w:val="0000FF"/>
                  <w:sz w:val="18"/>
                  <w:u w:val="single"/>
                </w:rPr>
                <w:t>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45">
              <w:r>
                <w:rPr>
                  <w:rStyle w:val="InternetLink"/>
                  <w:rFonts w:ascii="Times New Roman;serif" w:hAnsi="Times New Roman;serif"/>
                  <w:b w:val="false"/>
                  <w:color w:val="0000FF"/>
                  <w:sz w:val="18"/>
                  <w:u w:val="single"/>
                </w:rPr>
                <w:t>42</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51">
              <w:r>
                <w:rPr>
                  <w:rStyle w:val="InternetLink"/>
                  <w:rFonts w:ascii="Times New Roman;serif" w:hAnsi="Times New Roman;serif"/>
                  <w:b w:val="false"/>
                  <w:color w:val="0000FF"/>
                  <w:sz w:val="18"/>
                  <w:u w:val="single"/>
                </w:rPr>
                <w:t>Item 6</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51">
              <w:r>
                <w:rPr>
                  <w:rStyle w:val="InternetLink"/>
                  <w:rFonts w:ascii="Times New Roman;serif" w:hAnsi="Times New Roman;serif"/>
                  <w:b w:val="false"/>
                  <w:color w:val="0000FF"/>
                  <w:sz w:val="18"/>
                  <w:u w:val="single"/>
                </w:rPr>
                <w:t>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51">
              <w:r>
                <w:rPr>
                  <w:rStyle w:val="InternetLink"/>
                  <w:rFonts w:ascii="Times New Roman;serif" w:hAnsi="Times New Roman;serif"/>
                  <w:b w:val="false"/>
                  <w:color w:val="0000FF"/>
                  <w:sz w:val="18"/>
                  <w:u w:val="single"/>
                </w:rPr>
                <w:t>43</w:t>
              </w:r>
            </w:hyperlink>
          </w:p>
        </w:tc>
      </w:tr>
      <w:tr>
        <w:trPr/>
        <w:tc>
          <w:tcPr>
            <w:tcW w:w="852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a10d075ab7a453f9fa9a498cab03418_154">
              <w:r>
                <w:rPr>
                  <w:rStyle w:val="InternetLink"/>
                  <w:rFonts w:ascii="Times New Roman;serif" w:hAnsi="Times New Roman;serif"/>
                  <w:b w:val="false"/>
                  <w:color w:val="0000FF"/>
                  <w:sz w:val="18"/>
                  <w:u w:val="single"/>
                </w:rPr>
                <w:t>SIGNATURES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10d075ab7a453f9fa9a498cab03418_154">
              <w:r>
                <w:rPr>
                  <w:rStyle w:val="InternetLink"/>
                  <w:rFonts w:ascii="Times New Roman;serif" w:hAnsi="Times New Roman;serif"/>
                  <w:b w:val="false"/>
                  <w:color w:val="0000FF"/>
                  <w:sz w:val="18"/>
                  <w:u w:val="single"/>
                </w:rPr>
                <w:t>44</w:t>
              </w:r>
            </w:hyperlink>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1.     FINANCIAL STATEMENTS</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 except per share amounts)</w:t>
      </w:r>
    </w:p>
    <w:tbl>
      <w:tblPr>
        <w:tblW w:w="9945" w:type="dxa"/>
        <w:jc w:val="left"/>
        <w:tblInd w:w="0" w:type="dxa"/>
        <w:tblLayout w:type="fixed"/>
        <w:tblCellMar>
          <w:top w:w="28" w:type="dxa"/>
          <w:left w:w="28" w:type="dxa"/>
          <w:bottom w:w="28" w:type="dxa"/>
          <w:right w:w="28" w:type="dxa"/>
        </w:tblCellMar>
      </w:tblPr>
      <w:tblGrid>
        <w:gridCol w:w="1523"/>
        <w:gridCol w:w="1340"/>
        <w:gridCol w:w="1352"/>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(Note 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w:t>
      </w:r>
    </w:p>
    <w:tbl>
      <w:tblPr>
        <w:tblW w:w="10205" w:type="dxa"/>
        <w:jc w:val="left"/>
        <w:tblInd w:w="0" w:type="dxa"/>
        <w:tblLayout w:type="fixed"/>
        <w:tblCellMar>
          <w:top w:w="28" w:type="dxa"/>
          <w:left w:w="28" w:type="dxa"/>
          <w:bottom w:w="28" w:type="dxa"/>
          <w:right w:w="28" w:type="dxa"/>
        </w:tblCellMar>
      </w:tblPr>
      <w:tblGrid>
        <w:gridCol w:w="1844"/>
        <w:gridCol w:w="1621"/>
        <w:gridCol w:w="1638"/>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6"/>
      </w:tblGrid>
      <w:tr>
        <w:trPr/>
        <w:tc>
          <w:tcPr>
            <w:tcW w:w="184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(losses)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investment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losses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non-controlling interests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100,568 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pPr>
      <w:r>
        <w:rPr>
          <w:color w:val="000000"/>
        </w:rPr>
        <w:t> </w:t>
      </w:r>
      <w:r>
        <w:rPr>
          <w:rFonts w:ascii="Times New Roman;serif" w:hAnsi="Times New Roman;serif"/>
          <w:b/>
          <w:color w:val="000000"/>
          <w:sz w:val="18"/>
        </w:rPr>
        <w:t>(unaudited - in thousands, except share information)</w:t>
      </w:r>
    </w:p>
    <w:tbl>
      <w:tblPr>
        <w:tblW w:w="10205" w:type="dxa"/>
        <w:jc w:val="left"/>
        <w:tblInd w:w="0" w:type="dxa"/>
        <w:tblLayout w:type="fixed"/>
        <w:tblCellMar>
          <w:top w:w="28" w:type="dxa"/>
          <w:left w:w="28" w:type="dxa"/>
          <w:bottom w:w="28" w:type="dxa"/>
          <w:right w:w="28" w:type="dxa"/>
        </w:tblCellMar>
      </w:tblPr>
      <w:tblGrid>
        <w:gridCol w:w="2846"/>
        <w:gridCol w:w="2278"/>
        <w:gridCol w:w="2265"/>
        <w:gridCol w:w="196"/>
        <w:gridCol w:w="961"/>
        <w:gridCol w:w="109"/>
        <w:gridCol w:w="109"/>
        <w:gridCol w:w="109"/>
        <w:gridCol w:w="109"/>
        <w:gridCol w:w="196"/>
        <w:gridCol w:w="871"/>
        <w:gridCol w:w="156"/>
      </w:tblGrid>
      <w:tr>
        <w:trPr/>
        <w:tc>
          <w:tcPr>
            <w:tcW w:w="2846"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4,329,079 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1,728,470 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including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wages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3,271,045 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including finance leases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7,325,511 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6,589,021 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$1.00 par value: authorized shares - 5,000,000; issued and outstanding shares – none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$0.10 par value: authorized shares - 145,000,000; issued shares - 99,442,020 and 99,319,916 (including 1,025,810 and 1,038,778 of unvested stock awards) as of June 30,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2,707,623 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20,354,737 and 20,422,329 shares as of June 30,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MasTec, Inc.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3,259,309 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3,334,521 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10,925,494 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EQUITY</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 except shares)</w:t>
      </w:r>
    </w:p>
    <w:tbl>
      <w:tblPr>
        <w:tblW w:w="15881" w:type="dxa"/>
        <w:jc w:val="left"/>
        <w:tblInd w:w="0" w:type="dxa"/>
        <w:tblLayout w:type="fixed"/>
        <w:tblCellMar>
          <w:top w:w="28" w:type="dxa"/>
          <w:left w:w="28" w:type="dxa"/>
          <w:bottom w:w="28" w:type="dxa"/>
          <w:right w:w="28" w:type="dxa"/>
        </w:tblCellMar>
      </w:tblPr>
      <w:tblGrid>
        <w:gridCol w:w="756"/>
        <w:gridCol w:w="229"/>
        <w:gridCol w:w="231"/>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260"/>
        <w:gridCol w:w="976"/>
        <w:gridCol w:w="145"/>
        <w:gridCol w:w="109"/>
        <w:gridCol w:w="109"/>
        <w:gridCol w:w="109"/>
        <w:gridCol w:w="196"/>
        <w:gridCol w:w="871"/>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Equity </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99,435,573 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(20,422,329)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3,309,363 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3,429,934 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in connection with acquisitions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99,442,020 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(20,354,737)</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3,476,968 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123,015 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99,325,262 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(20,052,361)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2,884,341 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70,918 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 at cost</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(369,968)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99,335,857 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(20,422,329)</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1,303,045 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2,404,250 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(35,948)</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2,947,147 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67,218 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3,014,365 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EQUITY</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 except shares)</w:t>
      </w:r>
    </w:p>
    <w:tbl>
      <w:tblPr>
        <w:tblW w:w="15926" w:type="dxa"/>
        <w:jc w:val="left"/>
        <w:tblInd w:w="0" w:type="dxa"/>
        <w:tblLayout w:type="fixed"/>
        <w:tblCellMar>
          <w:top w:w="28" w:type="dxa"/>
          <w:left w:w="28" w:type="dxa"/>
          <w:bottom w:w="28" w:type="dxa"/>
          <w:right w:w="28" w:type="dxa"/>
        </w:tblCellMar>
      </w:tblPr>
      <w:tblGrid>
        <w:gridCol w:w="801"/>
        <w:gridCol w:w="229"/>
        <w:gridCol w:w="231"/>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260"/>
        <w:gridCol w:w="976"/>
        <w:gridCol w:w="145"/>
        <w:gridCol w:w="109"/>
        <w:gridCol w:w="109"/>
        <w:gridCol w:w="109"/>
        <w:gridCol w:w="196"/>
        <w:gridCol w:w="871"/>
        <w:gridCol w:w="154"/>
      </w:tblGrid>
      <w:tr>
        <w:trPr/>
        <w:tc>
          <w:tcPr>
            <w:tcW w:w="8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Equity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99,319,916 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(20,422,329)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3,259,309 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in connection with acquisitions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assumed related to acquisitions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99,442,020 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(20,354,737)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3,476,968 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123,015 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99,029,011 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(19,719,796)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2,911,857 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 at cost</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99,335,857 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(20,422,329)</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1,303,045 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2,404,250 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(35,948)</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2,947,147 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67,218 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3,014,365 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w:t>
      </w:r>
    </w:p>
    <w:tbl>
      <w:tblPr>
        <w:tblW w:w="8978" w:type="dxa"/>
        <w:jc w:val="center"/>
        <w:tblInd w:w="0" w:type="dxa"/>
        <w:tblLayout w:type="fixed"/>
        <w:tblCellMar>
          <w:top w:w="28" w:type="dxa"/>
          <w:left w:w="28" w:type="dxa"/>
          <w:bottom w:w="28" w:type="dxa"/>
          <w:right w:w="28" w:type="dxa"/>
        </w:tblCellMar>
      </w:tblPr>
      <w:tblGrid>
        <w:gridCol w:w="2309"/>
        <w:gridCol w:w="2025"/>
        <w:gridCol w:w="2040"/>
        <w:gridCol w:w="196"/>
        <w:gridCol w:w="811"/>
        <w:gridCol w:w="109"/>
        <w:gridCol w:w="109"/>
        <w:gridCol w:w="109"/>
        <w:gridCol w:w="109"/>
        <w:gridCol w:w="196"/>
        <w:gridCol w:w="811"/>
        <w:gridCol w:w="154"/>
      </w:tblGrid>
      <w:tr>
        <w:trPr/>
        <w:tc>
          <w:tcPr>
            <w:tcW w:w="23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sales and impairments of assets,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current and long-term portion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current and long-term portion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other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other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1" w:name="i0a01c56018294115afb0a9a0da24ec93_33-0-1"/>
            <w:bookmarkEnd w:id="1"/>
            <w:r>
              <w:rPr>
                <w:rFonts w:ascii="Times New Roman;serif" w:hAnsi="Times New Roman;serif"/>
                <w:b w:val="false"/>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facilities and term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credit facilities and term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finance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acquisition-related contingent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acquisition-related contingent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non-controlling interests, including acquisition of interests and distributions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stock-based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on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191,052 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93" w:type="dxa"/>
        <w:jc w:val="center"/>
        <w:tblInd w:w="0" w:type="dxa"/>
        <w:tblLayout w:type="fixed"/>
        <w:tblCellMar>
          <w:top w:w="28" w:type="dxa"/>
          <w:left w:w="28" w:type="dxa"/>
          <w:bottom w:w="28" w:type="dxa"/>
          <w:right w:w="28" w:type="dxa"/>
        </w:tblCellMar>
      </w:tblPr>
      <w:tblGrid>
        <w:gridCol w:w="2369"/>
        <w:gridCol w:w="2076"/>
        <w:gridCol w:w="2094"/>
        <w:gridCol w:w="196"/>
        <w:gridCol w:w="736"/>
        <w:gridCol w:w="109"/>
        <w:gridCol w:w="109"/>
        <w:gridCol w:w="109"/>
        <w:gridCol w:w="109"/>
        <w:gridCol w:w="196"/>
        <w:gridCol w:w="736"/>
        <w:gridCol w:w="154"/>
      </w:tblGrid>
      <w:tr>
        <w:trPr/>
        <w:tc>
          <w:tcPr>
            <w:tcW w:w="2369"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(refunds) payments,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 from finance leases and other 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 – Business, Basis of Presentation and Significant Accounting Policies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Nature of the Business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Inc. (collectively with its subsidiaries, “MasTec,” or the “Company”) is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MasTec’s customers are primarily in these industries. MasTec reports its results under five reportable segments: (1) Communications; (2) Clean Energy and Infrastructure; (3) Power Delivery; (4) Pipeline Infrastructure and (5) Other.</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July 2026, MasTec completed the acquisition of Electrical Specialists, Inc., d/b/a The Superior Group (“Superior”), a premier full-service electrical contractor focused on critical infrastructure. Superior is a recognized leader in building data center infrastructure while serving a diverse range of end markets including healthcare, entertainment and industrial. The Company expects to include Superior within its Power Delivery segment. See Note 3 – Acquisitions, Goodwill and Other Intangible Assets, Net for additional information.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Basis of Presentation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2025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2025 contained in the Company’s 2025 Annual Report on Form 10-K (the “2025 Form 10-K”). In management’s opinion, all normal and recurring adjustments considered necessary for a fair statement of the financial position, results of operations and cash flows for the periods presented have been included.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When appropriate, prior year amounts are reclassified to conform with the current period presentation. Beginning in 2026, certain reclassifications were made to the consolidated statements of operations. The Company now presents a separate “Operating income” subtotal on the consolidated statements of operations, which is common practice within the Company’s industry and enhances comparability with the Company’s peers. Additionally, changes in fair value of acquisition-related contingent items, which are composed of earn-outs and additional payments in connection with prior year acquisitions, have been reclassified from Other (income) expense, net to General and administrative expenses. Previously reported periods have been reclassified to conform to the current period presentation. These changes in presentation did not impact previously reported Income before income taxes or Net income, and did not change how the Company evaluates its performance.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“Net income attributable to non-controlling interests” in the consolidated statements of operations.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Translation of Foreign Currencies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these consolidated financial statements, “$” means U.S. dollars unless otherwise noted.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Significant Accounting Policies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Revenue Recognition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pStyle w:val="TextBody"/>
        <w:bidi w:val="0"/>
        <w:spacing w:lineRule="auto" w:line="288" w:before="0" w:after="0"/>
        <w:ind w:left="0" w:right="0" w:firstLine="720"/>
        <w:jc w:val="both"/>
        <w:rPr/>
      </w:pPr>
      <w:r>
        <w:rPr>
          <w:rFonts w:ascii="Times New Roman;serif" w:hAnsi="Times New Roman;serif"/>
          <w:b/>
          <w:i/>
          <w:color w:val="000000"/>
          <w:sz w:val="18"/>
        </w:rPr>
        <w:t>Contracts.</w:t>
      </w:r>
      <w:r>
        <w:rPr>
          <w:color w:val="000000"/>
        </w:rPr>
        <w:t xml:space="preserve"> </w:t>
      </w:r>
      <w:r>
        <w:rPr>
          <w:rFonts w:ascii="Times New Roman;serif" w:hAnsi="Times New Roman;serif"/>
          <w:b w:val="false"/>
          <w:color w:val="000000"/>
          <w:sz w:val="18"/>
        </w:rPr>
        <w:t>The Company derives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40% of consolidated revenue for both the three and six months ended June 30, 2026, and totaled approximately 45% and 46% for the three and six months ended June 30, 2025,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2% and 1% of consolidated revenue for the three months ended June 30, 2026 and 2025, respectively, and totaled approximately 2% for both the six months ended June 30, 2026 and 2025.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total transaction price and cost estimation processes used for recognizing revenue over time under the cost-to-cost method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For both the six months ended June 30, 2026 and 2025, project profit was affected by less than 5% as a result of changes in contract estimates included in projects that were in process as of December 31, 2025 and 2024, respectively.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0.7% for both the three and six months ended June 30, 2026, and such net changes positively affected revenue by approximately 0.9% and 1.3% for the three and six months ended June 30, 2025, respectively. </w:t>
      </w:r>
    </w:p>
    <w:p>
      <w:pPr>
        <w:pStyle w:val="TextBody"/>
        <w:bidi w:val="0"/>
        <w:spacing w:lineRule="auto" w:line="288" w:before="120" w:after="120"/>
        <w:ind w:left="0" w:right="0" w:firstLine="720"/>
        <w:jc w:val="both"/>
        <w:rPr/>
      </w:pPr>
      <w:r>
        <w:rPr>
          <w:rFonts w:ascii="Times New Roman;serif" w:hAnsi="Times New Roman;serif"/>
          <w:b/>
          <w:i/>
          <w:color w:val="000000"/>
          <w:sz w:val="18"/>
        </w:rPr>
        <w:t>Performance Obligations.</w:t>
      </w:r>
      <w:r>
        <w:rPr>
          <w:color w:val="000000"/>
        </w:rPr>
        <w:t xml:space="preserve"> </w:t>
      </w:r>
      <w:r>
        <w:rPr>
          <w:rFonts w:ascii="Times New Roman;serif" w:hAnsi="Times New Roman;serif"/>
          <w:b w:val="false"/>
          <w:color w:val="000000"/>
          <w:sz w:val="18"/>
        </w:rPr>
        <w:t>A performance obligation is a contractual promise to transfer a distinct good or service to a customer.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June 30, 2026, the amount of the Company’s remaining performance obligations was $16.3 billion. Based on current expectations, the Company anticipates it will recognize approximately $6.6 billion, or 40.5%, of its remaining performance obligations as revenue during 2026, with the majority of the remaining balance expected to be recognized over the subsequent two year period.</w:t>
      </w:r>
    </w:p>
    <w:p>
      <w:pPr>
        <w:pStyle w:val="TextBody"/>
        <w:bidi w:val="0"/>
        <w:spacing w:lineRule="auto" w:line="288" w:before="120" w:after="120"/>
        <w:ind w:left="0" w:right="0" w:firstLine="720"/>
        <w:jc w:val="both"/>
        <w:rPr/>
      </w:pPr>
      <w:r>
        <w:rPr>
          <w:rFonts w:ascii="Times New Roman;serif" w:hAnsi="Times New Roman;serif"/>
          <w:b/>
          <w:i/>
          <w:color w:val="000000"/>
          <w:sz w:val="18"/>
        </w:rPr>
        <w:t>Variable Consideration.</w:t>
      </w:r>
      <w:r>
        <w:rPr>
          <w:color w:val="000000"/>
        </w:rPr>
        <w:t xml:space="preserve"> </w:t>
      </w:r>
      <w:r>
        <w:rPr>
          <w:rFonts w:ascii="Times New Roman;serif" w:hAnsi="Times New Roman;serif"/>
          <w:b w:val="false"/>
          <w:color w:val="000000"/>
          <w:sz w:val="18"/>
        </w:rPr>
        <w:t>Transaction prices for the Company’s contracts may include variable consideration, which comprises items such as change orders, claims 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the Company’s contract transaction prices included approximately $265 million and $229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June 30, 2026 and December 31, 2025,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Supplier Financing Program</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provided certain of its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As of June 30, 2026 and December 31, 2025, the outstanding payment obligations under the Company’s supplier finance program totaled approximately $137.3 million and $125.6 million, respectively, which amounts are recorded within accounts payable in the consolidated balance sheets. The associated payments are included within operating activities in the consolidated statements of cash flows.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discussion below describes the effects of recent accounting pronouncements, as updated from the discussion in the Company’s 2025 Form 10-K.</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Accounting Pronouncements Adopted in 2026</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July 2025, the Financial Accounting Standards Board (“FASB”) issued Accounting Standards Update (“ASU”) 2025-05, </w:t>
      </w:r>
      <w:r>
        <w:rPr>
          <w:rFonts w:ascii="Times New Roman;serif" w:hAnsi="Times New Roman;serif"/>
          <w:b w:val="false"/>
          <w:i/>
          <w:color w:val="000000"/>
          <w:sz w:val="18"/>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18"/>
        </w:rPr>
        <w:t>(“ASU 2025-05”). ASU 2025-05 provides a practical expedient that permits an entity to assume that conditions at the balance sheet date remain unchanged over the life of the asset when estimating expected credit losses for current accounts receivable and current contract assets. ASU 2025-05 is effective for fiscal years beginning after December 15, 2025, including interim periods within those fiscal years, with early adoption permitted. The amendments in ASU 2025-05 should be applied prospectively. The Company adopted this ASU prospectively in the first quarter of 2026, and its adoption did not have a material effect on the Company’s consolidated financial statements.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Recently Issued Accounting Pronouncements Not Yet Adopted</w:t>
      </w:r>
    </w:p>
    <w:p>
      <w:pPr>
        <w:pStyle w:val="TextBody"/>
        <w:bidi w:val="0"/>
        <w:spacing w:lineRule="auto" w:line="288" w:before="0" w:after="0"/>
        <w:ind w:left="0" w:right="0" w:firstLine="720"/>
        <w:jc w:val="both"/>
        <w:rPr/>
      </w:pPr>
      <w:r>
        <w:rPr>
          <w:rFonts w:ascii="Times New Roman;serif" w:hAnsi="Times New Roman;serif"/>
          <w:b w:val="false"/>
          <w:color w:val="000000"/>
          <w:sz w:val="18"/>
        </w:rPr>
        <w:t xml:space="preserve">In November 2024, the FASB issued ASU 2024-03, </w:t>
      </w:r>
      <w:r>
        <w:rPr>
          <w:rFonts w:ascii="Times New Roman;serif" w:hAnsi="Times New Roman;serif"/>
          <w:b w:val="false"/>
          <w:i/>
          <w:color w:val="000000"/>
          <w:sz w:val="18"/>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18"/>
        </w:rPr>
        <w:t xml:space="preserve">(“ASU 2024-03”) to enhance the transparency and clarity of the components of specific expense categories in the income statement. ASU 2024-03 requires disclosure of additional information about specific expense categories underlying certain income statement expense line items. In January 2025, the FASB issued ASU 2025-01, </w:t>
      </w:r>
      <w:r>
        <w:rPr>
          <w:rFonts w:ascii="Times New Roman;serif" w:hAnsi="Times New Roman;serif"/>
          <w:b w:val="false"/>
          <w:i/>
          <w:color w:val="000000"/>
          <w:sz w:val="18"/>
        </w:rPr>
        <w:t>Income Statement—Reporting Comprehensive Income—Expense Disaggregation Disclosures (Subtopic 220-40): Clarifying the Effective Date</w:t>
      </w:r>
      <w:r>
        <w:rPr>
          <w:color w:val="000000"/>
        </w:rPr>
        <w:t xml:space="preserve"> </w:t>
      </w:r>
      <w:r>
        <w:rPr>
          <w:rFonts w:ascii="Times New Roman;serif" w:hAnsi="Times New Roman;serif"/>
          <w:b w:val="false"/>
          <w:color w:val="000000"/>
          <w:sz w:val="18"/>
        </w:rPr>
        <w:t>to clarify that all public business entities are required to adopt the guidance in annual periods beginning after December 15, 2026, and interim periods within annual periods beginning after December 15, 2027. Early adoption is permitted. The amendments in ASU 2024-03, and its related clarifying ASU, should be applied prospectively, with retrospective application permitted. The Company is currently evaluating the impact this ASU will have on its disclosures.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May 2025, the FASB issued ASU 2025-03, </w:t>
      </w:r>
      <w:r>
        <w:rPr>
          <w:rFonts w:ascii="Times New Roman;serif" w:hAnsi="Times New Roman;serif"/>
          <w:b w:val="false"/>
          <w:i/>
          <w:color w:val="000000"/>
          <w:sz w:val="18"/>
        </w:rPr>
        <w:t>Business Combinations (Topic 805) and Consolidation (Topic 810): Determining the Accounting Acquirer in the Acquisition of a Variable Interest Entity</w:t>
      </w:r>
      <w:r>
        <w:rPr>
          <w:color w:val="000000"/>
        </w:rPr>
        <w:t xml:space="preserve"> </w:t>
      </w:r>
      <w:r>
        <w:rPr>
          <w:rFonts w:ascii="Times New Roman;serif" w:hAnsi="Times New Roman;serif"/>
          <w:b w:val="false"/>
          <w:color w:val="000000"/>
          <w:sz w:val="18"/>
        </w:rPr>
        <w:t>(“ASU 2025-03”). ASU 2025-03 clarifies the guidance in determining the accounting acquirer in a business combination effected primarily by exchanging equity interests when the acquiree is a variable interest entity that meets the definition of a business. ASU 2025-03 is effective for fiscal years beginning after December 15, 2026, including interim periods within those fiscal years, with early adoption permitted. ASU 2025-03 is required to be applied prospectively to any acquisition transaction that occurs after the initial application date. The Company does not expect that this ASU will have a material effect on its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September 2025, the FASB issued ASU 2025-06, </w:t>
      </w:r>
      <w:r>
        <w:rPr>
          <w:rFonts w:ascii="Times New Roman;serif" w:hAnsi="Times New Roman;serif"/>
          <w:b w:val="false"/>
          <w:i/>
          <w:color w:val="000000"/>
          <w:sz w:val="18"/>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18"/>
        </w:rPr>
        <w:t>(“ASU 2025-06”). ASU 2025-06 modernizes the accounting for internal-use software by eliminating the previous stage-based capitalization model so that the guidance is neutral to different software development methods. ASU 2025-06 is effective for fiscal years beginning after December 15, 2027, including interim periods within those fiscal years, with early adoption permitted. The amendments in ASU 2025-06 should be applied prospectively, with retrospective application or a modified transition approach permitted. The Company is currently evaluating the impact this ASU will have on its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December 2025, the FASB issued ASU 2025-11, </w:t>
      </w:r>
      <w:r>
        <w:rPr>
          <w:rFonts w:ascii="Times New Roman;serif" w:hAnsi="Times New Roman;serif"/>
          <w:b w:val="false"/>
          <w:i/>
          <w:color w:val="000000"/>
          <w:sz w:val="18"/>
        </w:rPr>
        <w:t xml:space="preserve">Interim Reporting (Topic 270): Narrow-Scope Improvements </w:t>
      </w:r>
      <w:r>
        <w:rPr>
          <w:rFonts w:ascii="Times New Roman;serif" w:hAnsi="Times New Roman;serif"/>
          <w:b w:val="false"/>
          <w:color w:val="000000"/>
          <w:sz w:val="18"/>
        </w:rPr>
        <w:t>(“ASU 2025-11”). ASU 2025-11 improves existing guidance within Accounting Standards Codification (“ASC”) Topic 270 by clarifying the scope and applicability of the standard and by providing a comprehensive list of interim disclosure requirements. ASU 2025-11 also establishes a principle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impact this ASU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2 – Earnings Per Share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underlying the Company’s earnings per share calculations for the periods indicated (in thousands):</w:t>
      </w:r>
    </w:p>
    <w:tbl>
      <w:tblPr>
        <w:tblW w:w="8384" w:type="dxa"/>
        <w:jc w:val="left"/>
        <w:tblInd w:w="0" w:type="dxa"/>
        <w:tblLayout w:type="fixed"/>
        <w:tblCellMar>
          <w:top w:w="28" w:type="dxa"/>
          <w:left w:w="28" w:type="dxa"/>
          <w:bottom w:w="28" w:type="dxa"/>
          <w:right w:w="28" w:type="dxa"/>
        </w:tblCellMar>
      </w:tblPr>
      <w:tblGrid>
        <w:gridCol w:w="1222"/>
        <w:gridCol w:w="1074"/>
        <w:gridCol w:w="1078"/>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Dilutive common stock equivalents </w:t>
            </w:r>
            <w:r>
              <w:rPr>
                <w:rFonts w:ascii="Times New Roman;serif" w:hAnsi="Times New Roman;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(a)For the three months ended June 30, 2026 and 2025, anti-dilutive common stock equivalents totaled approximately 400 and 4,000, respectively, and for the six months ended June 30, 2026 and 2025, such shares totaled approximately 112,000 and 208,000, respectively.</w:t>
      </w:r>
    </w:p>
    <w:p>
      <w:pPr>
        <w:pStyle w:val="TextBody"/>
        <w:bidi w:val="0"/>
        <w:spacing w:lineRule="auto" w:line="288" w:before="180" w:after="120"/>
        <w:ind w:left="0" w:right="0" w:firstLine="720"/>
        <w:jc w:val="both"/>
        <w:rPr/>
      </w:pPr>
      <w:r>
        <w:rPr>
          <w:rFonts w:ascii="Times New Roman;serif" w:hAnsi="Times New Roman;serif"/>
          <w:b/>
          <w:i/>
          <w:color w:val="000000"/>
          <w:sz w:val="18"/>
        </w:rPr>
        <w:t xml:space="preserve">Share Repurchases. </w:t>
      </w:r>
      <w:r>
        <w:rPr>
          <w:rFonts w:ascii="Times New Roman;serif" w:hAnsi="Times New Roman;serif"/>
          <w:b w:val="false"/>
          <w:color w:val="000000"/>
          <w:sz w:val="18"/>
        </w:rPr>
        <w:t xml:space="preserve">There were no share repurchases under the Company’s share repurchase program for the six months ended June 30, 2026. For the three and six months ended June 30, 2025, the Company repurchased 369,968 and 702,533 shares of its common stock, respectively, the effect of which on the Company’s weighted average shares outstanding was a reduction of approximately 630,000 and 372,000 shares for the respective periods. See Note 10 – Stockholders' Equity for details of the Company’s share repurchase transactions. </w:t>
      </w:r>
    </w:p>
    <w:p>
      <w:pPr>
        <w:pStyle w:val="TextBody"/>
        <w:bidi w:val="0"/>
        <w:spacing w:lineRule="auto" w:line="288" w:before="180" w:after="120"/>
        <w:ind w:left="0" w:right="0" w:firstLine="720"/>
        <w:jc w:val="both"/>
        <w:rPr/>
      </w:pPr>
      <w:r>
        <w:rPr>
          <w:rFonts w:ascii="Times New Roman;serif" w:hAnsi="Times New Roman;serif"/>
          <w:b/>
          <w:i/>
          <w:color w:val="000000"/>
          <w:sz w:val="18"/>
        </w:rPr>
        <w:t>Shares Issued for Acquisitions</w:t>
      </w:r>
      <w:r>
        <w:rPr>
          <w:rFonts w:ascii="Times New Roman;serif" w:hAnsi="Times New Roman;serif"/>
          <w:b w:val="false"/>
          <w:color w:val="000000"/>
          <w:sz w:val="18"/>
        </w:rPr>
        <w:t>. The Company has issued shares of its common stock in connection with certain acquisitions. During the quarter ended June 30, 2026, the Company issued 67,592 shares in connection with certain additional payments made to the sellers in the 2021 acquisition of Henkels &amp; McCoy Holdings, Inc., formerly known as Henkels &amp; McCoy Group, Inc. (“HMG”). Additionally, in connection with the July 2026 acquisition of Superior, the Company issued 1,219,498 shares of its common stock issued from its treasury shares. See Note 3 – Acquisitions, Goodwill and Other Intangible Assets, Net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3 – Acquisitions, Goodwill and Other Intangible Assets,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changes in goodwill by reportable segment for the period indicated (in millions):</w:t>
      </w:r>
    </w:p>
    <w:tbl>
      <w:tblPr>
        <w:tblW w:w="10205" w:type="dxa"/>
        <w:jc w:val="left"/>
        <w:tblInd w:w="0" w:type="dxa"/>
        <w:tblLayout w:type="fixed"/>
        <w:tblCellMar>
          <w:top w:w="28" w:type="dxa"/>
          <w:left w:w="28" w:type="dxa"/>
          <w:bottom w:w="28" w:type="dxa"/>
          <w:right w:w="28" w:type="dxa"/>
        </w:tblCellMar>
      </w:tblPr>
      <w:tblGrid>
        <w:gridCol w:w="720"/>
        <w:gridCol w:w="634"/>
        <w:gridCol w:w="636"/>
        <w:gridCol w:w="324"/>
        <w:gridCol w:w="920"/>
        <w:gridCol w:w="182"/>
        <w:gridCol w:w="109"/>
        <w:gridCol w:w="109"/>
        <w:gridCol w:w="109"/>
        <w:gridCol w:w="412"/>
        <w:gridCol w:w="1174"/>
        <w:gridCol w:w="231"/>
        <w:gridCol w:w="109"/>
        <w:gridCol w:w="109"/>
        <w:gridCol w:w="109"/>
        <w:gridCol w:w="234"/>
        <w:gridCol w:w="664"/>
        <w:gridCol w:w="129"/>
        <w:gridCol w:w="109"/>
        <w:gridCol w:w="109"/>
        <w:gridCol w:w="109"/>
        <w:gridCol w:w="337"/>
        <w:gridCol w:w="959"/>
        <w:gridCol w:w="189"/>
        <w:gridCol w:w="109"/>
        <w:gridCol w:w="109"/>
        <w:gridCol w:w="109"/>
        <w:gridCol w:w="215"/>
        <w:gridCol w:w="760"/>
        <w:gridCol w:w="177"/>
      </w:tblGrid>
      <w:tr>
        <w:trPr/>
        <w:tc>
          <w:tcPr>
            <w:tcW w:w="7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Goodwill</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gross, as of December 31, 2025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Accumulated impairment loss </w:t>
            </w:r>
            <w:r>
              <w:rPr>
                <w:rFonts w:ascii="Times New Roman;serif" w:hAnsi="Times New Roman;serif"/>
                <w:b w:val="false"/>
                <w:color w:val="000000"/>
                <w:sz w:val="12"/>
              </w:rPr>
              <w:t>(a)</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Measurement period adjustments </w:t>
            </w:r>
            <w:r>
              <w:rPr>
                <w:rFonts w:ascii="Times New Roman;serif" w:hAnsi="Times New Roman;serif"/>
                <w:b w:val="false"/>
                <w:color w:val="000000"/>
                <w:sz w:val="12"/>
              </w:rPr>
              <w:t>(b)</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June 30, 2026</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562.3 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875.2 </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2,359.6 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Accumulated impairment loss includes the effects of currency translation gains and/or losses.</w:t>
      </w:r>
    </w:p>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    Measurement period adjustments represent adjustments, net, to preliminary estimates of fair value within the measurement period of up to one year from the date of acquisition. Measurement period adjustments, net, for the six months ended June 30, 2026 were primarily the result of net working capital and valuation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changes in other intangible assets, net, for the period indicated (in millions):</w:t>
      </w:r>
    </w:p>
    <w:tbl>
      <w:tblPr>
        <w:tblW w:w="10205" w:type="dxa"/>
        <w:jc w:val="left"/>
        <w:tblInd w:w="0" w:type="dxa"/>
        <w:tblLayout w:type="fixed"/>
        <w:tblCellMar>
          <w:top w:w="28" w:type="dxa"/>
          <w:left w:w="28" w:type="dxa"/>
          <w:bottom w:w="28" w:type="dxa"/>
          <w:right w:w="28" w:type="dxa"/>
        </w:tblCellMar>
      </w:tblPr>
      <w:tblGrid>
        <w:gridCol w:w="1311"/>
        <w:gridCol w:w="1154"/>
        <w:gridCol w:w="1158"/>
        <w:gridCol w:w="528"/>
        <w:gridCol w:w="1867"/>
        <w:gridCol w:w="295"/>
        <w:gridCol w:w="109"/>
        <w:gridCol w:w="109"/>
        <w:gridCol w:w="109"/>
        <w:gridCol w:w="249"/>
        <w:gridCol w:w="708"/>
        <w:gridCol w:w="138"/>
        <w:gridCol w:w="109"/>
        <w:gridCol w:w="109"/>
        <w:gridCol w:w="109"/>
        <w:gridCol w:w="196"/>
        <w:gridCol w:w="466"/>
        <w:gridCol w:w="109"/>
        <w:gridCol w:w="109"/>
        <w:gridCol w:w="109"/>
        <w:gridCol w:w="109"/>
        <w:gridCol w:w="196"/>
        <w:gridCol w:w="691"/>
        <w:gridCol w:w="158"/>
      </w:tblGrid>
      <w:tr>
        <w:trPr/>
        <w:tc>
          <w:tcPr>
            <w:tcW w:w="1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Intangible Assets, Net</w:t>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Relationships and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Trade Names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gross, as of December 31, 2025</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2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as of December 31, 2025</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2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Measurement period adjustments </w:t>
            </w:r>
            <w:r>
              <w:rPr>
                <w:rFonts w:ascii="Times New Roman;serif" w:hAnsi="Times New Roman;serif"/>
                <w:b w:val="false"/>
                <w:color w:val="000000"/>
                <w:sz w:val="12"/>
              </w:rPr>
              <w:t>(b)</w:t>
            </w:r>
          </w:p>
        </w:tc>
        <w:tc>
          <w:tcPr>
            <w:tcW w:w="2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2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as of June 30, 2026</w:t>
            </w:r>
          </w:p>
        </w:tc>
        <w:tc>
          <w:tcPr>
            <w:tcW w:w="5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564.8 </w:t>
            </w:r>
          </w:p>
        </w:tc>
        <w:tc>
          <w:tcPr>
            <w:tcW w:w="2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(a)Consists principally of pre-qualifications, intellectual property and non-compete agreements. Additions for the six months ended June 30, 2026 related to the first quarter asset acquisition included within the Company’s Pipeline Infrastructure segment.</w:t>
      </w:r>
    </w:p>
    <w:p>
      <w:pPr>
        <w:pStyle w:val="TextBody"/>
        <w:bidi w:val="0"/>
        <w:spacing w:lineRule="auto" w:line="288" w:before="60" w:after="40"/>
        <w:ind w:left="0" w:right="0" w:hanging="360"/>
        <w:jc w:val="both"/>
        <w:rPr/>
      </w:pPr>
      <w:r>
        <w:rPr>
          <w:rFonts w:ascii="Times New Roman;serif" w:hAnsi="Times New Roman;serif"/>
          <w:b w:val="false"/>
          <w:color w:val="26282A"/>
          <w:sz w:val="16"/>
        </w:rPr>
        <w:t>(b)</w:t>
      </w:r>
      <w:r>
        <w:rPr>
          <w:rFonts w:ascii="Times New Roman;serif" w:hAnsi="Times New Roman;serif"/>
          <w:b w:val="false"/>
          <w:color w:val="000000"/>
          <w:sz w:val="16"/>
        </w:rPr>
        <w:t>Represents adjustments, net, to preliminary estimates of fair value within the measurement period of up to one year from the date of acquisition. Measurement period adjustments, net, for the six months ended June 30, 2026 relate primarily to decreases in amortizing intangible assets resulting from valuation adjustments.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no events occurred that would indicate it was more likely than not that a goodwill impairment exists.</w:t>
      </w:r>
    </w:p>
    <w:p>
      <w:pPr>
        <w:pStyle w:val="TextBody"/>
        <w:bidi w:val="0"/>
        <w:spacing w:lineRule="auto" w:line="288" w:before="120" w:after="120"/>
        <w:ind w:left="0" w:right="0" w:firstLine="360"/>
        <w:jc w:val="left"/>
        <w:rPr>
          <w:rFonts w:ascii="Times New Roman;serif" w:hAnsi="Times New Roman;serif"/>
          <w:b/>
          <w:i/>
          <w:color w:val="000000"/>
          <w:sz w:val="18"/>
        </w:rPr>
      </w:pPr>
      <w:r>
        <w:rPr>
          <w:rFonts w:ascii="Times New Roman;serif" w:hAnsi="Times New Roman;serif"/>
          <w:b/>
          <w:i/>
          <w:color w:val="000000"/>
          <w:sz w:val="18"/>
        </w:rPr>
        <w:t>Recent Acquisitions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2026 Acquisitions. </w:t>
      </w:r>
      <w:r>
        <w:rPr>
          <w:rFonts w:ascii="Times New Roman;serif" w:hAnsi="Times New Roman;serif"/>
          <w:b w:val="false"/>
          <w:color w:val="000000"/>
          <w:sz w:val="18"/>
        </w:rPr>
        <w:t>Effective in January 2026, MasTec acquired 86% of the equity interests of McKee Utility Contractors, LLC (“McKee”), an infrastructure services company that specializes in water and wastewater distribution networks in the south central region of the United States, which is included within the Company’s Clean Energy and Infrastructure segment. MasTec has the option to acquire the remaining noncontrolling interest in the entity following the third anniversary of the consummation date. The aggregate purchase price consisted of $262 million in cash, subject to certain working capital and other contractually agreed-upon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as of June 30, 2026, the estimated fair values of the consideration paid, net assets acquired, and non-controlling interest assumed for the Company’s acquisition of McKee (in millions):</w:t>
      </w:r>
    </w:p>
    <w:tbl>
      <w:tblPr>
        <w:tblW w:w="7064" w:type="dxa"/>
        <w:jc w:val="left"/>
        <w:tblInd w:w="0" w:type="dxa"/>
        <w:tblLayout w:type="fixed"/>
        <w:tblCellMar>
          <w:top w:w="28" w:type="dxa"/>
          <w:left w:w="28" w:type="dxa"/>
          <w:bottom w:w="28" w:type="dxa"/>
          <w:right w:w="28" w:type="dxa"/>
        </w:tblCellMar>
      </w:tblPr>
      <w:tblGrid>
        <w:gridCol w:w="2153"/>
        <w:gridCol w:w="1891"/>
        <w:gridCol w:w="1896"/>
        <w:gridCol w:w="109"/>
        <w:gridCol w:w="109"/>
        <w:gridCol w:w="196"/>
        <w:gridCol w:w="556"/>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Acquisition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consideration paid,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primarily 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 primarily operating lease liabilities and 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identifiable net assets, excluding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assets, excluding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Amortizing intangible assets related to the McKee acquisition are primarily composed of customer relationships, and, to a lesser extent, backlog and trade names. Customer relationships and backlog intangible assets of McKee, in the aggregate, totaled approximately $139 million and each had a weighted average life of approximately 13 years and 2 years, respectively. Customer relationships are based on operational history and the nature of customers, which are primarily municipalities and utility customers, and backlog is based on estimated cash flows expected to be derived from future work on acquired contracts with customers. The fair values of the customer relationships and acquired backlog intangible assets were determined using the multi-period excess earnings method under the income approach. This method reflects the present value of the projected operating cash flows generated by the intangible asset after considering the cost to realize revenue, and an appropriate discount rate to reflect the time value and risk associated with the invested capital. The significant assumptions used by the Company in determining the fair value of customer relationships intangible assets include future revenues, margins, discount rates, and customer attrition rates. The weighted average life of amortizing intangible assets in the aggregate for the McKee acquisition was 10 years. Amortizing intangible assets are amortized in a manner consistent with the pattern in which the related benefits are expected to be consumed. The preliminary fair value of the noncontrolling interest of McKee was estimated based on the price MasTec paid for its 86% controlling interest.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effective in June 2026, MasTec acquired all of the equity interests of a fiber optic repair and telecommunications company, which is included within the Company’s Communications segment. The aggregate purchase price of this acquisition consisted of approximately $12 million in cash, net of cash acquired, and a three-year earn-out liability. The cash consideration was payable as of June 30, 2026, and was paid in July 2026.</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Determination of the estimated fair values of net assets acquired and consideration transferred for these acquisitions, which have been accounted for as business combinations under ASC Topic 805, </w:t>
      </w:r>
      <w:r>
        <w:rPr>
          <w:rFonts w:ascii="Times New Roman;serif" w:hAnsi="Times New Roman;serif"/>
          <w:b w:val="false"/>
          <w:i/>
          <w:color w:val="000000"/>
          <w:sz w:val="18"/>
        </w:rPr>
        <w:t>Business Combinations</w:t>
      </w:r>
      <w:r>
        <w:rPr>
          <w:color w:val="000000"/>
        </w:rPr>
        <w:t xml:space="preserve"> </w:t>
      </w:r>
      <w:r>
        <w:rPr>
          <w:rFonts w:ascii="Times New Roman;serif" w:hAnsi="Times New Roman;serif"/>
          <w:b w:val="false"/>
          <w:color w:val="000000"/>
          <w:sz w:val="18"/>
        </w:rPr>
        <w:t>(“ASC 805”), was preliminary as of June 30, 2026; as a result, further adjustments to these estimates may occur. The Company expects to finalize the valuations and complete the purchase price consideration allocations no later than one year from the acquisition dates. As of June 30, 2026, $6 million of the goodwill balance related to these acquisitions is expected to be tax deductible.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effective in March 2026, MasTec acquired certain of the assets of an equipment company for an aggregate purchase price of approximately $20 million, which is accounted for as an asset acquisition under ASC 805 and included within the Company’s Pipeline Infrastructure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Q3 2026 Acquisitions. </w:t>
      </w:r>
      <w:r>
        <w:rPr>
          <w:rFonts w:ascii="Times New Roman;serif" w:hAnsi="Times New Roman;serif"/>
          <w:b w:val="false"/>
          <w:color w:val="000000"/>
          <w:sz w:val="18"/>
        </w:rPr>
        <w:t>In July 2026, MasTec acquired all of the equity interests of Superior, a premier full-service electrical contractor focused on critical infrastructure, which the Company expects to include within its Power Delivery segment. Superior is a recognized leader in building data center infrastructure while serving a diverse range of end markets including healthcare, entertainment and industrial. The aggregate purchase price of the acquisition, excluding cash acquired and subject to certain adjustments, was approximately $1.6 billion, consisting of approximately $1.2 billion in cash and 1,219,498 shares of MasTec common stock issued from its treasury shares, which had a fair value of $410.5 million as of the acquisition date. Additionally, the acquisition included an earn-out arrangement under which additional consideration may be payable based on the achievement of certain financial performance targets over a three-year period. The cash portion of the acquisition was funded with a combination of cash on hand, and borrowings under the Company’s amended Credit Facility and a new unsecured delayed draw term loan facility. See Note 8 – Debt. The Company accounted for the acquisition of the ownership interests of Superior as business combination in accordance with ASC 805 and will consolidate the results of this entity in its consolidated financial statements. The final consideration amount for this acquisition remains subject to certain post-closing adjustments, including with respect to net working capital, tax estimates and other contractually agreed-upon adjustments to consideration. Additionally, the Company is in the process of performing procedures to determine the consideration and fair value of the assets acquired and liabilities assumed in connection with this acquisition, including the fair value assessment of the earn-out liability, and will include the preliminary purchase price allocation in its Quarterly Report on Form 10-Q for the period ending September 30, 2026.</w:t>
      </w:r>
    </w:p>
    <w:p>
      <w:pPr>
        <w:pStyle w:val="TextBody"/>
        <w:bidi w:val="0"/>
        <w:spacing w:lineRule="auto" w:line="288" w:before="120" w:after="120"/>
        <w:ind w:left="0" w:right="0" w:firstLine="720"/>
        <w:jc w:val="both"/>
        <w:rPr/>
      </w:pPr>
      <w:r>
        <w:rPr>
          <w:rFonts w:ascii="Times New Roman;serif" w:hAnsi="Times New Roman;serif"/>
          <w:b/>
          <w:i/>
          <w:color w:val="26282A"/>
          <w:sz w:val="18"/>
        </w:rPr>
        <w:t xml:space="preserve">2025 Acquisitions. </w:t>
      </w:r>
      <w:r>
        <w:rPr>
          <w:rFonts w:ascii="Times New Roman;serif" w:hAnsi="Times New Roman;serif"/>
          <w:b w:val="false"/>
          <w:color w:val="000000"/>
          <w:sz w:val="18"/>
        </w:rPr>
        <w:t>During 2025, MasTec acquired all of the equity interests of the following: (i) within the Company’s Communications segment: a telecommunications construction company, effective in July; (ii) within the Company’s Pipeline Infrastructure segment: a construction company specializing in roadway infrastructure, effective in August; and (iii) within the Company’s Clean Energy and Infrastructure segment: a construction company specializing in construction management and design-build services, effective in December. Additionally, MasTec acquired certain operations and assets of a business specializing in install-to-the-home services included within the Company’s Communications segment, effective in November.</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effective in July, MasTec acquired certain of the assets of an equipment company, which is accounted for as an asset acquisition under ASC 805 and included within the Company’s Pipeline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aggregate purchase price of the Company’s 2025 acquisitions was composed of approximately $87 million in cash, net of cash acquired, and a five year earn-out liability valued at approximately $13 million with respect to one of such acquisitions. Determination of the estimated fair values of net assets acquired and consideration transferred for these acquisitions, which have been accounted for as business combinations under ASC 805, was preliminary as of June 30, 2026; as a result, further adjustments to these estimates may occur. The Company expects to finalize the valuation and complete the purchase price consideration allocation no later than one year from the acquisition date. As of June 30, 2026, the remaining potential undiscounted earn-out liabilities for the 2025 acquisitions was estimated to be up to $20 million; however, there is no maximum payment amount. See Note 4 – Fair Value of Financial Instruments for fair value estimates and other details related to the Company’s earn-out arrangements. Approximately $35 million of the goodwill balance related to the 2025 acquisitions is expected to be tax deductible as of June 30, 2026.</w:t>
      </w:r>
    </w:p>
    <w:p>
      <w:pPr>
        <w:pStyle w:val="TextBody"/>
        <w:bidi w:val="0"/>
        <w:spacing w:lineRule="auto" w:line="288" w:before="120" w:after="120"/>
        <w:ind w:left="0" w:right="0" w:firstLine="720"/>
        <w:jc w:val="both"/>
        <w:rPr/>
      </w:pPr>
      <w:r>
        <w:rPr>
          <w:rFonts w:ascii="Times New Roman;serif" w:hAnsi="Times New Roman;serif"/>
          <w:b/>
          <w:i/>
          <w:color w:val="000000"/>
          <w:sz w:val="18"/>
        </w:rPr>
        <w:t>HMG Additional Payments</w:t>
      </w:r>
      <w:r>
        <w:rPr>
          <w:rFonts w:ascii="Times New Roman;serif" w:hAnsi="Times New Roman;serif"/>
          <w:b w:val="false"/>
          <w:color w:val="000000"/>
          <w:sz w:val="18"/>
        </w:rPr>
        <w:t xml:space="preserve">. The purchase agreement in connection with the 2021 acquisition of HMG provided for certain additional payments to be made to the sellers if certain receivables are collected by the Company (the “Additional Payments”). As of December 31, 2025, the estimated fair value of remaining Additional Payments totaled $17.8 million, which was included within other current liabilities in the consolidated balance sheets. During the six months ended June 30, 2026, the Company collected the remaining receivables subject to the Additional Payments, including the $3.9 million collected during the first quarter of 2026. As a result, a final Additional Payment of $35.1 million was made in May 2026, consisting of approximately $8.9 million in cash, which is reflected within financing activities in the consolidated statement of cash flows, and 67,592 shares of MasTec common stock. For the three and six months ended June 30, 2026, the Company recorded fair value adjustments totaling expenses of $4.4 million and $13.4 million, respectively, and for the six months ended June 30, 2025, such adjustments totaled an expense of $1.7 million, which are recorded within general and administrative expenses. </w:t>
      </w:r>
    </w:p>
    <w:p>
      <w:pPr>
        <w:pStyle w:val="TextBody"/>
        <w:bidi w:val="0"/>
        <w:spacing w:lineRule="auto" w:line="288" w:before="120" w:after="120"/>
        <w:ind w:left="0" w:right="0" w:firstLine="720"/>
        <w:jc w:val="both"/>
        <w:rPr/>
      </w:pPr>
      <w:r>
        <w:rPr>
          <w:rFonts w:ascii="Times New Roman;serif" w:hAnsi="Times New Roman;serif"/>
          <w:b/>
          <w:i/>
          <w:color w:val="000000"/>
          <w:sz w:val="18"/>
        </w:rPr>
        <w:t>Pro forma results</w:t>
      </w:r>
      <w:r>
        <w:rPr>
          <w:rFonts w:ascii="Times New Roman;serif" w:hAnsi="Times New Roman;serif"/>
          <w:b w:val="false"/>
          <w:color w:val="000000"/>
          <w:sz w:val="18"/>
        </w:rPr>
        <w:t xml:space="preserve">. The Company’s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unaudited supplemental pro forma results for the periods indicated (in millions):</w:t>
      </w:r>
    </w:p>
    <w:tbl>
      <w:tblPr>
        <w:tblW w:w="5939" w:type="dxa"/>
        <w:jc w:val="left"/>
        <w:tblInd w:w="0" w:type="dxa"/>
        <w:tblLayout w:type="fixed"/>
        <w:tblCellMar>
          <w:top w:w="28" w:type="dxa"/>
          <w:left w:w="28" w:type="dxa"/>
          <w:bottom w:w="28" w:type="dxa"/>
          <w:right w:w="28" w:type="dxa"/>
        </w:tblCellMar>
      </w:tblPr>
      <w:tblGrid>
        <w:gridCol w:w="336"/>
        <w:gridCol w:w="295"/>
        <w:gridCol w:w="298"/>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Acquisition-related results</w:t>
      </w:r>
      <w:r>
        <w:rPr>
          <w:rFonts w:ascii="Times New Roman;serif" w:hAnsi="Times New Roman;serif"/>
          <w:b w:val="false"/>
          <w:color w:val="000000"/>
          <w:sz w:val="18"/>
        </w:rPr>
        <w:t>. The Company defines “acquisition-related” results as results from acquired businesses for the first twelve months following the dates of the respective acquisitions. For the three and six months ended June 30, 2026, the Company’s consolidated results of operations included acquisition-related revenue of approximately $195.1 million and $363.7 million, respectively. Acquisition-related net income for the three months ended June 30, 2026 was immaterial, and for the six months ended June 30, 2026 totaled approximately $4.5 million, based on the Company’s consolidated effective tax rate. These acquisition-related results include amortization of acquired intangible assets and certain acquisition integration costs.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Revenue and net income from the Company’s 2026 acquisitions included within the Company’s consolidated results of operations for the three months ended June 30, 2026 were $72.0 million and $2.9 million, respectively, and $133.2 million and $5.4 million for the six months ended June 30, 2026, respectively. Acquisition costs incurred for acquisitions completed in 2026 were $1.9 million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4 – Fair Value of Financial Instruments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Acquisition-Related Contingent Consideration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11.0% as of June 30, 2026, and probability-weighted projections of Earnings before interest, taxes, depreciation and amortization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June 30, 2026, the range of potential undiscounted Earn-out liabilities was estimated to be between $9 million and $69 million; however, there is no maximum payment amount.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Earn-out activity consists primarily of additions from new business combinations, changes in the expected fair value of future payment obligations, and payments. The following table, which may contain slight summation differences due to rounding, provides a reconciliation of changes in Earn-out liabilities measured at fair value for the periods indicated (in millions):</w:t>
      </w:r>
    </w:p>
    <w:tbl>
      <w:tblPr>
        <w:tblW w:w="4704" w:type="dxa"/>
        <w:jc w:val="left"/>
        <w:tblInd w:w="0" w:type="dxa"/>
        <w:tblLayout w:type="fixed"/>
        <w:tblCellMar>
          <w:top w:w="28" w:type="dxa"/>
          <w:left w:w="28" w:type="dxa"/>
          <w:bottom w:w="28" w:type="dxa"/>
          <w:right w:w="28" w:type="dxa"/>
        </w:tblCellMar>
      </w:tblPr>
      <w:tblGrid>
        <w:gridCol w:w="977"/>
        <w:gridCol w:w="860"/>
        <w:gridCol w:w="863"/>
        <w:gridCol w:w="196"/>
        <w:gridCol w:w="466"/>
        <w:gridCol w:w="109"/>
        <w:gridCol w:w="109"/>
        <w:gridCol w:w="109"/>
        <w:gridCol w:w="109"/>
        <w:gridCol w:w="196"/>
        <w:gridCol w:w="55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beginning of period </w:t>
            </w: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Fair value adjustments</w:t>
            </w:r>
            <w:r>
              <w:rPr>
                <w:color w:val="000000"/>
              </w:rPr>
              <w:t xml:space="preserve"> </w:t>
            </w:r>
            <w:r>
              <w:rPr>
                <w:rFonts w:ascii="Times New Roman;serif" w:hAnsi="Times New Roman;serif"/>
                <w:b w:val="false"/>
                <w:color w:val="000000"/>
                <w:sz w:val="12"/>
              </w:rPr>
              <w:t>(b)</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end of period </w:t>
            </w:r>
            <w:r>
              <w:rPr>
                <w:rFonts w:ascii="Times New Roman;serif" w:hAnsi="Times New Roman;serif"/>
                <w:b w:val="false"/>
                <w:color w:val="000000"/>
                <w:sz w:val="12"/>
              </w:rPr>
              <w:t>(a)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pPr>
      <w:r>
        <w:rPr>
          <w:rFonts w:ascii="Times New Roman;serif" w:hAnsi="Times New Roman;serif"/>
          <w:b w:val="false"/>
          <w:color w:val="26282A"/>
          <w:sz w:val="16"/>
        </w:rPr>
        <w:t>(a)</w:t>
      </w:r>
      <w:r>
        <w:rPr>
          <w:rFonts w:ascii="Times New Roman;serif" w:hAnsi="Times New Roman;serif"/>
          <w:b w:val="false"/>
          <w:color w:val="000000"/>
          <w:sz w:val="16"/>
        </w:rPr>
        <w:t>Earn-out liabilities included within other current liabilities totaled approximately $23.6 million and $28.2 million as of June 30, 2026 and December 31, 2025, respectively.</w:t>
      </w:r>
    </w:p>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(b)For the six months ended June 30, 2026, fair value adjustments related primarily to increases within the Pipeline Infrastructure segment. For the six months ended June 30, 2025, fair value adjustments related primarily to decreases within the Power Delivery segment, which were partially offset by increases primarily within the Pipeline Infrastructure segment.</w:t>
      </w:r>
    </w:p>
    <w:p>
      <w:pPr>
        <w:pStyle w:val="TextBody"/>
        <w:bidi w:val="0"/>
        <w:spacing w:lineRule="auto" w:line="288" w:before="18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Equity Investments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equity investments as of June 30, 2026 include the Company’s: (i) 33% equity interests in Trans-Pecos Pipeline, LLC and Comanche Trail Pipeline, LLC, collectively “Waha JVs”; (ii) interests in certain proportionately consolidated non-controlled joint ventures; and (iii) certain other equity investments. As of June 30, 2026 and December 31, 2025, the aggregate carrying value of the Company’s equity investments, which are recorded within other long-term assets in the consolidated balance sheets, totaled approximately $367 million and $377 million, respectively. During the first quarter of 2026, the Company sold its 15% equity interest in Cross Country Infrastructure Services, Inc. (“CCI”) for approximately $17 million, resulting in an immaterial gain.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Except for an investment for which the Company recorded an other-than-temporary impairment loss of $7.9 million, included within equity in earnings of unconsolidated affiliates, net, in the first quarter of 2026, there were no impairments related to these investments in either of the three or six months ended June 30, 2026 or 2025.</w:t>
      </w:r>
    </w:p>
    <w:p>
      <w:pPr>
        <w:pStyle w:val="TextBody"/>
        <w:bidi w:val="0"/>
        <w:spacing w:lineRule="auto" w:line="288" w:before="120" w:after="120"/>
        <w:ind w:left="0" w:right="0" w:firstLine="720"/>
        <w:jc w:val="both"/>
        <w:rPr/>
      </w:pPr>
      <w:r>
        <w:rPr>
          <w:rFonts w:ascii="Times New Roman;serif" w:hAnsi="Times New Roman;serif"/>
          <w:b/>
          <w:i/>
          <w:color w:val="000000"/>
          <w:sz w:val="18"/>
        </w:rPr>
        <w:t>The Waha JVs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The Waha JVs own and operate certain pipeline infrastructure in the U.S. that transports natural gas to the Mexico border for export. The Company’s investments in the Waha JVs are accounted for as equity method investments. Cumulative undistributed earnings from the Waha JVs, which represents cumulative equity in earnings for the Waha JVs less distributions of earnings, totaled $156 million as of June 30, 2026. The Company’s net investment in the Waha JVs, which differs from its proportionate share of the net assets of the Waha JVs due primarily to equity method goodwill associated with capitalized investment costs, totaled approximately $299 million and $290 million as of June 30, 2026 and December 31, 2025, respectively. The table below reflects the investment activity of the Waha JVs for the periods indicated (in millions):</w:t>
      </w:r>
    </w:p>
    <w:tbl>
      <w:tblPr>
        <w:tblW w:w="6105" w:type="dxa"/>
        <w:jc w:val="left"/>
        <w:tblInd w:w="0" w:type="dxa"/>
        <w:tblLayout w:type="fixed"/>
        <w:tblCellMar>
          <w:top w:w="28" w:type="dxa"/>
          <w:left w:w="28" w:type="dxa"/>
          <w:bottom w:w="28" w:type="dxa"/>
          <w:right w:w="28" w:type="dxa"/>
        </w:tblCellMar>
      </w:tblPr>
      <w:tblGrid>
        <w:gridCol w:w="755"/>
        <w:gridCol w:w="662"/>
        <w:gridCol w:w="668"/>
        <w:gridCol w:w="196"/>
        <w:gridCol w:w="46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Equity in earnings </w:t>
            </w: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Distributions of earnings </w:t>
            </w:r>
            <w:r>
              <w:rPr>
                <w:rFonts w:ascii="Times New Roman;serif" w:hAnsi="Times New Roman;serif"/>
                <w:b w:val="false"/>
                <w:color w:val="000000"/>
                <w:sz w:val="12"/>
              </w:rPr>
              <w:t>(b)</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(a)Equity in earnings related to the Company’s proportionate share of income from the Waha JVs is included within the Company’s Other segment.</w:t>
      </w:r>
    </w:p>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(b)Distributions of earnings from the Waha JVs are included within operating cash flows.</w:t>
      </w:r>
    </w:p>
    <w:p>
      <w:pPr>
        <w:pStyle w:val="TextBody"/>
        <w:bidi w:val="0"/>
        <w:spacing w:lineRule="auto" w:line="288" w:before="180" w:after="120"/>
        <w:ind w:left="0" w:right="0" w:firstLine="720"/>
        <w:jc w:val="both"/>
        <w:rPr/>
      </w:pPr>
      <w:r>
        <w:rPr>
          <w:rFonts w:ascii="Times New Roman;serif" w:hAnsi="Times New Roman;serif"/>
          <w:b/>
          <w:i/>
          <w:color w:val="000000"/>
          <w:sz w:val="18"/>
        </w:rPr>
        <w:t>Other Investments.</w:t>
      </w:r>
      <w:r>
        <w:rPr>
          <w:color w:val="000000"/>
        </w:rPr>
        <w:t xml:space="preserve"> </w:t>
      </w:r>
      <w:r>
        <w:rPr>
          <w:rFonts w:ascii="Times New Roman;serif" w:hAnsi="Times New Roman;serif"/>
          <w:b w:val="false"/>
          <w:color w:val="000000"/>
          <w:sz w:val="18"/>
        </w:rPr>
        <w:t>The Company has equity interests in certain other entities that are accounted for as equity method investments. The Company made no equity contributions to, nor received any distributions from, these other entities for the six months ended June 30, 2026 or 2025. The Company has subcontracting arrangements with certain of these entities for the performance of construction services, and expenses recognized in connection with these arrangements totaled approximately $0.4 million and $0.9 million for the three and six months ended June 30, 2026, respectively, and totaled approximately $0.6 million and $2.0 million for the three and six months ended June 30, 2025, respectively. As of June 30, 2026 and December 31, 2025, related amounts payable to these entities totaled approximately $0.1 million and $0.3 million, respectively. As of June 30, 2026 and December 31, 2025, receivables related to these arrangements totaled approximately $0.2 million and $4.0 million, respectively.</w:t>
      </w:r>
    </w:p>
    <w:p>
      <w:pPr>
        <w:pStyle w:val="TextBody"/>
        <w:bidi w:val="0"/>
        <w:spacing w:lineRule="auto" w:line="288" w:before="120" w:after="120"/>
        <w:ind w:left="0" w:right="0" w:firstLine="720"/>
        <w:jc w:val="both"/>
        <w:rPr/>
      </w:pPr>
      <w:r>
        <w:rPr>
          <w:rFonts w:ascii="Times New Roman;serif" w:hAnsi="Times New Roman;serif"/>
          <w:b/>
          <w:i/>
          <w:color w:val="000000"/>
          <w:sz w:val="18"/>
        </w:rPr>
        <w:t>Variable Interest Entities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The Company has determined that certain of its investment arrangements are variable interest entities (“VIEs”). Management assesses its VIEs on an ongoing basis to determine if the Company is the primary beneficiary and if consolidation is required. As of June 30, 2026, management determined that the Company is the primary beneficiary of two of its VIEs, which include an electric utility contractor. Accordingly, these entities have been consolidated within the Company’s financial statements, with the other parties’ interests accounted for as non-controlling interests. As of June 30, 2026 and December 31, 2025, the carrying values of assets associated with the Company’s consolidated VIEs totaled approximately $188.7 million and $187.3 million, respectively, which amounts consisted primarily of accounts receivable, net of allowance and contract assets. The carrying values of liabilities associated with the Company’s consolidated VIEs totaled approximately $185.6 million and $184.6 million as of June 30, 2026 and December 31, 2025, respectively, which amounts consisted primarily of accounts payable. The Company has not provided, nor is it obligated to provide, any financial support to any of its consolidated VIEs.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carrying values of the Company’s VIEs that are not consolidated totaled approximately $10 million and $20 million as of June 30, 2026 and December 31, 2025, respectively, and are recorded within other long-term assets in the consolidated balance sheets, with the decrease primarily attributable to an other-than-temporary impairment loss of $7.9 million, as described above. Management believes that the Company’s maximum exposure to loss for its non-consolidated VIEs, inclusive of additional financing commitments, approximated $11 million and $28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5 – Accounts Receivable, Net of Allowance, and Contract Assets and Liabilities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accounts receivable, net of allowance, and contract assets (together, “accounts receivable, net”) as of the dates indicated (in millions):</w:t>
      </w:r>
    </w:p>
    <w:tbl>
      <w:tblPr>
        <w:tblW w:w="5298" w:type="dxa"/>
        <w:jc w:val="left"/>
        <w:tblInd w:w="0" w:type="dxa"/>
        <w:tblLayout w:type="fixed"/>
        <w:tblCellMar>
          <w:top w:w="28" w:type="dxa"/>
          <w:left w:w="28" w:type="dxa"/>
          <w:bottom w:w="28" w:type="dxa"/>
          <w:right w:w="28" w:type="dxa"/>
        </w:tblCellMar>
      </w:tblPr>
      <w:tblGrid>
        <w:gridCol w:w="1010"/>
        <w:gridCol w:w="887"/>
        <w:gridCol w:w="893"/>
        <w:gridCol w:w="196"/>
        <w:gridCol w:w="691"/>
        <w:gridCol w:w="109"/>
        <w:gridCol w:w="109"/>
        <w:gridCol w:w="109"/>
        <w:gridCol w:w="109"/>
        <w:gridCol w:w="223"/>
        <w:gridCol w:w="787"/>
        <w:gridCol w:w="175"/>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billings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val="false"/>
          <w:color w:val="000000"/>
          <w:sz w:val="18"/>
        </w:rPr>
        <w:t>Contract billings represent the amount of performance obligations that have been billed but not yet collected, whereas contract assets consist of unbilled receivables and retainage. Unbilled receivables, which are included in contract assets, represent the estimated value of unbilled work for projects with performance obligations recognized over time. Unbilled receivables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As of June 30, 2026, the increase in contract assets was driven primarily by ordinary course project activity within the Company’s Clean Energy and Infrastructure and Pipeline Infrastructure</w:t>
      </w:r>
      <w:r>
        <w:rPr>
          <w:color w:val="000000"/>
        </w:rPr>
        <w:t xml:space="preserve"> </w:t>
      </w:r>
      <w:r>
        <w:rPr>
          <w:rFonts w:ascii="Times New Roman;serif" w:hAnsi="Times New Roman;serif"/>
          <w:b w:val="false"/>
          <w:color w:val="000000"/>
          <w:sz w:val="18"/>
        </w:rPr>
        <w:t>segments, including in connection with increased project volume and the timing of billings, as well as the impact of a first quarter acquisition within the Clean Energy and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provisions for credit losses totaled approximately $0.1 million and for the six months ended June 30, 2025, provisions for credit losses totaled recoveries of approximately $1.1 million, both of which included certain project-specific reserves. Impairment losses on contract assets were not material in either period.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Contract liabilities, which are generally classified within current liabilities on the Company’s consolidated balance sheets, consist primarily of deferred revenue and also include the amount of any accrued project losses.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Total contract liabilities, including accrued project losses, totaled approximately $760.9 million and $747.7 million as of June 30, 2026 and December 31, 2025, respectively, of which deferred revenue comprised approximately $752.4 million and $741.0 million,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and 2025, the Company recognized revenue of approximately $687.1 million and $668.9 million, respectively, related to amounts that were included in deferred revenue as of December 31, 2025 and December 31, 2024, respectively, resulting primarily from the advancement of physical progress on the related projects during the respective periods.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six months ended June 30, 2026 and 2025, the Company sold approximately $333 million and $236 million, respectively, of receivables under financing arrangements for which it continues to manage collections for the transferred receivable, and, as of June 30, 2026 and December 31, 2025, outstanding sold receivables related thereto totaled approximately $161 million and $172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w:t>
      </w:r>
      <w:r>
        <w:rPr>
          <w:rFonts w:ascii="Times New Roman;serif" w:hAnsi="Times New Roman;serif"/>
          <w:b w:val="false"/>
          <w:i/>
          <w:color w:val="000000"/>
          <w:sz w:val="18"/>
        </w:rPr>
        <w:t>Transfers and Servicing</w:t>
      </w:r>
      <w:r>
        <w:rPr>
          <w:rFonts w:ascii="Times New Roman;serif" w:hAnsi="Times New Roman;serif"/>
          <w:b w:val="false"/>
          <w:color w:val="000000"/>
          <w:sz w:val="18"/>
        </w:rPr>
        <w:t>.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$6.2 million and $6.6 million for the three months ended June 30, 2026 and 2025, respectively, and totaled approximately $11.9 million and $12.0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6 – Property and Equipment,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property and equipment, net, including property and equipment held under finance leases, as of the dates indicated (in millions):</w:t>
      </w:r>
    </w:p>
    <w:tbl>
      <w:tblPr>
        <w:tblW w:w="6828" w:type="dxa"/>
        <w:jc w:val="left"/>
        <w:tblInd w:w="0" w:type="dxa"/>
        <w:tblLayout w:type="fixed"/>
        <w:tblCellMar>
          <w:top w:w="28" w:type="dxa"/>
          <w:left w:w="28" w:type="dxa"/>
          <w:bottom w:w="28" w:type="dxa"/>
          <w:right w:w="28" w:type="dxa"/>
        </w:tblCellMar>
      </w:tblPr>
      <w:tblGrid>
        <w:gridCol w:w="1405"/>
        <w:gridCol w:w="1236"/>
        <w:gridCol w:w="1244"/>
        <w:gridCol w:w="196"/>
        <w:gridCol w:w="691"/>
        <w:gridCol w:w="109"/>
        <w:gridCol w:w="109"/>
        <w:gridCol w:w="109"/>
        <w:gridCol w:w="109"/>
        <w:gridCol w:w="224"/>
        <w:gridCol w:w="791"/>
        <w:gridCol w:w="124"/>
        <w:gridCol w:w="109"/>
        <w:gridCol w:w="109"/>
        <w:gridCol w:w="109"/>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equipment and vehicles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 furniture and internal-use software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1,728.5 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the gross amount of capitalized internal-use software totaled $245.5 million and $247.2 million, respectively, and, net of accumulated amortization, totaled $45.2 million and $54.0 million, respectively. Accrued capital expenditures, the effects of which are excluded from capital expenditures in the Company’s consolidated statements of cash flows given their non-cash nature, totaled $12.0 million and $25.5 million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7 – Other Accrued Expenses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other accrued expenses as of the dates indicated (in millions):</w:t>
      </w:r>
    </w:p>
    <w:tbl>
      <w:tblPr>
        <w:tblW w:w="5192" w:type="dxa"/>
        <w:jc w:val="left"/>
        <w:tblInd w:w="0" w:type="dxa"/>
        <w:tblLayout w:type="fixed"/>
        <w:tblCellMar>
          <w:top w:w="28" w:type="dxa"/>
          <w:left w:w="28" w:type="dxa"/>
          <w:bottom w:w="28" w:type="dxa"/>
          <w:right w:w="28" w:type="dxa"/>
        </w:tblCellMar>
      </w:tblPr>
      <w:tblGrid>
        <w:gridCol w:w="1021"/>
        <w:gridCol w:w="896"/>
        <w:gridCol w:w="903"/>
        <w:gridCol w:w="196"/>
        <w:gridCol w:w="556"/>
        <w:gridCol w:w="109"/>
        <w:gridCol w:w="109"/>
        <w:gridCol w:w="109"/>
        <w:gridCol w:w="109"/>
        <w:gridCol w:w="256"/>
        <w:gridCol w:w="727"/>
        <w:gridCol w:w="201"/>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project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Self-insurance and related liabilities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sales and other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See Note 13 – Commitments and Contingencies for additional information on insurance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8 – Debt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the carrying values of debt as of the dates indicated (in millions):</w:t>
      </w:r>
    </w:p>
    <w:tbl>
      <w:tblPr>
        <w:tblW w:w="6340"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434"/>
        <w:gridCol w:w="434"/>
        <w:gridCol w:w="436"/>
        <w:gridCol w:w="109"/>
        <w:gridCol w:w="109"/>
        <w:gridCol w:w="109"/>
        <w:gridCol w:w="196"/>
        <w:gridCol w:w="691"/>
        <w:gridCol w:w="109"/>
        <w:gridCol w:w="109"/>
        <w:gridCol w:w="109"/>
        <w:gridCol w:w="109"/>
        <w:gridCol w:w="223"/>
        <w:gridCol w:w="787"/>
        <w:gridCol w:w="175"/>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4.500%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5.900%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6.625%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2,176.4 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Senior Credit Facility</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maintains a senior unsecured credit facility (the “Credit Facility”), which is composed of revolving commitments and matures on June 26, 2030. On July 7, 2026, the Credit Facility was amended to increase the aggregate revolving commitments from $1.9 billion to $2.25 billion. The other terms and conditions of the Credit Facility remain unchanged. Concurrent with the closing of the Superior acquisition, the Company borrowed $600 million under the Credit Facility, approximately $580 million of which was used to finance a portion of the cash consideration for the acquisition and related transactions and financing costs, with the remainder used for other working capital purposes.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both June 30, 2026 and December 31, 2025, the fair value of the Credit Facility, as estimated based on an income approach utilizing significant unobservable Level 3 inputs including discount rate assumptions, approximated its carrying value.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outstanding revolving loans accrued interest at weighted average rates of approximately 4.78% and 4.56% per annum, respectively, and included $45.8 million and $43.0 million, respectively, of borrowings denominated in Canadian dollars. Letters of credit of approximately $55.8 million and $57.1 million were issued as of June 30, 2026 and December 31, 2025, respectively. As of both June 30, 2026 and December 31, 2025, letter of credit fees accrued at 0.4375% per annum for performance standby letters of credit, and at 1.250% per annum for financial standby letters of credit. Outstanding letters of credit mature at various dates and most have automatic renewal provisions, subject to prior notice of cancellation.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availability for revolving loans totaled $1,368.5 million and $1,724.9 million, respectively, or up to $694.2 million and $692.9 million, respectively, for new letters of credit. Revolving loan borrowing capacity included $254.2 million and $257.0 million of availability in either Canadian dollars or Mexican pesos as of June 30, 2026 and December 31, 2025, respectively. The unused facility fee as of both June 30, 2026 and December 31, 2025 accrued at rates of 0.175% per annum.</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Credit Facilities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a separate credit facility, under which it may issue up to $50.0 million of performance standby letters of credit.  As of both June 30, 2026 and December 31, 2025, letters of credit issued under this facility totaled $33.4 million, which accrued fees at 0.50% per annum.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both June 30, 2026 and December 31, 2025, the gross carrying amount of the Company’s 4.500% senior notes due August 15, 2028 (the “4.500% Senior Notes”) totaled $600.0 million, and their estimated fair value totaled approximately $593.8 million and $595.7 million, respectively. As of both June 30, 2026 and December 31, 2025, the gross carrying amount of the Company’s 5.900% senior notes due June 15, 2029 (the “5.900% Senior Notes”) totaled $550.0 million, and their estimated fair value totaled approximately $565.1 million and $574.1 million, respectively. As of June 30, 2026 and December 31, 2025, the gross carrying amount of the Company’s 6.625% senior notes due August 15, 2029 (the “6.625% Senior Notes”) totaled $72.7 million and $72.3 million, respectively, and their estimated fair value approximated their carrying value for both respective periods. As of June 30, 2026 and December 31, 2025, the estimated fair values of the Company’s senior notes were determined based on an exit price approach using Level 2 inputs.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2025 Term Loan Facility</w:t>
      </w:r>
    </w:p>
    <w:p>
      <w:pPr>
        <w:pStyle w:val="TextBody"/>
        <w:bidi w:val="0"/>
        <w:spacing w:lineRule="auto" w:line="288" w:before="120" w:after="12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maintains a $600 million senior unsecured term loan facility (the “2025 Term Loan Facility”) that matures on June 26, 2028. Borrowings under the 2025 Term Loan Facility are not subject to amortization and are not guaranteed by, or secured by any assets of, the Company or any of its subsidiaries. As of both June 30, 2026 and December 31, 2025, the Company had $600 million outstanding under the 2025 Term Loan Facility and accrued interest at rates of 4.77% and 4.85%, respectively. </w:t>
      </w:r>
    </w:p>
    <w:p>
      <w:pPr>
        <w:pStyle w:val="TextBody"/>
        <w:bidi w:val="0"/>
        <w:spacing w:lineRule="auto" w:line="288" w:before="120" w:after="12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 xml:space="preserve">The fair value of the 2025 Term Loan Facility as of June 30, 2026 and December 31, 2025, as estimated based on an income approach utilizing significant unobservable Level 3 inputs including discount rate assumptions, approximated its carrying value.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2026 Term Loan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On July 7, 2026, the Company entered into a new senior unsecured delayed draw term loan agreement (the “2026 Term Loan Facility”), providing $700 million in delayed draw term loan commitments (the “Term Loan Commitments”), consisting of $400 million of three-year commitments (the “Three-Year Tranche”) and $300 million of four-year commitments (the “Four-Year Tranche”). The Term Loan Commitments were fully drawn in July 2026, and were used to finance a portion of the cash consideration for the acquisition of Superior and related transaction and financing costs. See Note 3 – Acquisitions, Goodwill and Other Intangible Assets, Net for additional information. The Three-Year Tranche will mature on July 20, 2029 and the Four-Year Tranche will mature on July 19, 2030. Loans under the Three-Year Tranche are not subject to amortization. Loans under the Four-Year Tranche will be amortized in quarterly principal installments of $3.75 million commencing on December 31, 2027 and will increase to $7.5 million on December 31, 2028, until maturity, subject to the application of certain prepayments.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Outstanding loans under the Three-Year Tranche bear interest, at the Company’s option, at a rate equal to either (a) Term Secured Overnight Financing Rate (“SOFR”), as defined in the 2026 Term Loan Facility, plus a margin of 1.000% to 1.500%, or (b) Base Rate, as defined below, plus a margin of up to 0.500%. Outstanding loans under the Four-Year Tranche bear interest, at the Company’s option, at a rate equal to either (a) Term SOFR plus a margin of 1.125% to 1.625%, or (b) Base Rate, plus a margin of 0.125% to 0.625%. The Base Rate equals the highest of (i) the Federal Funds Rate, as defined in the 2026 Term Loan Facility, plus 0.50%, (ii) Bank of America’s prime rate, and (iii) Term SOFR plus 1.00%. In each of the foregoing cases, the applicable margin is based on the Company’s Consolidated Leverage Ratio and Debt Rating, each as defined in the 2026 Term Loan Facility, as of the most recent fiscal quarter. The Company must also pay ticking fees at a rate of 0.175% on any undrawn commitments under the 2026 Term Loan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obligations under the 2026 Term Loan Facility are not guaranteed and are not secured by any assets of the Company or any of its subsidiaries. The 2026 Term Loan Facility contains affirmative and negative covenants that, among other things, limit the Company’s ability to engage in certain activities, including, but not limited to, acquisitions, mergers and consolidations, debt incurrence, investments, asset sales and lien incurrence. In addition, 2026 Term Loan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The 2026 Term Loan Facility requires the Company to maintain a Consolidated Leverage Ratio, as defined in the 2026 Term Loan Facility of not more than 3.50:1.00 as of the end of any fiscal quarter (except that, subject to certain conditions, if a permitted acquisition or series of permitted acquisitions having consideration exceeding $200 million occurs, such ratio is increased to 4.00:1.00 for the fiscal quarter in which the acquisition is completed and the four subsequent fiscal quarters). For purposes of calculating the Consolidated Leverage Ratio, funded indebtedness excludes undrawn standby performance letters of credit included in the calculation of Consolidated Funded Indebtedness, as defined in the 2026 Term Loan Facility.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Debt Covenants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outstanding debt instruments are subject to certain provisions and covenants, as more fully described in Note 8 – Debt in the Company’s 2025 Form 10-K. MasTec was in compliance with the provisions and covenants of its outstanding debt instruments as of both June 30, 2026 and December 31, 2025.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accrued interest payable, which is recorded within other accrued expenses in the consolidated balance sheets, totaled $15.9 million and $16.0 million, respectively. For additional information pertaining to the Company’s debt instruments, see Note 8 – Debt in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9 – Lease Obligations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enters into agreements that provide financing primarily for machinery, equipment, and vehicles, including certain related party leases. As of June 30, 2026, the Company’s leases have remaining lease terms of up to 13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Finance Leases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gross amount of assets held under finance leases as of June 30, 2026 and December 31, 2025 totaled $819.2 million and $798.8 million, respectively. Assets held under finance leases, net of accumulated depreciation, totaled $590.8 million and $560.1 million as of June 30, 2026 and December 31, 2025, respectively. Depreciation expense associated with finance leases totaled $17.5 million and $17.8 million for the three months ended June 30, 2026 and 2025, respectively, and totaled $34.8 million and $36.9 million for the six months ended June 30, 2026 and 2025, respectively.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Operating Leases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Operating lease additions for the three months ended June 30, 2026 and 2025 totaled $60.9 million and $47.5 million, respectively, and for the six months ended June 30, 2026 and 2025, totaled $119.8 million and $96.5 million, respectively. Acquisition-related additions for the six months ended June 30, 2026 were immaterial. For the three months ended June 30, 2026 and 2025, rent expense for leases that have terms in excess of one year totaled approximately $66.3 million and $53.8 million, respectively, of which $5.9 million and $5.1 million, respectively, represented variable lease costs. For the six months ended June 30, 2026 and 2025, rent expense for such leases totaled approximately $130.8 million and $105.1 million, respectively, of which $11.0 million and $10.1 million, respectively, represented variable lease costs. The Company also incurred rent expense for leases with terms of one year or less totaling approximately $225.5 million and $148.2 million for the three months ended June 30, 2026 and 2025, respectively, and totaling approximately $445.9 million and $282.6 million for the six months ended June 30, 2026 and 2025, respectively. Rent expense for operating leases is generally consistent with the amount of the related payments, which payments are included within operating activities in the consolidated statements of cash flows.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Lease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Future minimum lease commitments as of June 30, 2026 were as follows (in millions):</w:t>
      </w:r>
    </w:p>
    <w:tbl>
      <w:tblPr>
        <w:tblW w:w="6003" w:type="dxa"/>
        <w:jc w:val="left"/>
        <w:tblInd w:w="0" w:type="dxa"/>
        <w:tblLayout w:type="fixed"/>
        <w:tblCellMar>
          <w:top w:w="28" w:type="dxa"/>
          <w:left w:w="28" w:type="dxa"/>
          <w:bottom w:w="28" w:type="dxa"/>
          <w:right w:w="28" w:type="dxa"/>
        </w:tblCellMar>
      </w:tblPr>
      <w:tblGrid>
        <w:gridCol w:w="1408"/>
        <w:gridCol w:w="1231"/>
        <w:gridCol w:w="1245"/>
        <w:gridCol w:w="196"/>
        <w:gridCol w:w="556"/>
        <w:gridCol w:w="109"/>
        <w:gridCol w:w="109"/>
        <w:gridCol w:w="109"/>
        <w:gridCol w:w="109"/>
        <w:gridCol w:w="201"/>
        <w:gridCol w:w="571"/>
        <w:gridCol w:w="159"/>
      </w:tblGrid>
      <w:tr>
        <w:trPr/>
        <w:tc>
          <w:tcPr>
            <w:tcW w:w="140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w:t>
              <w:br/>
              <w:t>Leases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 six months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obligations, net of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lease obligations, net of interest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weighted average remaining lease terms and discount rates for finance and non-cancelable operating leases as of the dates indicated:</w:t>
      </w:r>
    </w:p>
    <w:tbl>
      <w:tblPr>
        <w:tblW w:w="6238" w:type="dxa"/>
        <w:jc w:val="left"/>
        <w:tblInd w:w="0" w:type="dxa"/>
        <w:tblLayout w:type="fixed"/>
        <w:tblCellMar>
          <w:top w:w="28" w:type="dxa"/>
          <w:left w:w="28" w:type="dxa"/>
          <w:bottom w:w="28" w:type="dxa"/>
          <w:right w:w="28" w:type="dxa"/>
        </w:tblCellMar>
      </w:tblPr>
      <w:tblGrid>
        <w:gridCol w:w="1427"/>
        <w:gridCol w:w="1256"/>
        <w:gridCol w:w="1261"/>
        <w:gridCol w:w="188"/>
        <w:gridCol w:w="188"/>
        <w:gridCol w:w="407"/>
        <w:gridCol w:w="109"/>
        <w:gridCol w:w="109"/>
        <w:gridCol w:w="109"/>
        <w:gridCol w:w="248"/>
        <w:gridCol w:w="248"/>
        <w:gridCol w:w="688"/>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remaining lease term (in years):</w:t>
            </w:r>
          </w:p>
        </w:tc>
        <w:tc>
          <w:tcPr>
            <w:tcW w:w="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discount rate:</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10 – Stockholders' Equity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Share Activity</w:t>
      </w:r>
    </w:p>
    <w:p>
      <w:pPr>
        <w:pStyle w:val="TextBody"/>
        <w:bidi w:val="0"/>
        <w:spacing w:lineRule="auto" w:line="288" w:before="120" w:after="120"/>
        <w:ind w:left="0" w:right="0" w:firstLine="720"/>
        <w:jc w:val="both"/>
        <w:rPr/>
      </w:pPr>
      <w:r>
        <w:rPr>
          <w:rFonts w:ascii="Times New Roman;serif" w:hAnsi="Times New Roman;serif"/>
          <w:b w:val="false"/>
          <w:color w:val="000000"/>
          <w:sz w:val="18"/>
        </w:rPr>
        <w:t>The Company’s share repurchase program provides for the repurchase, from time to time, of MasTec common shares in open market transactions or in privately negotiated transactions in accordance with applicable securities laws. There were no share repurchases under the Company’s share repurchase program for the six months ended June 30, 2026. For the three and six months ended June 30, 2025, the Company repurchased 0.4 million and 0.7 million shares of its common stock, respectively, for an aggregate purchase price totaling $40.3 million and $77.3 million, respectively, which completed the Company’s $150 million</w:t>
      </w:r>
      <w:r>
        <w:rPr>
          <w:color w:val="000000"/>
        </w:rPr>
        <w:t xml:space="preserve"> </w:t>
      </w:r>
      <w:r>
        <w:rPr>
          <w:rFonts w:ascii="Times New Roman;serif" w:hAnsi="Times New Roman;serif"/>
          <w:b w:val="false"/>
          <w:color w:val="000000"/>
          <w:sz w:val="18"/>
        </w:rPr>
        <w:t>March 2020 share repurchase program. As of June 30, 2026, the full amount under the Company’s May 2025 $250 million share repurchase program remains available for future repurchases. The Company’s share repurchase program does not have an expiration date and may be modified or suspended at any time at the Company’s discretion.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reissued 67,592 shares of its treasury stock with a cost basis of $2.4 million in settlement of certain Additional Payments in connection with the HMG acquisition. For additional information related to shares issued for acquisitions, see Note 3 – Acquisitions, Goodwill and Other Intangible Assets, Net.</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Stock-Based Compensation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stock-based compensation plans, under which shares of the Company’s common stock are reserved for issuance. Under all stock-based compensation plans in effect as of June 30, 2026, there were approximately 3,847,000 shares available for future grants. Non-cash stock-based compensation expense under all plans totaled approximately $11.5 million and $9.4 million for the three months ended June 30, 2026 and 2025, respectively, and totaled approximately $19.8 million and $16.3 million for the six months ended June 30, 2026 and 2025, respectively. Income tax benefits associated with stock-based compensation arrangements totaled $2.6 million and $1.7 million for the three months ended June 30, 2026 and 2025, respectively. For the six months ended June 30, 2026 and 2025, income tax benefits totaled $6.6 million and $3.3 million, respectively, including net tax benefits related to the vesting of share-based payment awards totaling $2.6 million and $0.4 million for the respective periods.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Restricted Shares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grants restricted stock awards and restricted stock units (together, “restricted shares”) to eligible participants, which are valued based on the closing market share price of MasTec common stock on the date of grant. During the restriction period, holders of restricted stock awards are entitled to vote the shares. As of June 30, 2026, total unearned compensation related to restricted shares was approximately $84.4 million, which amount is expected to be recognized over a weighted average period of approximately 2.3 years. The fair value of restricted shares that vested totaled approximately $1.8 million and $0.5 million for the three months ended June 30, 2026 and 2025, respectively, and totaled approximately $58.9 million and $21.3 million for the six months ended June 30, 2026 and 2025, respectively.</w:t>
      </w:r>
    </w:p>
    <w:tbl>
      <w:tblPr>
        <w:tblW w:w="9637" w:type="dxa"/>
        <w:jc w:val="left"/>
        <w:tblInd w:w="0" w:type="dxa"/>
        <w:tblLayout w:type="fixed"/>
        <w:tblCellMar>
          <w:top w:w="28" w:type="dxa"/>
          <w:left w:w="28" w:type="dxa"/>
          <w:bottom w:w="28" w:type="dxa"/>
          <w:right w:w="28" w:type="dxa"/>
        </w:tblCellMar>
      </w:tblPr>
      <w:tblGrid>
        <w:gridCol w:w="1449"/>
        <w:gridCol w:w="1275"/>
        <w:gridCol w:w="1280"/>
        <w:gridCol w:w="435"/>
        <w:gridCol w:w="436"/>
        <w:gridCol w:w="311"/>
        <w:gridCol w:w="109"/>
        <w:gridCol w:w="109"/>
        <w:gridCol w:w="109"/>
        <w:gridCol w:w="811"/>
        <w:gridCol w:w="2676"/>
        <w:gridCol w:w="637"/>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Activity, restricted shares: </w:t>
            </w:r>
            <w:r>
              <w:rPr>
                <w:rFonts w:ascii="Times New Roman;serif" w:hAnsi="Times New Roman;serif"/>
                <w:b/>
                <w:color w:val="000000"/>
                <w:sz w:val="12"/>
              </w:rPr>
              <w:t>(a)</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Restricted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 Weighted Average Grant Date Fair Value</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shares,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1,038,778 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195,822 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(196,464)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shares, as of June 30, 2026</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1,025,941 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131.35 </w:t>
            </w:r>
          </w:p>
        </w:tc>
        <w:tc>
          <w:tcPr>
            <w:tcW w:w="6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left"/>
        <w:rPr/>
      </w:pPr>
      <w:r>
        <w:rPr>
          <w:rFonts w:ascii="Times New Roman;serif" w:hAnsi="Times New Roman;serif"/>
          <w:b w:val="false"/>
          <w:color w:val="000000"/>
          <w:sz w:val="16"/>
        </w:rPr>
        <w:t>(a)    Includes 131 restricted stock units as of June 30, 2026; none</w:t>
      </w:r>
      <w:r>
        <w:rPr>
          <w:color w:val="000000"/>
        </w:rPr>
        <w:t xml:space="preserve"> </w:t>
      </w:r>
      <w:r>
        <w:rPr>
          <w:rFonts w:ascii="Times New Roman;serif" w:hAnsi="Times New Roman;serif"/>
          <w:b w:val="false"/>
          <w:color w:val="000000"/>
          <w:sz w:val="16"/>
        </w:rPr>
        <w:t xml:space="preserve">were outstanding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11 – Income Taxes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The Company’s consolidated effective tax rates were 24.8% and 25.4% for the three months ended June 30, 2026 and 2025, respectively, and 24.5% and 21.0% for the six months ended June 30, 2026 and 2025, respectively. The Company’s effective tax rate for the six months ended June 30, 2026 included income tax benefits primarily due to the vesting of share-based payment awards, offset, in part, by the effects of a higher state income tax rate. For the six months ended June 30, 2025, the Company’s effective tax rate included income tax benefits primarily due to the reversal of uncertain tax position liabilities related to a state audit, offset, in part, by an increase in income tax expense due to higher pre-tax income.</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July 4, 2025, new tax legislation was signed into law, known as the One Big Beautiful Bill Act (the “OBBBA”), which makes changes to certain U.S. corporate tax provisions, many of which become effective in 2026.  The Company has undertaken efforts to reasonably estimate the impact of the provisions of the new law and expects that there will be no material impact on the consolidated financial statements.  The Company will continue to evaluate the full impact of these legislative changes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12 – Segments and Related Information</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Segment Discussion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Communications segment performs engineering, construction, maintenance and customer fulfillment activities related to communications and digital infrastructure, primarily for wireless and wireline/fiber networks, data center buildout and interconnection, wireless integration and optimization and install-to-the-home services, as well as select utility infrastructure,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the construction and maintenance of buildings, roads, bridges, rail, water/sewer systems and other civil infrastructure, including data center infrastructure;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EBITDA is the measure of profitability used by the Company’s CODM to manage its segments and for segment reporting purposes.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normal course of business, the Company’s reportable segments enter into transactions with one another. Intersegment transactions are reflected in the results of the respective segments and are included in the measure of segment performance reviewed by the Company’s CODM to evaluate performance and profitability and to allocate resources for each of the Company’s reportable segments; accordingly, eliminations and adjustments related to intersegment transactions are separately presented as “Eliminations” in the tables below. Intersegment revenues and expenses are accounted for as if the transactions were with third parties, as they are based on negotiated fees between the segments involved. All intersegment revenues and expenses are eliminated in consolidation and do not affect consolidated results.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Summarized financial information for MasTec’s reportable segments is presented and reconciled to consolidated financial information for total MasTec in the following tables, including a reconciliation of segment EBITDA to consolidated income before income taxes, all of which are presented in millions. The tables below, which may contain slight summation differences due to rounding, reflect certain financial data for each reportable segment.</w:t>
      </w:r>
    </w:p>
    <w:tbl>
      <w:tblPr>
        <w:tblW w:w="10700" w:type="dxa"/>
        <w:jc w:val="left"/>
        <w:tblInd w:w="0" w:type="dxa"/>
        <w:tblLayout w:type="fixed"/>
        <w:tblCellMar>
          <w:top w:w="28" w:type="dxa"/>
          <w:left w:w="28" w:type="dxa"/>
          <w:bottom w:w="28" w:type="dxa"/>
          <w:right w:w="28" w:type="dxa"/>
        </w:tblCellMar>
      </w:tblPr>
      <w:tblGrid>
        <w:gridCol w:w="531"/>
        <w:gridCol w:w="229"/>
        <w:gridCol w:w="231"/>
        <w:gridCol w:w="324"/>
        <w:gridCol w:w="920"/>
        <w:gridCol w:w="182"/>
        <w:gridCol w:w="109"/>
        <w:gridCol w:w="109"/>
        <w:gridCol w:w="109"/>
        <w:gridCol w:w="239"/>
        <w:gridCol w:w="843"/>
        <w:gridCol w:w="134"/>
        <w:gridCol w:w="109"/>
        <w:gridCol w:w="109"/>
        <w:gridCol w:w="109"/>
        <w:gridCol w:w="196"/>
        <w:gridCol w:w="691"/>
        <w:gridCol w:w="109"/>
        <w:gridCol w:w="109"/>
        <w:gridCol w:w="109"/>
        <w:gridCol w:w="109"/>
        <w:gridCol w:w="276"/>
        <w:gridCol w:w="785"/>
        <w:gridCol w:w="155"/>
        <w:gridCol w:w="109"/>
        <w:gridCol w:w="109"/>
        <w:gridCol w:w="109"/>
        <w:gridCol w:w="196"/>
        <w:gridCol w:w="466"/>
        <w:gridCol w:w="109"/>
        <w:gridCol w:w="109"/>
        <w:gridCol w:w="109"/>
        <w:gridCol w:w="109"/>
        <w:gridCol w:w="269"/>
        <w:gridCol w:w="661"/>
        <w:gridCol w:w="151"/>
        <w:gridCol w:w="109"/>
        <w:gridCol w:w="109"/>
        <w:gridCol w:w="109"/>
        <w:gridCol w:w="196"/>
        <w:gridCol w:w="69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2025: </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23</w:t>
                      </w:r>
                    </w:p>
                  </w:txbxContent>
                </v:textbox>
                <w10:wrap type="none"/>
              </v:rect>
            </w:pict>
          </mc:Fallback>
        </mc:AlternateContent>
      </w:r>
    </w:p>
    <w:p>
      <w:pPr>
        <w:pStyle w:val="TextBody"/>
        <w:bidi w:val="0"/>
        <w:spacing w:before="0" w:after="0"/>
        <w:jc w:val="both"/>
        <w:rPr/>
      </w:pPr>
      <w:r>
        <w:rPr/>
      </w:r>
    </w:p>
    <w:tbl>
      <w:tblPr>
        <w:tblW w:w="10918" w:type="dxa"/>
        <w:jc w:val="left"/>
        <w:tblInd w:w="0" w:type="dxa"/>
        <w:tblLayout w:type="fixed"/>
        <w:tblCellMar>
          <w:top w:w="28" w:type="dxa"/>
          <w:left w:w="28" w:type="dxa"/>
          <w:bottom w:w="28" w:type="dxa"/>
          <w:right w:w="28" w:type="dxa"/>
        </w:tblCellMar>
      </w:tblPr>
      <w:tblGrid>
        <w:gridCol w:w="531"/>
        <w:gridCol w:w="229"/>
        <w:gridCol w:w="231"/>
        <w:gridCol w:w="280"/>
        <w:gridCol w:w="989"/>
        <w:gridCol w:w="157"/>
        <w:gridCol w:w="109"/>
        <w:gridCol w:w="109"/>
        <w:gridCol w:w="109"/>
        <w:gridCol w:w="239"/>
        <w:gridCol w:w="843"/>
        <w:gridCol w:w="134"/>
        <w:gridCol w:w="109"/>
        <w:gridCol w:w="109"/>
        <w:gridCol w:w="109"/>
        <w:gridCol w:w="196"/>
        <w:gridCol w:w="691"/>
        <w:gridCol w:w="109"/>
        <w:gridCol w:w="109"/>
        <w:gridCol w:w="109"/>
        <w:gridCol w:w="109"/>
        <w:gridCol w:w="239"/>
        <w:gridCol w:w="843"/>
        <w:gridCol w:w="134"/>
        <w:gridCol w:w="109"/>
        <w:gridCol w:w="109"/>
        <w:gridCol w:w="109"/>
        <w:gridCol w:w="196"/>
        <w:gridCol w:w="466"/>
        <w:gridCol w:w="109"/>
        <w:gridCol w:w="109"/>
        <w:gridCol w:w="109"/>
        <w:gridCol w:w="109"/>
        <w:gridCol w:w="269"/>
        <w:gridCol w:w="661"/>
        <w:gridCol w:w="151"/>
        <w:gridCol w:w="109"/>
        <w:gridCol w:w="109"/>
        <w:gridCol w:w="109"/>
        <w:gridCol w:w="196"/>
        <w:gridCol w:w="691"/>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Six Months Ended June 30,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2025: </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pPr>
      <w:r>
        <w:rPr>
          <w:rFonts w:ascii="Times New Roman;serif" w:hAnsi="Times New Roman;serif"/>
          <w:b w:val="false"/>
          <w:color w:val="000000"/>
          <w:sz w:val="16"/>
        </w:rPr>
        <w:t>(a)    Total consolidated revenue equals total reportable segment revenue of $4,373.6 million and $3,544.7 million for the three months ended June 30, 2026 and 2025, respectively, and $8,202.4 million</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$6,392.4 million</w:t>
      </w:r>
      <w:r>
        <w:rPr>
          <w:color w:val="000000"/>
        </w:rPr>
        <w:t xml:space="preserve"> </w:t>
      </w:r>
      <w:r>
        <w:rPr>
          <w:rFonts w:ascii="Times New Roman;serif" w:hAnsi="Times New Roman;serif"/>
          <w:b w:val="false"/>
          <w:color w:val="000000"/>
          <w:sz w:val="16"/>
        </w:rPr>
        <w:t>for the six months ended June 30, 2026</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2025, respectively, as there is no revenue recorded within Corporate results.</w:t>
      </w:r>
    </w:p>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Other segment items for each reportable segment include general and administrative expenses, equity in earnings or losses of unconsolidated affiliates, net, and other income or expense, net.</w:t>
      </w:r>
    </w:p>
    <w:p>
      <w:pPr>
        <w:pStyle w:val="TextBody"/>
        <w:bidi w:val="0"/>
        <w:spacing w:before="40" w:after="40"/>
        <w:jc w:val="both"/>
        <w:rPr/>
      </w:pPr>
      <w:r>
        <w:rPr/>
      </w:r>
    </w:p>
    <w:tbl>
      <w:tblPr>
        <w:tblW w:w="9840" w:type="dxa"/>
        <w:jc w:val="left"/>
        <w:tblInd w:w="0" w:type="dxa"/>
        <w:tblLayout w:type="fixed"/>
        <w:tblCellMar>
          <w:top w:w="28" w:type="dxa"/>
          <w:left w:w="28" w:type="dxa"/>
          <w:bottom w:w="28" w:type="dxa"/>
          <w:right w:w="28" w:type="dxa"/>
        </w:tblCellMar>
      </w:tblPr>
      <w:tblGrid>
        <w:gridCol w:w="1945"/>
        <w:gridCol w:w="1708"/>
        <w:gridCol w:w="1717"/>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Reconciliation of Segment EBITDA to Income Before Income Taxes: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tbl>
      <w:tblPr>
        <w:tblW w:w="7634" w:type="dxa"/>
        <w:jc w:val="center"/>
        <w:tblInd w:w="0" w:type="dxa"/>
        <w:tblLayout w:type="fixed"/>
        <w:tblCellMar>
          <w:top w:w="28" w:type="dxa"/>
          <w:left w:w="28" w:type="dxa"/>
          <w:bottom w:w="28" w:type="dxa"/>
          <w:right w:w="28" w:type="dxa"/>
        </w:tblCellMar>
      </w:tblPr>
      <w:tblGrid>
        <w:gridCol w:w="1145"/>
        <w:gridCol w:w="1007"/>
        <w:gridCol w:w="101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depreciation and amortization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01" w:type="dxa"/>
        <w:jc w:val="center"/>
        <w:tblInd w:w="0" w:type="dxa"/>
        <w:tblLayout w:type="fixed"/>
        <w:tblCellMar>
          <w:top w:w="28" w:type="dxa"/>
          <w:left w:w="28" w:type="dxa"/>
          <w:bottom w:w="28" w:type="dxa"/>
          <w:right w:w="28" w:type="dxa"/>
        </w:tblCellMar>
      </w:tblPr>
      <w:tblGrid>
        <w:gridCol w:w="863"/>
        <w:gridCol w:w="758"/>
        <w:gridCol w:w="764"/>
        <w:gridCol w:w="208"/>
        <w:gridCol w:w="831"/>
        <w:gridCol w:w="116"/>
        <w:gridCol w:w="109"/>
        <w:gridCol w:w="109"/>
        <w:gridCol w:w="109"/>
        <w:gridCol w:w="307"/>
        <w:gridCol w:w="1085"/>
        <w:gridCol w:w="24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December 31, 2025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assets</w:t>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10,925.5 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9,923.5 </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24</w:t>
                      </w:r>
                    </w:p>
                  </w:txbxContent>
                </v:textbox>
                <w10:wrap type="none"/>
              </v:rect>
            </w:pict>
          </mc:Fallback>
        </mc:AlternateContent>
      </w:r>
    </w:p>
    <w:p>
      <w:pPr>
        <w:pStyle w:val="TextBody"/>
        <w:bidi w:val="0"/>
        <w:spacing w:before="0" w:after="0"/>
        <w:jc w:val="both"/>
        <w:rPr/>
      </w:pPr>
      <w:r>
        <w:rPr/>
      </w:r>
    </w:p>
    <w:tbl>
      <w:tblPr>
        <w:tblW w:w="6780" w:type="dxa"/>
        <w:jc w:val="left"/>
        <w:tblInd w:w="0" w:type="dxa"/>
        <w:tblLayout w:type="fixed"/>
        <w:tblCellMar>
          <w:top w:w="28" w:type="dxa"/>
          <w:left w:w="28" w:type="dxa"/>
          <w:bottom w:w="28" w:type="dxa"/>
          <w:right w:w="28" w:type="dxa"/>
        </w:tblCellMar>
      </w:tblPr>
      <w:tblGrid>
        <w:gridCol w:w="902"/>
        <w:gridCol w:w="793"/>
        <w:gridCol w:w="795"/>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capital expenditures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pPr>
      <w:r>
        <w:rPr>
          <w:rFonts w:ascii="Times New Roman;serif" w:hAnsi="Times New Roman;serif"/>
          <w:b/>
          <w:i/>
          <w:color w:val="000000"/>
          <w:sz w:val="18"/>
          <w:shd w:fill="FFFFFF" w:val="clear"/>
        </w:rPr>
        <w:t>Foreign Operations</w:t>
      </w:r>
      <w:r>
        <w:rPr>
          <w:rFonts w:ascii="Times New Roman;serif" w:hAnsi="Times New Roman;serif"/>
          <w:b/>
          <w:i/>
          <w:color w:val="000000"/>
          <w:sz w:val="18"/>
        </w:rPr>
        <w:t xml:space="preserve">. </w:t>
      </w:r>
      <w:r>
        <w:rPr>
          <w:rFonts w:ascii="Times New Roman;serif" w:hAnsi="Times New Roman;serif"/>
          <w:b w:val="false"/>
          <w:color w:val="000000"/>
          <w:sz w:val="18"/>
        </w:rPr>
        <w:t>MasTec operates primarily within the United States and Canada. Revenue derived from foreign operations totaled $65.2 million and $43.9 million for the three months ended June 30, 2026 and 2025, respectively, and totaled $120.6 million and $93.6 million for the six months ended June 30, 2026 and 2025, respectively. Revenue from foreign operations was derived primarily from the Company’s Canadian operations in its Pipeline Infrastructure segment. As of June 30, 2026 and December 31, 2025, long-lived assets held by the Company’s businesses in foreign countries included property and equipment, net, of $21.4 million and $23.0 million respectively, and intangible assets and goodwill, net, of $109.8 million and $108.8 million, for the respective periods. Substantially all of the Company’s long-lived and intangible assets and goodwill in foreign countries relate to its Canadian operations.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Significant Customers. </w:t>
      </w:r>
      <w:r>
        <w:rPr>
          <w:rFonts w:ascii="Times New Roman;serif" w:hAnsi="Times New Roman;serif"/>
          <w:b w:val="false"/>
          <w:color w:val="000000"/>
          <w:sz w:val="18"/>
        </w:rPr>
        <w:t>No customer represented greater than 10% of the Company’s total consolidated revenue in either of the three or six months ended June 30, 2026. For both the three and six months ended June 30, 2025, AT&amp;T represented approximately 11% of the Company’s total consolidated revenue. The Company’s relationship with AT&amp;T is based upon multiple separate master service and other service agreements, including for maintenance services and construction/installation contracts for wireless and wireline, and for which the related revenue is included primarily within the Communications segment. Revenue from governmental entities for the three and six months ended June 30, 2026 totaled approximately 15% and 14% of total revenue, respectively, and for both the three and six months ended June 30, 2025, totaled approximately 13%, all of which was derived from its U.S.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13 – Commitments and Contingencies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Commitments and Contingencies</w:t>
      </w:r>
    </w:p>
    <w:p>
      <w:pPr>
        <w:pStyle w:val="TextBody"/>
        <w:bidi w:val="0"/>
        <w:spacing w:lineRule="auto" w:line="288" w:before="120" w:after="120"/>
        <w:ind w:left="0" w:right="0" w:firstLine="720"/>
        <w:jc w:val="both"/>
        <w:rPr/>
      </w:pPr>
      <w:r>
        <w:rPr>
          <w:rFonts w:ascii="Times New Roman;serif" w:hAnsi="Times New Roman;serif"/>
          <w:b/>
          <w:i/>
          <w:color w:val="000000"/>
          <w:sz w:val="18"/>
        </w:rPr>
        <w:t>Leases</w:t>
      </w:r>
      <w:r>
        <w:rPr>
          <w:rFonts w:ascii="Times New Roman;serif" w:hAnsi="Times New Roman;serif"/>
          <w:b/>
          <w:color w:val="000000"/>
          <w:sz w:val="18"/>
        </w:rPr>
        <w:t xml:space="preserve">. </w:t>
      </w:r>
      <w:r>
        <w:rPr>
          <w:rFonts w:ascii="Times New Roman;serif" w:hAnsi="Times New Roman;serif"/>
          <w:b w:val="false"/>
          <w:color w:val="000000"/>
          <w:sz w:val="18"/>
        </w:rPr>
        <w:t>In the ordinary course of business, the Company enters into non-cancelable operating leases for certain of its facility, vehicle and equipment needs, including certain related party leases. See Note 9 – Lease Obligations and Note 14 – Related Party Transactions.</w:t>
      </w:r>
    </w:p>
    <w:p>
      <w:pPr>
        <w:pStyle w:val="TextBody"/>
        <w:bidi w:val="0"/>
        <w:spacing w:lineRule="auto" w:line="288" w:before="120" w:after="120"/>
        <w:ind w:left="0" w:right="0" w:firstLine="720"/>
        <w:jc w:val="both"/>
        <w:rPr/>
      </w:pPr>
      <w:r>
        <w:rPr>
          <w:rFonts w:ascii="Times New Roman;serif" w:hAnsi="Times New Roman;serif"/>
          <w:b/>
          <w:i/>
          <w:color w:val="000000"/>
          <w:sz w:val="18"/>
        </w:rPr>
        <w:t>Letters of Credit.</w:t>
      </w:r>
      <w:r>
        <w:rPr>
          <w:color w:val="000000"/>
        </w:rPr>
        <w:t xml:space="preserve"> </w:t>
      </w:r>
      <w:r>
        <w:rPr>
          <w:rFonts w:ascii="Times New Roman;serif" w:hAnsi="Times New Roman;serif"/>
          <w:b w:val="false"/>
          <w:color w:val="000000"/>
          <w:sz w:val="18"/>
        </w:rPr>
        <w:t>In the ordinary course of business, the Company is required to post letters of credit for its insurance carriers and surety bond providers and in support of performance under certain contracts as well as certain obligations associated with the Company’s equity investments and other strategic arrangements, including its VIEs. In addition, from time to time, certain customers require the Company to post letters of credit to ensure payment of subcontractors and vendors, and guarantee performance under contracts.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2026 and December 31, 2025, there were $89.2 million and $90.5 million, respectively, of letters of credit issued under the Company’s credit facilities. Letter of credit claims have historically not been material. The Company is not aware of any material claims relating to its outstanding letters of credit as of June 30, 2026 or December 31, 2025.</w:t>
      </w:r>
    </w:p>
    <w:p>
      <w:pPr>
        <w:pStyle w:val="TextBody"/>
        <w:bidi w:val="0"/>
        <w:spacing w:lineRule="auto" w:line="288" w:before="120" w:after="120"/>
        <w:ind w:left="0" w:right="0" w:firstLine="720"/>
        <w:jc w:val="both"/>
        <w:rPr/>
      </w:pPr>
      <w:r>
        <w:rPr>
          <w:rFonts w:ascii="Times New Roman;serif" w:hAnsi="Times New Roman;serif"/>
          <w:b/>
          <w:i/>
          <w:color w:val="000000"/>
          <w:sz w:val="18"/>
        </w:rPr>
        <w:t>Performance and Payment Bonds.</w:t>
      </w:r>
      <w:r>
        <w:rPr>
          <w:color w:val="000000"/>
        </w:rPr>
        <w:t xml:space="preserve"> </w:t>
      </w:r>
      <w:r>
        <w:rPr>
          <w:rFonts w:ascii="Times New Roman;serif" w:hAnsi="Times New Roman;serif"/>
          <w:b w:val="false"/>
          <w:color w:val="000000"/>
          <w:sz w:val="18"/>
        </w:rPr>
        <w:t>In the ordinary course of business, MasTec is required by certain customers to provide performance and payment bonds for 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June 30, 2026 and December 31, 2025, outstanding performance and payment bonds approximated $13.4 billion and $10.9 billion, respectively, and estimated costs to complete projects secured by these bonds totaled $5.3 billion and $4.6 billion, respectively. Included in these balances as of June 30, 2026 and December 31, 2025 are $1.3 billion and $1.1 billion,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Investment and Strategic Arrangements.</w:t>
      </w:r>
      <w:r>
        <w:rPr>
          <w:color w:val="000000"/>
        </w:rPr>
        <w:t xml:space="preserve"> </w:t>
      </w:r>
      <w:r>
        <w:rPr>
          <w:rFonts w:ascii="Times New Roman;serif" w:hAnsi="Times New Roman;serif"/>
          <w:b w:val="false"/>
          <w:color w:val="000000"/>
          <w:sz w:val="18"/>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eleven civil and infrastructure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2026, the Company was not aware of material claims against it in connection with these arrangements. Included in the Company’s cash balances as of June 30, 2026 and December 31, 2025 are amounts held by entities that are proportionately consolidated totaling $39.3 million and $45.0 million, respectively. These amounts are available to support the operations of those entities, but are not available for the Company’s other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other investment and strategic arrangements, under which it may incur costs or provide financing, performance, financial and/or other guarantees. See Note 4 – Fair Value of Financial Instruments and Note 14 – Related Party Transactions for additional information pertaining to the Company’s investment and strategic arrangements.</w:t>
      </w:r>
    </w:p>
    <w:p>
      <w:pPr>
        <w:pStyle w:val="TextBody"/>
        <w:bidi w:val="0"/>
        <w:spacing w:lineRule="auto" w:line="288" w:before="120" w:after="120"/>
        <w:ind w:left="0" w:right="0" w:firstLine="720"/>
        <w:jc w:val="both"/>
        <w:rPr/>
      </w:pPr>
      <w:r>
        <w:rPr>
          <w:rFonts w:ascii="Times New Roman;serif" w:hAnsi="Times New Roman;serif"/>
          <w:b/>
          <w:i/>
          <w:color w:val="000000"/>
          <w:sz w:val="18"/>
        </w:rPr>
        <w:t>Self-Insurance</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MasTec maintains insurance policies for workers’ compensation, general liability and automobile liability, which are subject to per claim 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$4.2 million and $3.3 million as of June 30, 2026 and December 31, 2025, respectively, which amounts are generally not available for use in the Company’s other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MasTec’s estimated gross liability for unpaid claims and associated expenses, including incurred but not reported losses related to these policies, totaled $342.1 million and $306.8 million, respectively, of which $249.8 million and $224.9 million were reflected within other long-term liabilities, with the remainder reflected within other accrued expenses, in the consolidated balance sheets as of the respective periods. Related insurance recoveries/receivables totaled $27.7 million and $25.2 million as of June 30, 2026 and December 31, 2025, respectively, of which $24.4 million and $22.4 million were reflected within other long-term assets, with the remainder reflected within other current assets, in the consolidated balance sheets as of the respective periods.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also maintains an insurance policy with respect to employee group medical claims, which is subject to annual per employee maximum losses. MasTec’s estimated liability for employee group medical claims totaled $7.2 million and $2.3 million as of June 30, 2026 and December 31, 2025,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$7.4 million as of both June 30, 2026 and December 31, 2025. Outstanding surety bonds related to self-insurance programs amounted to $198.6 million as of both June 30, 2026 and December 31, 2025.</w:t>
      </w:r>
    </w:p>
    <w:p>
      <w:pPr>
        <w:pStyle w:val="TextBody"/>
        <w:bidi w:val="0"/>
        <w:spacing w:lineRule="auto" w:line="288" w:before="120" w:after="120"/>
        <w:ind w:left="0" w:right="0" w:firstLine="720"/>
        <w:jc w:val="both"/>
        <w:rPr/>
      </w:pPr>
      <w:r>
        <w:rPr>
          <w:rFonts w:ascii="Times New Roman;serif" w:hAnsi="Times New Roman;serif"/>
          <w:b/>
          <w:i/>
          <w:color w:val="000000"/>
          <w:sz w:val="18"/>
        </w:rPr>
        <w:t>Indemnities.</w:t>
      </w:r>
      <w:r>
        <w:rPr>
          <w:color w:val="000000"/>
        </w:rPr>
        <w:t xml:space="preserve"> </w:t>
      </w:r>
      <w:r>
        <w:rPr>
          <w:rFonts w:ascii="Times New Roman;serif" w:hAnsi="Times New Roman;serif"/>
          <w:b w:val="false"/>
          <w:color w:val="000000"/>
          <w:sz w:val="18"/>
        </w:rPr>
        <w:t>The Company generally indemnifies its customers for the services it provides under its contracts, as well as other specified liabilities, which may subject the Company to indemnity claims, liabilities and related litigation. As of both June 30, 2026 and December 31, 2025, the Company had accrued project close-out liabilities of approximately $5 million. The Company is not aware of any other material asserted or unasserted claims in connection with its potential indemnity obligations.</w:t>
      </w:r>
    </w:p>
    <w:p>
      <w:pPr>
        <w:pStyle w:val="TextBody"/>
        <w:bidi w:val="0"/>
        <w:spacing w:lineRule="auto" w:line="288" w:before="120" w:after="120"/>
        <w:ind w:left="0" w:right="0" w:firstLine="720"/>
        <w:jc w:val="both"/>
        <w:rPr/>
      </w:pPr>
      <w:r>
        <w:rPr>
          <w:rFonts w:ascii="Times New Roman;serif" w:hAnsi="Times New Roman;serif"/>
          <w:b/>
          <w:i/>
          <w:color w:val="000000"/>
          <w:sz w:val="18"/>
        </w:rPr>
        <w:t>Other Guarantees.</w:t>
      </w:r>
      <w:r>
        <w:rPr>
          <w:color w:val="000000"/>
        </w:rPr>
        <w:t xml:space="preserve"> </w:t>
      </w:r>
      <w:r>
        <w:rPr>
          <w:rFonts w:ascii="Times New Roman;serif" w:hAnsi="Times New Roman;serif"/>
          <w:b w:val="false"/>
          <w:color w:val="000000"/>
          <w:sz w:val="18"/>
        </w:rPr>
        <w:t>From time to time in the ordinary course of its business, MasTec guarantees the obligations of its subsidiaries, including obligations under 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pStyle w:val="TextBody"/>
        <w:bidi w:val="0"/>
        <w:spacing w:lineRule="auto" w:line="288" w:before="120" w:after="120"/>
        <w:ind w:left="0" w:right="0" w:firstLine="720"/>
        <w:jc w:val="both"/>
        <w:rPr/>
      </w:pPr>
      <w:r>
        <w:rPr>
          <w:rFonts w:ascii="Times New Roman;serif" w:hAnsi="Times New Roman;serif"/>
          <w:b/>
          <w:i/>
          <w:color w:val="000000"/>
          <w:sz w:val="18"/>
        </w:rPr>
        <w:t>Concentrations of Risk.</w:t>
      </w:r>
      <w:r>
        <w:rPr>
          <w:color w:val="000000"/>
        </w:rPr>
        <w:t xml:space="preserve"> </w:t>
      </w:r>
      <w:r>
        <w:rPr>
          <w:rFonts w:ascii="Times New Roman;serif" w:hAnsi="Times New Roman;serif"/>
          <w:b w:val="false"/>
          <w:color w:val="000000"/>
          <w:sz w:val="18"/>
        </w:rPr>
        <w:t>The Company had approximately 1,430 customers for the six months ended June 30, 2026. As of June 30, 2026, no customer represented greater than 10% of the Company’s consolidated net accounts receivable position, which is calculated as accounts receivable, net, less deferred revenue. As of December 31, 2025, one customer accounted for approximately 10% of the Company’s consolidated net accounts receivable position. The Company derived approximately 35% and 36% of its revenue from its top ten customers for the three months ended June 30, 2026 and 2025, respectively, and approximately 37% and 35%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14 – Related Party Transactions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rents and leases equipment and purchases certain supplies and servicing from CCI. Prior to and through a portion of the first quarter of 2026, CCI was an entity in which Juan Carlos Mas, who is an immediate family member of the Company’s CEO and its Chairman of the Board, served as the chairman. Additionally, a member of management of a MasTec subsidiary and an entity owned by the Mas family were minority owners of CCI until such ownership interests were sold during the first quarter of 2026, at which time the related-party relationship ended. For the three months ended June 30, 2025, MasTec paid CCI approximately $1.2 million, and for the six months ended June 30, 2026 and 2025, MasTec paid approximately $2.3 million and $2.7 million, respectively, for such services. Amounts payable to CCI totaled approximately $0.8 million as of December 31, 2025. The Company also rented equipment to CCI and revenue from such rentals totaled approximately $0.3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 subcontracting arrangement with an entity for the performance of construction services, the minority owners of which include an entity controlled by Jorge Mas and José R. Mas, along with two members of management of a MasTec subsidiary. For the three months ended June 30, 2026 and 2025, MasTec incurred subcontracting expenses in connection with this arrangement of approximately $0.5 million and $1.3 million, respectively, and for the six months ended June 30, 2026 and June 30, 2025, subcontracting expenses totaled $1.8 million and $1.4 million, respectively. Related amounts payable totaled approximately $0.4 million as of June 30, 2026, and were immaterial as of December 31,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an aircraft leasing arrangement with an entity that is owned by Jorge Mas. For both the three months ended June 30, 2026 and 2025, payments related to this leasing arrangement totaled approximately $1.4 million, and for the six months ended June 30, 2026 and 2025 MasTec paid approximately $2.9 million and $2.8 million,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performs construction services on behalf of a professional Miami soccer franchise (the “Franchise”) in which Jorge Mas and José R. Mas are majority owners. Construction services include, and have included, the construction of a soccer facility and stadium, as well as utility and wireless infrastructure services. Construction services related to site preparation for this new soccer complex began in 2023 and stadium construction is expected to be completed by the end of 2026. For the three months ended June 30, 2026 and 2025, revenue under these arrangements totaled approximately $14.1 million and $18.7 million, respectively, and totaled approximately $44.4 million and $29.6 million for the six months ended June 30, 2026 and June 30, 2025, respectively. As of June 30, 2026 and December 31, 2025, amounts receivable related to these arrangements totaled approximately $40.7 million and $37.5 million, respectively. Payments for other expenses related to the Franchise totaled approximately $0.9 million and $0.2 million for the three months ended June 30, 2026 and 2025, respectively, and totaled approximately $1.1 million and $0.6 million for the six months ended June 30, 2026 and 2025,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split dollar life insurance agreements with trusts, for one of which Jorge Mas is a trustee, and for the other of which José R. Mas is a trustee. As of both June 30, 2026 and December 31, 2025, life insurance assets associated with these agreements totaled approximately $27.5 million.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periods indicated is noted below.</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purchases, rents and leases equipment and purchases various types of supplies and services used in its business, and from time to time, rents equipment to, sells certain supplies, or performs construction services on behalf of, related entities. For the three months ended June 30, 2026 and 2025, payments to these related entities totaled approximately $11.7 million and $9.3 million, respectively, and for the six months ended June 30, 2026 and 2025 such payments totaled approximately $27.4 million and $16.7 million, respectively. Revenue from such arrangements totaled approximately $4.8 million and $3.4 million for the three months ended June 30, 2026 and 2025, respectively, and totaled approximately $7.2 million and $5.0 million for the six months ended June 30, 2026 and 2025, respectively. Payables associated with such arrangements totaled approximately $3.4 million and $4.2 million as of June 30, 2026 and December 31, 2025, respectively. As of June 30, 2026 and December 31, 2025, accounts receivable, net, less deferred revenue related to these arrangements totaled approximately $4.7 million and $3.9 million,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Non-controlling interests in entities consolidated by the Company represent ownership interests held by members of management of certain of the Company’s subsidiaries. The Company sold certain minority interests in these entities to members of management of a MasTec subsidiary for $7.1 million of notes receivable in a prior year, which accrued interest at a rate of 5.0% per annum. As of December 31, 2025, these notes receivable had an outstanding balance of approximately $0.4 million, which was repaid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CAUTIONARY STATEMENT REGARDING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“continue,” “targets,” “project,” “predict”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These risks and uncertainties include those described in “Management’s Discussion and Analysis of Financial Condition and Results of Operations,” and elsewhere in this report and in our 2025 Annual Report on Form 10-K (“2025 Form 10-K”), including those described under “Cautionary Statement Regarding Forward-Looking Statements” and “Risk Factors,” as updated by </w:t>
      </w:r>
      <w:hyperlink w:anchor="iaa10d075ab7a453f9fa9a498cab03418_136">
        <w:r>
          <w:rPr>
            <w:rStyle w:val="InternetLink"/>
            <w:rFonts w:ascii="Times New Roman;serif" w:hAnsi="Times New Roman;serif"/>
            <w:b w:val="false"/>
            <w:color w:val="0000FF"/>
            <w:sz w:val="18"/>
            <w:u w:val="single"/>
          </w:rPr>
          <w:t>Item 1A</w:t>
        </w:r>
      </w:hyperlink>
      <w:r>
        <w:rPr>
          <w:rFonts w:ascii="Times New Roman;serif" w:hAnsi="Times New Roman;serif"/>
          <w:b w:val="false"/>
          <w:color w:val="000000"/>
          <w:sz w:val="18"/>
        </w:rPr>
        <w:t>, “Risk Factors” in this report and other filings we make with the Securities and Exchange Commission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 xml:space="preserve">The following is a discussion and analysis of our business, financial condition and results of operations for the quarterly period ended June 30, 2026 and relevant prior periods. This discussion and analysis should be read in conjunction with our consolidated financial statements and notes thereto in </w:t>
      </w:r>
      <w:hyperlink w:anchor="iaa10d075ab7a453f9fa9a498cab03418_13">
        <w:r>
          <w:rPr>
            <w:rStyle w:val="InternetLink"/>
            <w:rFonts w:ascii="Times New Roman;serif" w:hAnsi="Times New Roman;serif"/>
            <w:b w:val="false"/>
            <w:color w:val="0000FF"/>
            <w:sz w:val="18"/>
            <w:u w:val="single"/>
          </w:rPr>
          <w:t>Item 1</w:t>
        </w:r>
      </w:hyperlink>
      <w:r>
        <w:rPr>
          <w:color w:val="000000"/>
        </w:rPr>
        <w:t xml:space="preserve"> </w:t>
      </w:r>
      <w:r>
        <w:rPr>
          <w:rFonts w:ascii="Times New Roman;serif" w:hAnsi="Times New Roman;serif"/>
          <w:b w:val="false"/>
          <w:color w:val="000000"/>
          <w:sz w:val="18"/>
        </w:rPr>
        <w:t>of this Quarterly Report on Form 10-Q (this “Form 10-Q”), and the audited consolidated financial statements, accompanying notes and Management’s Discussion and Analysis of Financial Condition and Results of Operations (“MD&amp;A”) contained in our 2025 Form 10-K. In this MD&amp;A, “$” means U.S. dollars unless specified otherwise.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Recent Transactions</w:t>
      </w:r>
    </w:p>
    <w:p>
      <w:pPr>
        <w:pStyle w:val="TextBody"/>
        <w:bidi w:val="0"/>
        <w:spacing w:lineRule="auto" w:line="288" w:before="0" w:after="0"/>
        <w:ind w:left="0" w:right="0" w:firstLine="720"/>
        <w:jc w:val="both"/>
        <w:rPr/>
      </w:pPr>
      <w:r>
        <w:rPr>
          <w:rFonts w:ascii="Times New Roman;serif" w:hAnsi="Times New Roman;serif"/>
          <w:b/>
          <w:i/>
          <w:color w:val="000000"/>
          <w:sz w:val="18"/>
        </w:rPr>
        <w:t>Superior Acquisition.</w:t>
      </w:r>
      <w:r>
        <w:rPr>
          <w:color w:val="000000"/>
        </w:rPr>
        <w:t xml:space="preserve"> </w:t>
      </w:r>
      <w:r>
        <w:rPr>
          <w:rFonts w:ascii="Times New Roman;serif" w:hAnsi="Times New Roman;serif"/>
          <w:b w:val="false"/>
          <w:color w:val="000000"/>
          <w:sz w:val="18"/>
        </w:rPr>
        <w:t>In July 2026, we completed the acquisition of Electrical Specialists, Inc., d/b/a The Superior Group (“Superior”), a premier full-service electrical contractor focused on critical infrastructure with approximately 3,000 employees, which we expect to include within our Power Delivery segment. Superior is a recognized leader in building data center infrastructure while serving a diverse range of end markets including healthcare, entertainment and industrial. The aggregate purchase price of the acquisition, excluding cash acquired and subject to certain adjustments, was approximately $1.6 billion, consisting of approximately $1.2 billion in cash and 1,219,498 shares of MasTec common stock issued from its treasury shares, which had a fair value of $410.5 million as of the acquisition date. Additionally, the acquisition included an earn-out arrangement under which additional consideration may be payable based on the achievement of certain financial performance targets over a three-year period. The cash portion of the acquisition was funded with a combination of cash on hand, borrowings under our amended Credit Facility and the 2026 Term Loan Facility. See Note 8 – Debt in the notes to the consolidated financial statements, which is incorporated by reference, for additional information regarding the amended Credit Facility and the 2026 Term Loan Facility. We have incurred, and expect to continue to incur, certain acquisition costs in connection with the Superior acquisition.</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General Economic, Market and Regulatory Conditions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As disclosed within our “Risk Factors” in our 2025 Form 10-K, we are subject to risks related to, among other factors, tariffs and trade actions and geopolitical events that may affect macroeconomic conditions, supply chains, costs and customer demand. Recent geopolitical tensions, most notably conflicts in the Middle East, have contributed to increased volatility and uncertainty in the energy and capital markets, including higher fuel prices used to operate our fleet of vehicles, machinery and equipment, and such volatility could persist if these events are further prolonged or escalate. At the same time, a heightened focus on domestic energy security and independence may incentivize oil and gas development and increase demand for renewable alternatives. </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2025 and continuing into 2026, the U.S. government announced or imposed a variety of tariff or other trade actions, prompting retaliatory measures by many countries, including tariffs on U.S. exports and restrictions on certain foreign exports. These actions, including modifications to tariff regimes affecting steel, aluminum, copper, and other imported materials, have increased the cost of importing certain construction materials into the U.S. and have contributed to disruption, uncertainty, and volatility in international trade and supply chains. Significant uncertainty remains regarding the status of existing and newly announced tariffs, potential changes or pauses to such tariffs, tariff levels, and whether further additional tariffs or other retaliatory actions may be imposed, modified, or suspended. We continue to monitor these developments and to evaluate potential impacts and mitigating strategies that we or our customers may implement; however, although these trade actions and ongoing geopolitical events have not had a material impact on our results of operations to date, the related uncertainty and potential changes in trade policy or geopolitical conditions could affect our customers’ capital spending plans, supply chains and operating costs, which could, in turn, adversely affect demand for our services in future periods.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Additionally, on July 4, 2025, the One Big Beautiful Bill Act (the “OBBBA”) was enacted in the United States increasing federal support for oil and gas production while reducing support for renewable energy and infrastructure. In particular, the acceleration of the phaseout of certain clean energy tax credits established under the Inflation Reduction Act may affect the timing and long-term demand for certain renewable energy projects, while other provisions incentivize oil and gas development as well as to support energy infrastructure such as carbon capture and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storage. The OBBBA, along with other evolving trade and immigration policies, may have both positive and negative effects on our business, including, but not limited to, shifts in the timing, type and scope of customer projects, fluctuations in demand for our services, and changes in capital and labor costs, including availability.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will continue to monitor the market and economic conditions. 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Business Overview</w:t>
      </w:r>
    </w:p>
    <w:p>
      <w:pPr>
        <w:pStyle w:val="TextBody"/>
        <w:bidi w:val="0"/>
        <w:spacing w:lineRule="auto" w:line="288" w:before="120" w:after="120"/>
        <w:ind w:left="0" w:right="0" w:firstLine="720"/>
        <w:jc w:val="both"/>
        <w:rPr/>
      </w:pPr>
      <w:r>
        <w:rPr>
          <w:rFonts w:ascii="Times New Roman;serif" w:hAnsi="Times New Roman;serif"/>
          <w:b w:val="false"/>
          <w:color w:val="000000"/>
          <w:sz w:val="18"/>
        </w:rPr>
        <w:t>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Our customers are primarily in these industries. Including our predecessor companies, we have been in business for over 95 years. A</w:t>
      </w:r>
      <w:r>
        <w:rPr>
          <w:rFonts w:ascii="Times New Roman;serif" w:hAnsi="Times New Roman;serif"/>
          <w:b w:val="false"/>
          <w:color w:val="000000"/>
          <w:sz w:val="18"/>
          <w:shd w:fill="FFFFFF" w:val="clear"/>
        </w:rPr>
        <w:t xml:space="preserve">s of </w:t>
      </w:r>
      <w:r>
        <w:rPr>
          <w:rFonts w:ascii="Times New Roman;serif" w:hAnsi="Times New Roman;serif"/>
          <w:b w:val="false"/>
          <w:color w:val="000000"/>
          <w:sz w:val="18"/>
        </w:rPr>
        <w:t>June 30, 2026, we had approximately 37,000 employees and 780 locations</w:t>
      </w:r>
      <w:r>
        <w:rPr>
          <w:rFonts w:ascii="Times New Roman;serif" w:hAnsi="Times New Roman;serif"/>
          <w:b w:val="false"/>
          <w:color w:val="000000"/>
          <w:sz w:val="18"/>
          <w:shd w:fill="FFFFFF" w:val="clear"/>
        </w:rPr>
        <w:t xml:space="preserve">. We </w:t>
      </w:r>
      <w:r>
        <w:rPr>
          <w:rFonts w:ascii="Times New Roman;serif" w:hAnsi="Times New Roman;serif"/>
          <w:b w:val="false"/>
          <w:color w:val="000000"/>
          <w:sz w:val="18"/>
        </w:rPr>
        <w:t>offer our services under the MasTec</w:t>
      </w:r>
      <w:r>
        <w:rPr>
          <w:rFonts w:ascii="Times New Roman;serif" w:hAnsi="Times New Roman;serif"/>
          <w:b w:val="false"/>
          <w:color w:val="000000"/>
          <w:sz w:val="12"/>
        </w:rPr>
        <w:t xml:space="preserve">® </w:t>
      </w:r>
      <w:r>
        <w:rPr>
          <w:rFonts w:ascii="Times New Roman;serif" w:hAnsi="Times New Roman;serif"/>
          <w:b w:val="false"/>
          <w:color w:val="000000"/>
          <w:sz w:val="18"/>
        </w:rPr>
        <w:t>and other service marks and we have been consistently ranked among the top specialty contractors within Engineering News-Record’s Top 400 Contractors.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Backlog</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40% of our estimated June 30, 2026 backlog in 2026. The following table presents 18-month estimated backlog by reportable segment as of the dates indicated:</w:t>
      </w:r>
    </w:p>
    <w:tbl>
      <w:tblPr>
        <w:tblW w:w="6996" w:type="dxa"/>
        <w:jc w:val="left"/>
        <w:tblInd w:w="0" w:type="dxa"/>
        <w:tblLayout w:type="fixed"/>
        <w:tblCellMar>
          <w:top w:w="28" w:type="dxa"/>
          <w:left w:w="28" w:type="dxa"/>
          <w:bottom w:w="28" w:type="dxa"/>
          <w:right w:w="28" w:type="dxa"/>
        </w:tblCellMar>
      </w:tblPr>
      <w:tblGrid>
        <w:gridCol w:w="976"/>
        <w:gridCol w:w="860"/>
        <w:gridCol w:w="863"/>
        <w:gridCol w:w="238"/>
        <w:gridCol w:w="785"/>
        <w:gridCol w:w="132"/>
        <w:gridCol w:w="109"/>
        <w:gridCol w:w="109"/>
        <w:gridCol w:w="109"/>
        <w:gridCol w:w="266"/>
        <w:gridCol w:w="876"/>
        <w:gridCol w:w="147"/>
        <w:gridCol w:w="109"/>
        <w:gridCol w:w="109"/>
        <w:gridCol w:w="109"/>
        <w:gridCol w:w="236"/>
        <w:gridCol w:w="778"/>
        <w:gridCol w:w="185"/>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 (in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18-month backlog</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21,391 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20,328 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16,452 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40%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June 30, 2026, total 18-month backlog differed from the amount of our remaining performance obligations due primarily to the inclusion of $8.4 billion of estimated future revenue under master service and other service agreements within our backlog estimates, as described above, and the exclusion of approximately $3.2 billion of remaining performance obligations and estimated future revenue under master service and other service agreements in excess of 18 months, which amount is not included in the backlog estimates above. Backlog expected to be realized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2026 differs from the amount of remaining performance obligations expected to be recognized for the same period due primarily to the inclusion of approximately $1.9 billion of estimated future revenue under master service and other service agreements included within our backlog estimate, which is not included within our remaining performance obligations for the same period.</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Economic, Industry and Market Factors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We closely monitor the effects of changes in economic, industry and market conditions on our customers, including the potential effects of the factors discussed above in “General Economic, Market and Regulatory Conditions,”</w:t>
      </w:r>
      <w:r>
        <w:rPr>
          <w:color w:val="000000"/>
        </w:rPr>
        <w:t xml:space="preserve"> </w:t>
      </w:r>
      <w:r>
        <w:rPr>
          <w:rFonts w:ascii="Times New Roman;serif" w:hAnsi="Times New Roman;serif"/>
          <w:b w:val="false"/>
          <w:color w:val="000000"/>
          <w:sz w:val="18"/>
        </w:rPr>
        <w:t>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2025 Form 10-K.</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Effect of Seasonality and Cyclical Nature of Business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the Management’s Discussion and Analysis of Financial Condition and Results of Operations contained in our 2025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During the six months ended June 30, 2026, there were no material changes in our critical accounting estimates or policies previously disclosed in our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Comparison of Consolidated Results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which may contain slight summation differences due to rounding, reflect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as appropriate, which are described in the comparison of results section below. In our discussions, “acquisition” results are defined as results from acquired businesses for the first twelve months following the dates of the respective acquisitions, with the balance of results for a particular item attributed to “organic” activity. Unless otherwise stated, comparisons are for the quarters ended June 30, 2026 and 2025. </w:t>
      </w:r>
    </w:p>
    <w:p>
      <w:pPr>
        <w:pStyle w:val="TextBody"/>
        <w:bidi w:val="0"/>
        <w:spacing w:lineRule="auto" w:line="288" w:before="180" w:after="120"/>
        <w:jc w:val="left"/>
        <w:rPr>
          <w:rFonts w:ascii="Times New Roman;serif" w:hAnsi="Times New Roman;serif"/>
          <w:b/>
          <w:color w:val="000000"/>
          <w:sz w:val="18"/>
        </w:rPr>
      </w:pPr>
      <w:r>
        <w:rPr>
          <w:rFonts w:ascii="Times New Roman;serif" w:hAnsi="Times New Roman;serif"/>
          <w:b/>
          <w:color w:val="000000"/>
          <w:sz w:val="18"/>
        </w:rPr>
        <w:t>Three Months Ended June 30, 2026 Compared to Three Months Ended June 30, 2025</w:t>
      </w:r>
    </w:p>
    <w:tbl>
      <w:tblPr>
        <w:tblW w:w="10205" w:type="dxa"/>
        <w:jc w:val="left"/>
        <w:tblInd w:w="0" w:type="dxa"/>
        <w:tblLayout w:type="fixed"/>
        <w:tblCellMar>
          <w:top w:w="28" w:type="dxa"/>
          <w:left w:w="28" w:type="dxa"/>
          <w:bottom w:w="28" w:type="dxa"/>
          <w:right w:w="28" w:type="dxa"/>
        </w:tblCellMar>
      </w:tblPr>
      <w:tblGrid>
        <w:gridCol w:w="942"/>
        <w:gridCol w:w="707"/>
        <w:gridCol w:w="713"/>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09"/>
        <w:gridCol w:w="109"/>
        <w:gridCol w:w="109"/>
        <w:gridCol w:w="109"/>
        <w:gridCol w:w="156"/>
      </w:tblGrid>
      <w:tr>
        <w:trPr/>
        <w:tc>
          <w:tcPr>
            <w:tcW w:w="9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 Inc.</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36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 xml:space="preserve">On a consolidated basis, revenue increased by $829 million, or 23%, driven by our segment results. See Analysis of Revenue and EBITDA by Segment for further details. Organic revenue increased by approximately $634 million, or 18%, as compared with the same period in 2025, and acquisitions contributed $195 million of revenue for the three months ended June 30, 2026.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Costs of revenue, excluding depreciation and amortization. </w:t>
      </w:r>
      <w:r>
        <w:rPr>
          <w:rFonts w:ascii="Times New Roman;serif" w:hAnsi="Times New Roman;serif"/>
          <w:b w:val="false"/>
          <w:color w:val="000000"/>
          <w:sz w:val="18"/>
        </w:rPr>
        <w:t>Higher levels of revenue contributed an increase of $727 million in costs of revenue, excluding depreciation and amortization, and improved productivity contributed a decrease of approximately $19 million. Costs of revenue, excluding depreciation and amortization, as a percentage of revenue, decreased by approximately 40 basis points to 87.3% of revenue for the three months ended June 30, 2026 from 87.7% of revenue for the same period in 2025. The basis point decrease was due to a combination of project mix and improved project efficiencies, primarily within our Pipeline Infrastructure segment.</w:t>
      </w:r>
    </w:p>
    <w:p>
      <w:pPr>
        <w:pStyle w:val="TextBody"/>
        <w:bidi w:val="0"/>
        <w:spacing w:lineRule="auto" w:line="288" w:before="120" w:after="120"/>
        <w:ind w:left="0" w:right="0" w:firstLine="360"/>
        <w:jc w:val="both"/>
        <w:rPr/>
      </w:pPr>
      <w:r>
        <w:rPr>
          <w:rFonts w:ascii="Times New Roman;serif" w:hAnsi="Times New Roman;serif"/>
          <w:b/>
          <w:i/>
          <w:color w:val="000000"/>
          <w:sz w:val="18"/>
        </w:rPr>
        <w:t>Depreciation.</w:t>
      </w:r>
      <w:r>
        <w:rPr>
          <w:color w:val="000000"/>
        </w:rPr>
        <w:t xml:space="preserve"> </w:t>
      </w:r>
      <w:r>
        <w:rPr>
          <w:rFonts w:ascii="Times New Roman;serif" w:hAnsi="Times New Roman;serif"/>
          <w:b w:val="false"/>
          <w:color w:val="000000"/>
          <w:sz w:val="18"/>
        </w:rPr>
        <w:t xml:space="preserve">Organic depreciation expense increased by approximately $13 million, or 19%, driven primarily by higher capital expenditures to support operational growth and the replacement of older machinery and equipment. Acquisitions contributed approximately $3 million of depreciation expense for the three months ended June 30, 2026. As a percentage of revenue, depreciation was generally flat. </w:t>
      </w:r>
    </w:p>
    <w:p>
      <w:pPr>
        <w:pStyle w:val="TextBody"/>
        <w:bidi w:val="0"/>
        <w:spacing w:lineRule="auto" w:line="288" w:before="120" w:after="120"/>
        <w:ind w:left="0" w:right="0" w:firstLine="360"/>
        <w:jc w:val="both"/>
        <w:rPr/>
      </w:pPr>
      <w:r>
        <w:rPr>
          <w:rFonts w:ascii="Times New Roman;serif" w:hAnsi="Times New Roman;serif"/>
          <w:b/>
          <w:i/>
          <w:color w:val="000000"/>
          <w:sz w:val="18"/>
        </w:rPr>
        <w:t>Amortization of intangible assets.</w:t>
      </w:r>
      <w:r>
        <w:rPr>
          <w:color w:val="000000"/>
        </w:rPr>
        <w:t xml:space="preserve"> </w:t>
      </w:r>
      <w:r>
        <w:rPr>
          <w:rFonts w:ascii="Times New Roman;serif" w:hAnsi="Times New Roman;serif"/>
          <w:b w:val="false"/>
          <w:color w:val="000000"/>
          <w:sz w:val="18"/>
        </w:rPr>
        <w:t>Amortization expense increased for the three months ended June 30, 2026, by approximately $9 million of additional expense associated with acquisitions, offset, in part, by a decrease of $4 million due to a combination of the effects of timing of amortization for certain assets and the completion of amortization for certain intangible assets associated with prior year acquisitions. As a percentage of revenue, amortization of intangible assets was generally flat as compared with the same period in 2025.</w:t>
      </w:r>
    </w:p>
    <w:p>
      <w:pPr>
        <w:pStyle w:val="TextBody"/>
        <w:bidi w:val="0"/>
        <w:spacing w:lineRule="auto" w:line="288" w:before="120" w:after="120"/>
        <w:ind w:left="0" w:right="0" w:firstLine="360"/>
        <w:jc w:val="both"/>
        <w:rPr/>
      </w:pPr>
      <w:r>
        <w:rPr>
          <w:rFonts w:ascii="Times New Roman;serif" w:hAnsi="Times New Roman;serif"/>
          <w:b/>
          <w:i/>
          <w:color w:val="000000"/>
          <w:sz w:val="18"/>
        </w:rPr>
        <w:t>General and administrative expenses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 xml:space="preserve">Organic general and administrative expenses increased by approximately $20 million, or 12%, primarily due to an increase in compensation expense, including stock-based compensation and insurance to support business growth, an approximately $2 million increase from changes in the fair value of contingent consideration payable to former owners of an acquired business, and approximately $9 million of an increase from changes to estimated Earn-out accruals, offset, in part, by an increase in net gains on asset sales, and reductions in the effects of timing of ordinary course legal matters. Acquisitions contributed an additional $11 million of general and administrative expenses for the three months ended June 30, 2026. Overall, general and administrative expenses decreased by approximately 20 basis points as a percentage of revenue for the three months ended June 30, 2026 as compared with the same period in 2025 due, in part, to higher levels of revenue.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Interest expense, net. </w:t>
      </w:r>
      <w:r>
        <w:rPr>
          <w:rFonts w:ascii="Times New Roman;serif" w:hAnsi="Times New Roman;serif"/>
          <w:b w:val="false"/>
          <w:color w:val="000000"/>
          <w:sz w:val="18"/>
        </w:rPr>
        <w:t xml:space="preserve">The increase in interest expense, net, resulted primarily from higher average balances on our variable rate debt, which accounted for an increase in interest expense of approximately $3 million.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Equity in earnings of unconsolidated affiliates, net. </w:t>
      </w:r>
      <w:r>
        <w:rPr>
          <w:rFonts w:ascii="Times New Roman;serif" w:hAnsi="Times New Roman;serif"/>
          <w:b w:val="false"/>
          <w:color w:val="000000"/>
          <w:sz w:val="18"/>
        </w:rPr>
        <w:t xml:space="preserve">For the three months ended June 30, 2026 and 2025, equity in earnings from unconsolidated affiliates, net, totaled approximately $10 million and $7 million, respectively, and related primarily to our investment in the Waha JVs. </w:t>
      </w:r>
    </w:p>
    <w:p>
      <w:pPr>
        <w:pStyle w:val="TextBody"/>
        <w:bidi w:val="0"/>
        <w:spacing w:lineRule="auto" w:line="288" w:before="120" w:after="120"/>
        <w:ind w:left="0" w:right="0" w:firstLine="360"/>
        <w:jc w:val="both"/>
        <w:rPr/>
      </w:pPr>
      <w:r>
        <w:rPr>
          <w:rFonts w:ascii="Times New Roman;serif" w:hAnsi="Times New Roman;serif"/>
          <w:b/>
          <w:i/>
          <w:color w:val="000000"/>
          <w:sz w:val="18"/>
        </w:rPr>
        <w:t>Other (income) expense, net.</w:t>
      </w:r>
      <w:r>
        <w:rPr>
          <w:color w:val="000000"/>
        </w:rPr>
        <w:t xml:space="preserve"> </w:t>
      </w:r>
      <w:r>
        <w:rPr>
          <w:rFonts w:ascii="Times New Roman;serif" w:hAnsi="Times New Roman;serif"/>
          <w:b w:val="false"/>
          <w:color w:val="000000"/>
          <w:sz w:val="18"/>
        </w:rPr>
        <w:t xml:space="preserve">For the three months ended June 30, 2026, other income, net, consisted primarily of other miscellaneous income.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Provision for income taxes. </w:t>
      </w:r>
      <w:r>
        <w:rPr>
          <w:rFonts w:ascii="Times New Roman;serif" w:hAnsi="Times New Roman;serif"/>
          <w:b w:val="false"/>
          <w:color w:val="000000"/>
          <w:sz w:val="18"/>
        </w:rPr>
        <w:t>For the three months ended June 30, 2026, our effective tax rate was 24.8% as compared with 25.4% for the same period in 2025. Our effective tax rate for the three months ended June 30, 2026 included income tax benefits primarily due to the vesting of share-based payment awards, offset, in part, by the effects of a higher state income tax rate, whereas for the three months ended June 30, 2025, our effective tax rate included an income tax benefit primarily due to the reversal of uncertain tax position liabilities related to a state audit, offset, in part, by pre-tax income.</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Net income attributable to non-controlling interests. </w:t>
      </w:r>
      <w:r>
        <w:rPr>
          <w:rFonts w:ascii="Times New Roman;serif" w:hAnsi="Times New Roman;serif"/>
          <w:b w:val="false"/>
          <w:color w:val="000000"/>
          <w:sz w:val="18"/>
        </w:rPr>
        <w:t>Net income attributable to non-controlling interests was $16 million for the three months ended June 30, 2026, as compared with $4 million for the same period in 2025. The increase was primarily attributable to the increase in activity of certain entities within the Pipeline Infrastructure segment with minority interest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Six Months Ended June 30, 2026 Compared to Six Months Ended June 30, 2025</w:t>
      </w:r>
    </w:p>
    <w:tbl>
      <w:tblPr>
        <w:tblW w:w="10205" w:type="dxa"/>
        <w:jc w:val="left"/>
        <w:tblInd w:w="0" w:type="dxa"/>
        <w:tblLayout w:type="fixed"/>
        <w:tblCellMar>
          <w:top w:w="28" w:type="dxa"/>
          <w:left w:w="28" w:type="dxa"/>
          <w:bottom w:w="28" w:type="dxa"/>
          <w:right w:w="28" w:type="dxa"/>
        </w:tblCellMar>
      </w:tblPr>
      <w:tblGrid>
        <w:gridCol w:w="1173"/>
        <w:gridCol w:w="959"/>
        <w:gridCol w:w="967"/>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7"/>
        <w:gridCol w:w="279"/>
        <w:gridCol w:w="303"/>
      </w:tblGrid>
      <w:tr>
        <w:trPr/>
        <w:tc>
          <w:tcPr>
            <w:tcW w:w="117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 Inc.</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360"/>
        <w:jc w:val="both"/>
        <w:rPr/>
      </w:pPr>
      <w:r>
        <w:rPr>
          <w:rFonts w:ascii="Times New Roman;serif" w:hAnsi="Times New Roman;serif"/>
          <w:b/>
          <w:i/>
          <w:color w:val="000000"/>
          <w:sz w:val="18"/>
        </w:rPr>
        <w:t>Revenue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On a consolidated basis, revenue increased by $1,810 million, or 28%, driven by our segment results. See Analysis of Revenue and EBITDA by Segment for further details. Organic revenue increased by approximately $1,446 million, or 23%, as compared with the same period in 2025, and acquisitions contributed $364 million of revenue for the six months ended June 30, 2026.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Costs of revenue, excluding depreciation and amortization. </w:t>
      </w:r>
      <w:r>
        <w:rPr>
          <w:rFonts w:ascii="Times New Roman;serif" w:hAnsi="Times New Roman;serif"/>
          <w:b w:val="false"/>
          <w:color w:val="000000"/>
          <w:sz w:val="18"/>
        </w:rPr>
        <w:t>Higher levels of revenue contributed an increase of $1,599 million in costs of revenue, excluding depreciation and amortization, and improved productivity contributed a decrease of approximately $76 million. Costs of revenue, excluding depreciation and amortization, as a percentage of revenue decreased by approximately 90 basis points to 87.4% of revenue for the six months ended June 30, 2026 from 88.3% of revenue for the same period in 2025. The basis point decrease was due to a combination of project mix and improved project efficiencies, primarily within our Pipeline Infrastructure and Power Delivery segments, offset, in part, by reduced productivity and efficiencies within our Communications segment.</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Depreciation. </w:t>
      </w:r>
      <w:r>
        <w:rPr>
          <w:rFonts w:ascii="Times New Roman;serif" w:hAnsi="Times New Roman;serif"/>
          <w:b w:val="false"/>
          <w:color w:val="000000"/>
          <w:sz w:val="18"/>
        </w:rPr>
        <w:t xml:space="preserve">Organic depreciation expense increased by approximately $18 million, or 12%, driven primarily by higher capital expenditures to support operational growth and the replacement of older machinery and equipment. Acquisitions contributed approximately $5 million of depreciation expense for the six months ended June 30, 2026. As a percentage of revenue, depreciation decreased by approximately 20 basis points, due primarily to higher levels of revenue. </w:t>
      </w:r>
    </w:p>
    <w:p>
      <w:pPr>
        <w:pStyle w:val="TextBody"/>
        <w:bidi w:val="0"/>
        <w:spacing w:lineRule="auto" w:line="288" w:before="120" w:after="120"/>
        <w:ind w:left="0" w:right="0" w:firstLine="360"/>
        <w:jc w:val="both"/>
        <w:rPr/>
      </w:pPr>
      <w:r>
        <w:rPr>
          <w:rFonts w:ascii="Times New Roman;serif" w:hAnsi="Times New Roman;serif"/>
          <w:b/>
          <w:i/>
          <w:color w:val="000000"/>
          <w:sz w:val="18"/>
        </w:rPr>
        <w:t>Amortization of intangible assets.</w:t>
      </w:r>
      <w:r>
        <w:rPr>
          <w:color w:val="000000"/>
        </w:rPr>
        <w:t xml:space="preserve"> </w:t>
      </w:r>
      <w:r>
        <w:rPr>
          <w:rFonts w:ascii="Times New Roman;serif" w:hAnsi="Times New Roman;serif"/>
          <w:b w:val="false"/>
          <w:color w:val="000000"/>
          <w:sz w:val="18"/>
        </w:rPr>
        <w:t>Amortization expense increased for the six months ended June 30, 2026, by approximately $18 million of additional expense associated with acquisitions, offset, in part, by a decrease of approximately $7 million due to a combination of the effects of timing of amortization for certain assets and the completion of amortization for certain intangible assets associated with prior year acquisitions. As a percentage of revenue, amortization of intangible assets decreased by approximately 10 basis points as compared with the same period in 2025 due, in part, to higher levels of revenue.</w:t>
      </w:r>
    </w:p>
    <w:p>
      <w:pPr>
        <w:pStyle w:val="TextBody"/>
        <w:bidi w:val="0"/>
        <w:spacing w:lineRule="auto" w:line="288" w:before="120" w:after="120"/>
        <w:ind w:left="0" w:right="0" w:firstLine="360"/>
        <w:jc w:val="both"/>
        <w:rPr/>
      </w:pPr>
      <w:r>
        <w:rPr>
          <w:rFonts w:ascii="Times New Roman;serif" w:hAnsi="Times New Roman;serif"/>
          <w:b/>
          <w:i/>
          <w:color w:val="000000"/>
          <w:sz w:val="18"/>
        </w:rPr>
        <w:t>General and administrative expenses</w:t>
      </w:r>
      <w:r>
        <w:rPr>
          <w:rFonts w:ascii="Times New Roman;serif" w:hAnsi="Times New Roman;serif"/>
          <w:b w:val="false"/>
          <w:i/>
          <w:color w:val="000000"/>
          <w:sz w:val="18"/>
        </w:rPr>
        <w:t xml:space="preserve">. </w:t>
      </w:r>
      <w:r>
        <w:rPr>
          <w:rFonts w:ascii="Times New Roman;serif" w:hAnsi="Times New Roman;serif"/>
          <w:b w:val="false"/>
          <w:color w:val="000000"/>
          <w:sz w:val="18"/>
        </w:rPr>
        <w:t>Organic general and administrative expenses increased by approximately $63 million, or 18%, primarily due to an increase in compensation expense, including stock-based compensation and insurance to support business growth, an approximately $12 million increase from changes in the fair value of contingent consideration payable to former owners of an acquired business and approximately $9 million of an increase from changes to estimated Earn-out accruals, offset, in part, by an increase in net gains on asset sales, and reductions in the effects of timing of ordinary course legal matters. Acquisitions contributed an additional $17 million of general and administrative expenses for the six months ended June 30, 2026. Overall, general and administrative expenses decreased by approximately 20 basis points as a percentage of revenue for the six months ended June 30, 2026 as compared with the same period in 2025 due, in part, to higher levels of revenue.</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Interest expense, net. </w:t>
      </w:r>
      <w:r>
        <w:rPr>
          <w:rFonts w:ascii="Times New Roman;serif" w:hAnsi="Times New Roman;serif"/>
          <w:b w:val="false"/>
          <w:color w:val="000000"/>
          <w:sz w:val="18"/>
        </w:rPr>
        <w:t>The increase in interest expense, net, resulted primarily from higher average balances on our variable rate debt, which accounted for an increase in interest expense of approximately $7 million.</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Equity in earnings of unconsolidated affiliates, net. </w:t>
      </w:r>
      <w:r>
        <w:rPr>
          <w:rFonts w:ascii="Times New Roman;serif" w:hAnsi="Times New Roman;serif"/>
          <w:b w:val="false"/>
          <w:color w:val="000000"/>
          <w:sz w:val="18"/>
        </w:rPr>
        <w:t xml:space="preserve">For the six months ended June 30, 2026 and 2025, earnings from unconsolidated affiliates, net, totaled approximately $7 million and $17 million, respectively, related primarily to our investment in the Waha JVs. The decrease was driven primarily by an other-than-temporary impairment of $8 million on a separate equity method investment.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Other income, net. </w:t>
      </w:r>
      <w:r>
        <w:rPr>
          <w:rFonts w:ascii="Times New Roman;serif" w:hAnsi="Times New Roman;serif"/>
          <w:b w:val="false"/>
          <w:color w:val="000000"/>
          <w:sz w:val="18"/>
        </w:rPr>
        <w:t xml:space="preserve">For the six months ended June 30, 2026, other income, net, consisted primarily of a gain on the sale of our 15% equity interest in CCI and other miscellaneous income, offset, in part, by approximately $7 million of certain exit costs and other charges.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Provision for income taxes. </w:t>
      </w:r>
      <w:r>
        <w:rPr>
          <w:rFonts w:ascii="Times New Roman;serif" w:hAnsi="Times New Roman;serif"/>
          <w:b w:val="false"/>
          <w:color w:val="000000"/>
          <w:sz w:val="18"/>
        </w:rPr>
        <w:t>For the six months ended June 30, 2026, our effective tax rate was 24.5% as compared with 21.0% for the same period in 2025. Our effective tax rate for the six months ended June 30, 2026 included income tax benefits primarily due to the vesting of share-based payment awards, offset, in part, by the effects of a higher state income tax rate, whereas for the six months ended June 30, 2025, our effective tax rate included an income tax benefit primarily due to the reversal of uncertain tax position liabilities related to a state audit, offset, in part, by pre-tax income.</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Net income attributable to non-controlling interests. </w:t>
      </w:r>
      <w:r>
        <w:rPr>
          <w:rFonts w:ascii="Times New Roman;serif" w:hAnsi="Times New Roman;serif"/>
          <w:b w:val="false"/>
          <w:color w:val="000000"/>
          <w:sz w:val="18"/>
        </w:rPr>
        <w:t>Net income attributable to non-controlling interests was $24 million for the six months ended June 30, 2026, as compared with $7 million for the same period in 2025. The increase was primarily attributable to the increase in activity of certain entities within the Pipeline Infrastructure segment with minority interest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Analysis of Revenue and EBITDA by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review our operating results by reportable segment. See Note 12 – Segments and Related Information in the notes to the consolidated financial statements, which is incorporated by reference. Our reportable segments are: (1)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The following tables, which may contain slight summation differences due to rounding, present revenue, EBITDA and EBITDA margin by segment for the periods indicated (dollar amounts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jc w:val="left"/>
        <w:rPr>
          <w:rFonts w:ascii="Times New Roman;serif" w:hAnsi="Times New Roman;serif"/>
          <w:b/>
          <w:color w:val="000000"/>
          <w:sz w:val="18"/>
        </w:rPr>
      </w:pPr>
      <w:r>
        <w:rPr>
          <w:rFonts w:ascii="Times New Roman;serif" w:hAnsi="Times New Roman;serif"/>
          <w:b/>
          <w:color w:val="000000"/>
          <w:sz w:val="18"/>
        </w:rPr>
        <w:t>Three Months Ended June 30, 2026 Compared to Three Months Ended June 30, 2025</w:t>
      </w:r>
    </w:p>
    <w:tbl>
      <w:tblPr>
        <w:tblW w:w="14046" w:type="dxa"/>
        <w:jc w:val="left"/>
        <w:tblInd w:w="0" w:type="dxa"/>
        <w:tblLayout w:type="fixed"/>
        <w:tblCellMar>
          <w:top w:w="28" w:type="dxa"/>
          <w:left w:w="28" w:type="dxa"/>
          <w:bottom w:w="28" w:type="dxa"/>
          <w:right w:w="28" w:type="dxa"/>
        </w:tblCellMar>
      </w:tblPr>
      <w:tblGrid>
        <w:gridCol w:w="478"/>
        <w:gridCol w:w="419"/>
        <w:gridCol w:w="424"/>
        <w:gridCol w:w="196"/>
        <w:gridCol w:w="691"/>
        <w:gridCol w:w="109"/>
        <w:gridCol w:w="109"/>
        <w:gridCol w:w="109"/>
        <w:gridCol w:w="109"/>
        <w:gridCol w:w="196"/>
        <w:gridCol w:w="691"/>
        <w:gridCol w:w="109"/>
        <w:gridCol w:w="109"/>
        <w:gridCol w:w="109"/>
        <w:gridCol w:w="109"/>
        <w:gridCol w:w="109"/>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40"/>
        <w:gridCol w:w="241"/>
        <w:gridCol w:w="256"/>
        <w:gridCol w:w="109"/>
        <w:gridCol w:w="109"/>
        <w:gridCol w:w="109"/>
        <w:gridCol w:w="109"/>
        <w:gridCol w:w="109"/>
        <w:gridCol w:w="109"/>
        <w:gridCol w:w="109"/>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EBITDA and EBITDA Margin</w:t>
            </w:r>
          </w:p>
        </w:tc>
        <w:tc>
          <w:tcPr>
            <w:tcW w:w="3169" w:type="dxa"/>
            <w:gridSpan w:val="20"/>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Eliminations </w:t>
            </w:r>
            <w:r>
              <w:rPr>
                <w:rFonts w:ascii="Times New Roman;serif" w:hAnsi="Times New Roman;serif"/>
                <w:b w:val="false"/>
                <w:color w:val="000000"/>
                <w:sz w:val="12"/>
              </w:rPr>
              <w:t>(a)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(a)    Represents intersegment eliminations and adjustments related to transactions entered into in the normal course of business.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Communications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Revenue. </w:t>
      </w:r>
      <w:r>
        <w:rPr>
          <w:rFonts w:ascii="Times New Roman;serif" w:hAnsi="Times New Roman;serif"/>
          <w:b w:val="false"/>
          <w:color w:val="000000"/>
          <w:sz w:val="18"/>
        </w:rPr>
        <w:t xml:space="preserve">The increase in revenue was driven primarily by organic growth resulting from higher levels of wireline project activity and, to a lesser extent, by higher install-to-the-home project volumes. These increases were offset, in part, by a decrease in wireless project activity due, in part, to customer project timing.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decreased by approximately 170 basis points, or $15 million, primarily due to the effects of certain project close-outs and project execution mix associated with higher levels of wireline project activity. Higher levels of revenue resulted in an increase in EBITDA of approximately $5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Clean Energy and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The increase in revenue was due primarily to higher levels of project activity and mix, particularly in renewable and general building projects, including data-center related project activity. Organic revenue growth contributed approximately $353 million, or 31%, of the increase as compared with the same period in 2025, while acquisitions contributed an additional $137 million of revenue.</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As a percentage of revenue, EBITDA increased by approximately 50 basis points, or $9 million, due to a combination of project mix, improved productivity and efficiencies, primarily from certain infrastructure work, including contributions from certain acquired entities. Higher levels of revenue resulted in an increase in EBITDA of approximately $36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Power Delivery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increase in revenue was due primarily to higher levels of project activity, including timing-related increases in transmission and distribution-related project work, as well as high levels of certain data-center related project work.</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increased by approximately 30 basis points, or $4 million, primarily due to the non-recurrence in the current period of reduced efficiencies at certain project sites in the prior year period. Higher levels of revenue resulted in an increase in EBITDA of approximately $17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Pipeline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The increase in revenue was due primarily to higher levels of project activity, including midstream pipeline project activity and other infrastructure-related work.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increased by approximately 690 basis points, or $45 million, due primarily to improved efficiencies, as well as the effects of project mix. Higher levels of revenue contributed an increase in EBITDA of approximately $12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 xml:space="preserve">The EBITDA from Other businesses relates primarily to equity in earnings from our investments in the Waha JVs and, to a lesser extent, income from other businesses and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Corporate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For the three months ended June 30, 2026, Corporate EBITDA included approximately $4 million of expense, net, from changes to estimated Earn-out accruals and approximately $4 million of expense, net, from changes in the fair value of contingent consideration to former owners of an acquired business. For the three months ended June 30, 2025, Corporate EBITDA included approximately $5 million of income, net, from changes to estimated Earn-out accruals and approximately $3 million of expense, net, from the changes in the fair value of contingent consideration payable to former owners of an acquired business. Corporate expenses for the three months ended June 30, 2026 not related to the above-described items increased by approximately $9 million as compared with the same period in 2025, due primarily to increases in insurance, compensation, including stock-based compensation, and the effects of timing of ordinary course legal and other settlement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Six Months Ended June 30, 2026 Compared to Six Months Ended June 30, 2025</w:t>
      </w:r>
    </w:p>
    <w:tbl>
      <w:tblPr>
        <w:tblW w:w="14256" w:type="dxa"/>
        <w:jc w:val="left"/>
        <w:tblInd w:w="0" w:type="dxa"/>
        <w:tblLayout w:type="fixed"/>
        <w:tblCellMar>
          <w:top w:w="28" w:type="dxa"/>
          <w:left w:w="28" w:type="dxa"/>
          <w:bottom w:w="28" w:type="dxa"/>
          <w:right w:w="28" w:type="dxa"/>
        </w:tblCellMar>
      </w:tblPr>
      <w:tblGrid>
        <w:gridCol w:w="478"/>
        <w:gridCol w:w="419"/>
        <w:gridCol w:w="424"/>
        <w:gridCol w:w="196"/>
        <w:gridCol w:w="691"/>
        <w:gridCol w:w="109"/>
        <w:gridCol w:w="109"/>
        <w:gridCol w:w="109"/>
        <w:gridCol w:w="109"/>
        <w:gridCol w:w="196"/>
        <w:gridCol w:w="691"/>
        <w:gridCol w:w="109"/>
        <w:gridCol w:w="109"/>
        <w:gridCol w:w="109"/>
        <w:gridCol w:w="109"/>
        <w:gridCol w:w="109"/>
        <w:gridCol w:w="109"/>
        <w:gridCol w:w="109"/>
        <w:gridCol w:w="109"/>
        <w:gridCol w:w="196"/>
        <w:gridCol w:w="691"/>
        <w:gridCol w:w="109"/>
        <w:gridCol w:w="109"/>
        <w:gridCol w:w="109"/>
        <w:gridCol w:w="109"/>
        <w:gridCol w:w="278"/>
        <w:gridCol w:w="278"/>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76"/>
        <w:gridCol w:w="280"/>
        <w:gridCol w:w="256"/>
        <w:gridCol w:w="109"/>
        <w:gridCol w:w="109"/>
        <w:gridCol w:w="109"/>
        <w:gridCol w:w="109"/>
        <w:gridCol w:w="109"/>
        <w:gridCol w:w="109"/>
        <w:gridCol w:w="109"/>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EBITDA and EBITDA Margin</w:t>
            </w:r>
          </w:p>
        </w:tc>
        <w:tc>
          <w:tcPr>
            <w:tcW w:w="3244" w:type="dxa"/>
            <w:gridSpan w:val="20"/>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2026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Eliminations </w:t>
            </w:r>
            <w:r>
              <w:rPr>
                <w:rFonts w:ascii="Times New Roman;serif" w:hAnsi="Times New Roman;serif"/>
                <w:b w:val="false"/>
                <w:color w:val="000000"/>
                <w:sz w:val="12"/>
              </w:rPr>
              <w:t>(a)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(a)Represents intersegment eliminations and adjustments related to transactions entered into in the normal course of business.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(b)For the six months ended June 30, 2026, the Other segment EBITDA included approximately $8 million of an other-than-temporary impairment related to an equity method investment.</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Communications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Revenue. </w:t>
      </w:r>
      <w:r>
        <w:rPr>
          <w:rFonts w:ascii="Times New Roman;serif" w:hAnsi="Times New Roman;serif"/>
          <w:b w:val="false"/>
          <w:color w:val="000000"/>
          <w:sz w:val="18"/>
        </w:rPr>
        <w:t xml:space="preserve">The increase in revenue was driven primarily by organic growth resulting from higher levels of wireline project activity and, to a lesser extent, by higher install-to-the-home project volumes. </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As a percentage of revenue, EBITDA decreased by approximately 140 basis points, or $24 million, primarily due to costs to exit certain markets in our install-to-the-home business, as well as the effects of certain project close-outs and project execution mix associated with higher levels of wireline project activity. Higher levels of revenue resulted in an increase in EBITDA of approximately $15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Clean Energy and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 xml:space="preserve">The increase in revenue was due primarily to higher levels of project activity and mix, particularly in renewable and general building projects, including data-center related project activity. Organic revenue growth contributed approximately $642 million, or 31%, of the increase as compared with the same period in 2025, while acquisitions contributed $262 million of revenue. </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As a percentage of revenue, EBITDA increased by approximately 50 basis points, or $15 million, due to a combination of project mix, improved productivity and efficiencies, primarily from certain infrastructure project work, including contributions from certain acquired entities. Higher levels of revenue resulted in an increase in EBITDA of approximately $62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Power Delivery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The increase in revenue was due primarily to higher levels of project activity, including timing-related increases in transmission and distribution-related project work, as well as high levels of certain data-center related project work, offset, in part, by a decrease in substation-related project activity.</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As a percentage of revenue, EBITDA increased by approximately 70 basis points, or $17 million, primarily due to the non-recurrence in the current period of reduced efficiencies at certain project sites in the prior year period. Higher levels of revenue resulted in an increase in EBITDA of approximately $25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Pipeline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The increase in revenue was due primarily to higher levels of midstream pipeline project activity.</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increased by approximately 800 basis points, or $106 million, due primarily to improved efficiencies, as well as the effects of project mix. Higher levels of revenue contributed an increase in EBITDA of approximately $51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The EBITDA from Other businesses relates primarily to equity in earnings from our investments in the Waha JVs, and, to a lesser extent, income from other businesses and investments, offset, in part, by an other-than-temporary impairment related to an equity method investment.</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Corporate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For the six months ended June 30, 2026, Corporate EBITDA included approximately $5 million of expense, net, from changes to estimated Earn-out accruals and approximately $13 million of expense, net, from changes in the fair value of contingent consideration to former owners of an acquired business. For the six months ended June 30, 2025, Corporate EBITDA included approximately $4 million of income, net, from changes to estimated Earn-out accruals and approximately $2 million of expense, net, from the changes in the fair value of additional contingent payments to former owners of an acquired business. Corporate expenses for the six months ended June 30, 2026 not related to the above-described items increased by approximately $27 million as compared with the same period in 2025 due primarily to increases in insurance, compensation, including stock-based compensation, and the effects of timing of ordinary course legal and other settlement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Non-U.S. GAAP Financial Measures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changes in fair value of acquisition-related contingent items and impairments of equity method investments, as more fully described below; and, for Adjusted Net Income, Adjusted Net Income Attributable to MasTec, Inc.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Non-cash stock-based compensation expense can be subject to volatility from changes in the market price per share of our common stock or variations in the value and number of shares granted. We also exclude intangible asset amortization and the effects of changes in fair value of acquisition-related contingent items from our non-U.S. GAAP financial measures due to their non-operational nature and inherent volatility, as activity, including from acquisitions, varies from period to period. Note that while intangible asset amortization related to the assets of acquired entities is excluded from our non-U.S. GAAP financial measures, the revenue and all other expenses of the acquired entities are included within our non-U.S. GAAP financial measures, unless otherwise stated.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based on the fluctuation of our share price and contingent upon the post-acquisition collections of certain receivables, and which were fully settled during the second quarter of 2026. Additionally, we exclude impairments of equity method investments, as these charges do not reflect the ordinary course of the Company’s business and are not incurred on a predictable basis. We believe that this presentation is common practice within our industry and improves comparability of our results with those of our peers.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 reconciliation of net income to EBITDA and Adjusted EBITDA in dollar and percentage of revenue terms for the periods indicated. The tables below (dollar amounts in millions) may contain slight summation differences due to rounding.</w:t>
      </w:r>
    </w:p>
    <w:tbl>
      <w:tblPr>
        <w:tblW w:w="10205" w:type="dxa"/>
        <w:jc w:val="left"/>
        <w:tblInd w:w="0" w:type="dxa"/>
        <w:tblLayout w:type="fixed"/>
        <w:tblCellMar>
          <w:top w:w="28" w:type="dxa"/>
          <w:left w:w="28" w:type="dxa"/>
          <w:bottom w:w="28" w:type="dxa"/>
          <w:right w:w="28" w:type="dxa"/>
        </w:tblCellMar>
      </w:tblPr>
      <w:tblGrid>
        <w:gridCol w:w="767"/>
        <w:gridCol w:w="513"/>
        <w:gridCol w:w="516"/>
        <w:gridCol w:w="196"/>
        <w:gridCol w:w="556"/>
        <w:gridCol w:w="109"/>
        <w:gridCol w:w="109"/>
        <w:gridCol w:w="109"/>
        <w:gridCol w:w="109"/>
        <w:gridCol w:w="203"/>
        <w:gridCol w:w="203"/>
        <w:gridCol w:w="256"/>
        <w:gridCol w:w="109"/>
        <w:gridCol w:w="109"/>
        <w:gridCol w:w="109"/>
        <w:gridCol w:w="196"/>
        <w:gridCol w:w="556"/>
        <w:gridCol w:w="109"/>
        <w:gridCol w:w="109"/>
        <w:gridCol w:w="109"/>
        <w:gridCol w:w="109"/>
        <w:gridCol w:w="211"/>
        <w:gridCol w:w="199"/>
        <w:gridCol w:w="256"/>
        <w:gridCol w:w="109"/>
        <w:gridCol w:w="109"/>
        <w:gridCol w:w="109"/>
        <w:gridCol w:w="196"/>
        <w:gridCol w:w="556"/>
        <w:gridCol w:w="109"/>
        <w:gridCol w:w="109"/>
        <w:gridCol w:w="109"/>
        <w:gridCol w:w="109"/>
        <w:gridCol w:w="188"/>
        <w:gridCol w:w="188"/>
        <w:gridCol w:w="256"/>
        <w:gridCol w:w="109"/>
        <w:gridCol w:w="109"/>
        <w:gridCol w:w="109"/>
        <w:gridCol w:w="196"/>
        <w:gridCol w:w="556"/>
        <w:gridCol w:w="109"/>
        <w:gridCol w:w="109"/>
        <w:gridCol w:w="109"/>
        <w:gridCol w:w="109"/>
        <w:gridCol w:w="211"/>
        <w:gridCol w:w="199"/>
        <w:gridCol w:w="306"/>
      </w:tblGrid>
      <w:tr>
        <w:trPr/>
        <w:tc>
          <w:tcPr>
            <w:tcW w:w="7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 Reconciliation:</w:t>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EBITDA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 reconciliation of EBITDA and EBITDA margin to Adjusted EBITDA and Adjusted EBITDA margin by segment for the periods indicated is as follows:</w:t>
      </w:r>
    </w:p>
    <w:tbl>
      <w:tblPr>
        <w:tblW w:w="10205" w:type="dxa"/>
        <w:jc w:val="left"/>
        <w:tblInd w:w="0" w:type="dxa"/>
        <w:tblLayout w:type="fixed"/>
        <w:tblCellMar>
          <w:top w:w="28" w:type="dxa"/>
          <w:left w:w="28" w:type="dxa"/>
          <w:bottom w:w="28" w:type="dxa"/>
          <w:right w:w="28" w:type="dxa"/>
        </w:tblCellMar>
      </w:tblPr>
      <w:tblGrid>
        <w:gridCol w:w="750"/>
        <w:gridCol w:w="392"/>
        <w:gridCol w:w="396"/>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41"/>
        <w:gridCol w:w="225"/>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41"/>
        <w:gridCol w:w="225"/>
        <w:gridCol w:w="302"/>
      </w:tblGrid>
      <w:tr>
        <w:trPr/>
        <w:tc>
          <w:tcPr>
            <w:tcW w:w="7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2025 </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stock-based compensation expense</w:t>
            </w:r>
            <w:r>
              <w:rPr>
                <w:color w:val="000000"/>
              </w:rPr>
              <w:t xml:space="preserve">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Changes in fair value of acquisition-related contingent items</w:t>
            </w:r>
            <w:r>
              <w:rPr>
                <w:color w:val="000000"/>
              </w:rPr>
              <w:t xml:space="preserve"> </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Impairments of equity method investments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Eliminations </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Non-cash stock-based compensation expense and changes in fair value of acquisition-related contingent items are included within Corporate, while impairments of equity method investments are included within the Other segment EBITDA.</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(b)    Represents intersegment eliminations and adjustments related to transactions entered into in the normal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tables below (dollar amounts in millions, except per share amounts), which may contain slight summation differences due to rounding, reconcile reported net income and reported diluted earnings per share, the most directly comparable U.S. GAAP financial measures, to Adjusted Net Income, Adjusted Net Income Attributable to MasTec, Inc. and Adjusted Diluted Earnings Per Share.</w:t>
      </w:r>
    </w:p>
    <w:tbl>
      <w:tblPr>
        <w:tblW w:w="8820" w:type="dxa"/>
        <w:jc w:val="left"/>
        <w:tblInd w:w="0" w:type="dxa"/>
        <w:tblLayout w:type="fixed"/>
        <w:tblCellMar>
          <w:top w:w="28" w:type="dxa"/>
          <w:left w:w="28" w:type="dxa"/>
          <w:bottom w:w="28" w:type="dxa"/>
          <w:right w:w="28" w:type="dxa"/>
        </w:tblCellMar>
      </w:tblPr>
      <w:tblGrid>
        <w:gridCol w:w="1568"/>
        <w:gridCol w:w="1381"/>
        <w:gridCol w:w="140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59" w:type="dxa"/>
        <w:jc w:val="left"/>
        <w:tblInd w:w="0" w:type="dxa"/>
        <w:tblLayout w:type="fixed"/>
        <w:tblCellMar>
          <w:top w:w="28" w:type="dxa"/>
          <w:left w:w="28" w:type="dxa"/>
          <w:bottom w:w="28" w:type="dxa"/>
          <w:right w:w="28" w:type="dxa"/>
        </w:tblCellMar>
      </w:tblPr>
      <w:tblGrid>
        <w:gridCol w:w="1575"/>
        <w:gridCol w:w="1382"/>
        <w:gridCol w:w="1392"/>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June 30, </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26282A"/>
          <w:sz w:val="16"/>
        </w:rPr>
        <w:t>(a)</w:t>
      </w:r>
      <w:r>
        <w:rPr>
          <w:rFonts w:ascii="Times New Roman;serif" w:hAnsi="Times New Roman;serif"/>
          <w:b w:val="false"/>
          <w:color w:val="000000"/>
          <w:sz w:val="16"/>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months ended June 30, 2026 and 2025, our consolidated tax amounts were expenses, with effective tax rates, as reported, of 24.8% and 25.4%, respectively, and as adjusted, were expenses, with effective tax rates of 24.0% and 24.6%, respectively. For the six months June 30, 2026 and 2025, our consolidated tax amounts were expenses, with effective tax rates, as reported, of 24.5% and 21.0%, respectively, and as adjusted, were expenses, with effective tax rates of 24.3% and 21.8%, respectively. See Note 11 – Income Taxes in the notes to the consolidated financial statements, which is incorporated by reference, for additional information regarding our consolidated tax amounts and effective tax rates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Financial Condition, 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p>
    <w:p>
      <w:pPr>
        <w:pStyle w:val="TextBody"/>
        <w:bidi w:val="0"/>
        <w:spacing w:lineRule="auto" w:line="288" w:before="120" w:after="120"/>
        <w:ind w:left="0" w:right="0" w:firstLine="720"/>
        <w:jc w:val="both"/>
        <w:rPr/>
      </w:pPr>
      <w:r>
        <w:rPr>
          <w:rFonts w:ascii="Times New Roman;serif" w:hAnsi="Times New Roman;serif"/>
          <w:b/>
          <w:i/>
          <w:color w:val="000000"/>
          <w:sz w:val="18"/>
        </w:rPr>
        <w:t>Capital Expenditures</w:t>
      </w:r>
      <w:r>
        <w:rPr>
          <w:rFonts w:ascii="Times New Roman;serif" w:hAnsi="Times New Roman;serif"/>
          <w:b w:val="false"/>
          <w:i/>
          <w:color w:val="000000"/>
          <w:sz w:val="18"/>
        </w:rPr>
        <w:t xml:space="preserve">. </w:t>
      </w:r>
      <w:r>
        <w:rPr>
          <w:rFonts w:ascii="Times New Roman;serif" w:hAnsi="Times New Roman;serif"/>
          <w:b w:val="false"/>
          <w:color w:val="000000"/>
          <w:sz w:val="18"/>
        </w:rPr>
        <w:t>For the six months ended June 30, 2026, we spent approximately $188 million on capital expenditures, or $168 million, net of asset disposals, and incurred approximately $126 million of equipment purchases under finance leases and other financing arrangements. We estimate that we will spend approximately $290 million on capital expenditures, or approximately $220 million, net of asset disposals, in 2026, and we expect to incur approximately $285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Acquisitions and Earn-Out Liabilities.</w:t>
      </w:r>
      <w:r>
        <w:rPr>
          <w:color w:val="000000"/>
        </w:rPr>
        <w:t xml:space="preserve"> </w:t>
      </w:r>
      <w:r>
        <w:rPr>
          <w:rFonts w:ascii="Times New Roman;serif" w:hAnsi="Times New Roman;serif"/>
          <w:b w:val="false"/>
          <w:color w:val="000000"/>
          <w:sz w:val="18"/>
        </w:rPr>
        <w:t xml:space="preserve">We typically utilize cash for business acquisitions and other strategic arrangements, and for the six months ended June 30, 2026, we used $267 million, net of cash acquired for this purpose. In addition, in most of our acquisitions, we have agreed to make future payments to the sellers that are contingent upon the future earnings performance of the 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June 30, 2026 was approximately $57 million. Of this amount, approximately $9 million represents the liability for earned amounts. The remainder is management’s estimate of Earn-out liabilities that are contingent upon future performance. For the six months ended June 30, 2026 and 2025, payments related to our Earn-out liabilities totaled $21 million and $19 million, respectively. </w:t>
      </w:r>
    </w:p>
    <w:p>
      <w:pPr>
        <w:pStyle w:val="TextBody"/>
        <w:bidi w:val="0"/>
        <w:spacing w:lineRule="auto" w:line="288" w:before="120" w:after="120"/>
        <w:ind w:left="0" w:right="0" w:firstLine="720"/>
        <w:jc w:val="both"/>
        <w:rPr/>
      </w:pPr>
      <w:r>
        <w:rPr>
          <w:rFonts w:ascii="Times New Roman;serif" w:hAnsi="Times New Roman;serif"/>
          <w:b/>
          <w:i/>
          <w:color w:val="000000"/>
          <w:sz w:val="18"/>
        </w:rPr>
        <w:t>Income Taxes.</w:t>
      </w:r>
      <w:r>
        <w:rPr>
          <w:color w:val="000000"/>
        </w:rPr>
        <w:t xml:space="preserve"> </w:t>
      </w:r>
      <w:r>
        <w:rPr>
          <w:rFonts w:ascii="Times New Roman;serif" w:hAnsi="Times New Roman;serif"/>
          <w:b w:val="false"/>
          <w:color w:val="000000"/>
          <w:sz w:val="18"/>
        </w:rPr>
        <w:t>For the six months ended June 30, 2026, tax refunds, net of tax payments, totaled approximately $12 million and for the six months ended June 30, 2025, tax payments, net of tax refunds, totaled approximately $34 million. Our tax payments vary with changes in taxable income and earnings based on estimates of full year taxable income activity and estimated tax rates.</w:t>
      </w:r>
    </w:p>
    <w:p>
      <w:pPr>
        <w:pStyle w:val="TextBody"/>
        <w:bidi w:val="0"/>
        <w:spacing w:lineRule="auto" w:line="288" w:before="120" w:after="120"/>
        <w:ind w:left="0" w:right="0" w:firstLine="720"/>
        <w:jc w:val="both"/>
        <w:rPr/>
      </w:pPr>
      <w:r>
        <w:rPr>
          <w:rFonts w:ascii="Times New Roman;serif" w:hAnsi="Times New Roman;serif"/>
          <w:b/>
          <w:i/>
          <w:color w:val="000000"/>
          <w:sz w:val="18"/>
        </w:rPr>
        <w:t>Working Capital.</w:t>
      </w:r>
      <w:r>
        <w:rPr>
          <w:color w:val="000000"/>
        </w:rPr>
        <w:t xml:space="preserve"> </w:t>
      </w:r>
      <w:r>
        <w:rPr>
          <w:rFonts w:ascii="Times New Roman;serif" w:hAnsi="Times New Roman;serif"/>
          <w:b w:val="false"/>
          <w:color w:val="000000"/>
          <w:sz w:val="18"/>
        </w:rPr>
        <w:t>We need working capital to support seasonal and other variations in our business, primarily related to the effects of weather conditions on 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June 30, 2026,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$4.2 billion as of June 30, 2026 as compared with $3.5 billion as of December 31, 2025, due primarily to higher levels of revenue, as well as the timing of project billings and collections. See below for discussion of our days sales outstanding, net of contract liabilities, which we refer to as days sales outstanding, or “DSO.”</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are generally 30 to 60 days. Our agreements with subcontractors often contain a “pay-if-paid” provision, whereby our payments are contractually due to subcontractors only after we are paid by our customers.</w:t>
      </w:r>
    </w:p>
    <w:p>
      <w:pPr>
        <w:pStyle w:val="TextBody"/>
        <w:bidi w:val="0"/>
        <w:spacing w:lineRule="auto" w:line="288" w:before="120" w:after="120"/>
        <w:ind w:left="0" w:right="0" w:hanging="360"/>
        <w:jc w:val="both"/>
        <w:rPr>
          <w:rFonts w:ascii="Times New Roman;serif" w:hAnsi="Times New Roman;serif"/>
          <w:b/>
          <w:color w:val="000000"/>
          <w:sz w:val="18"/>
        </w:rPr>
      </w:pPr>
      <w:r>
        <w:rPr>
          <w:rFonts w:ascii="Times New Roman;serif" w:hAnsi="Times New Roman;serif"/>
          <w:b/>
          <w:color w:val="000000"/>
          <w:sz w:val="18"/>
        </w:rPr>
        <w:t>Summary of Financial Condition, 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including the recent acquisition of Superior, and other liquidity needs for the next twelve months and the foreseeable future.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we had approximately $1,410 million in working capital, defined as current assets less current liabilities, as compared with $1,058 million as of December 31, 2025, an increase of approximately $352 million. Cash and cash equivalents totaled approximately $316 million and $396 million as of June 30, 2026 and December 31, 2025, respectively, for a decrease of $80 million. See discussion below for further details regarding our cash flows and related activity.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Sources and uses of cash are summarized below (in millions):</w:t>
      </w:r>
    </w:p>
    <w:tbl>
      <w:tblPr>
        <w:tblW w:w="5995" w:type="dxa"/>
        <w:jc w:val="left"/>
        <w:tblInd w:w="0" w:type="dxa"/>
        <w:tblLayout w:type="fixed"/>
        <w:tblCellMar>
          <w:top w:w="28" w:type="dxa"/>
          <w:left w:w="28" w:type="dxa"/>
          <w:bottom w:w="28" w:type="dxa"/>
          <w:right w:w="28" w:type="dxa"/>
        </w:tblCellMar>
      </w:tblPr>
      <w:tblGrid>
        <w:gridCol w:w="1332"/>
        <w:gridCol w:w="1166"/>
        <w:gridCol w:w="1176"/>
        <w:gridCol w:w="203"/>
        <w:gridCol w:w="654"/>
        <w:gridCol w:w="112"/>
        <w:gridCol w:w="112"/>
        <w:gridCol w:w="112"/>
        <w:gridCol w:w="112"/>
        <w:gridCol w:w="203"/>
        <w:gridCol w:w="654"/>
        <w:gridCol w:w="159"/>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720"/>
        <w:jc w:val="both"/>
        <w:rPr/>
      </w:pPr>
      <w:r>
        <w:rPr>
          <w:rFonts w:ascii="Times New Roman;serif" w:hAnsi="Times New Roman;serif"/>
          <w:b/>
          <w:i/>
          <w:color w:val="000000"/>
          <w:sz w:val="18"/>
        </w:rPr>
        <w:t>Operating Activities.</w:t>
      </w:r>
      <w:r>
        <w:rPr>
          <w:color w:val="000000"/>
        </w:rPr>
        <w:t xml:space="preserve"> </w:t>
      </w:r>
      <w:r>
        <w:rPr>
          <w:rFonts w:ascii="Times New Roman;serif" w:hAnsi="Times New Roman;serif"/>
          <w:b w:val="false"/>
          <w:color w:val="000000"/>
          <w:sz w:val="18"/>
        </w:rPr>
        <w:t xml:space="preserve">Cash flow from operations is primarily influenced by changes in the timing of demand for our services and operating margins, but can also be affected by working capital needs associated with the various types of services we provide. Working capital is affected by changes in total accounts receivable, net,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was $120 million as compared to $84 million for the six months ended June 30, 2026 and 2025, respectively, for an increase in net cash provided by operating activities of approximately $36 million. The increase was due primarily to (i) an increase in net income as compared with the prior period; and (ii) changes in working capital compared with the prior period, including from the positive effect of timing-related changes in accounts payable and accrued expenses, offset, in part, by the unfavorable effect of timing-related changes in accounts receivable, net, primarily driven by higher levels of revenue and an increase in DSO.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72 as of June 30, 2026 as compared with DSO of 65 as of December 31, 2025. Our DSOs can fluctuate from period to period due to timing of billings, billing terms, collections and settlements, timing of project close-outs and retainage collections, changes in project and customer mix and to a lesser extent the effect of working capital initiatives, including certain accounts receivable financing arrangements. The increase in DSO as of June 30, 2026 as compared with December 31, 2025 was due to timing of ordinary course billing and collection activities. Other than certain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pStyle w:val="TextBody"/>
        <w:bidi w:val="0"/>
        <w:spacing w:lineRule="auto" w:line="288" w:before="120" w:after="120"/>
        <w:ind w:left="0" w:right="0" w:firstLine="720"/>
        <w:jc w:val="both"/>
        <w:rPr/>
      </w:pPr>
      <w:r>
        <w:rPr>
          <w:rFonts w:ascii="Times New Roman;serif" w:hAnsi="Times New Roman;serif"/>
          <w:b/>
          <w:i/>
          <w:color w:val="000000"/>
          <w:sz w:val="18"/>
        </w:rPr>
        <w:t>Investing Activities.</w:t>
      </w:r>
      <w:r>
        <w:rPr>
          <w:color w:val="000000"/>
        </w:rPr>
        <w:t xml:space="preserve"> </w:t>
      </w:r>
      <w:r>
        <w:rPr>
          <w:rFonts w:ascii="Times New Roman;serif" w:hAnsi="Times New Roman;serif"/>
          <w:b w:val="false"/>
          <w:color w:val="000000"/>
          <w:sz w:val="18"/>
        </w:rPr>
        <w:t xml:space="preserve">Net cash used in investing activities was $426 million as compared to $87 million for the six months ended June 30, 2026 and 2025, respectively, for an increase of $339 million. We paid $267 million in cash, net of cash acquired related to acquisition activity during the six months ended June 30, 2026, as compared with $7 million for the same period in 2025, for an increase of $260 million. These acquisitions were funded with cash on hand and borrowings under our senior unsecured credit facility. Capital expenditures totaled $188 million, or $168 million, net of asset disposals, for the six months ended June 30, 2026, as compared with $111 million, or $84 million, net of asset disposals, for the same period in 2025, for an increase in cash used in investing activities of approximately $84 million, primarily to support operational growth and the replacement of older machinery and equipment. Proceeds from other investments of approximately $16 million for the six months ended June 30, 2026 related to cash proceeds from the sale of our 15% equity interest in one of our investments.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July 2026, we completed the acquisition of Superior in a cash and stock transaction. See “Recent Transactions.”</w:t>
      </w:r>
    </w:p>
    <w:p>
      <w:pPr>
        <w:pStyle w:val="TextBody"/>
        <w:bidi w:val="0"/>
        <w:spacing w:lineRule="auto" w:line="288" w:before="120" w:after="120"/>
        <w:ind w:left="0" w:right="0" w:firstLine="720"/>
        <w:jc w:val="both"/>
        <w:rPr/>
      </w:pPr>
      <w:r>
        <w:rPr>
          <w:rFonts w:ascii="Times New Roman;serif" w:hAnsi="Times New Roman;serif"/>
          <w:b/>
          <w:i/>
          <w:color w:val="000000"/>
          <w:sz w:val="18"/>
        </w:rPr>
        <w:t>Financing Activities.</w:t>
      </w:r>
      <w:r>
        <w:rPr>
          <w:color w:val="000000"/>
        </w:rPr>
        <w:t xml:space="preserve"> </w:t>
      </w:r>
      <w:r>
        <w:rPr>
          <w:rFonts w:ascii="Times New Roman;serif" w:hAnsi="Times New Roman;serif"/>
          <w:b w:val="false"/>
          <w:color w:val="000000"/>
          <w:sz w:val="18"/>
        </w:rPr>
        <w:t>Net cash provided by financing activities for the six months ended June 30, 2026 was $225 million, as compared to $207 million of net cash used in financing activities for the same period in 2025, for an increase in cash provided by financing activities of approximately $433 million. The increase was primarily due to borrowings, net of repayments, under our credit facility and term loans, which increased by $375 million for the six months ended June 30, 2026 as compared with the same period in 2025. There were no share repurchases for the six months ended June 30, 2026, compared to approximately $77 million of cash settled for shares repurchases for the same period in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These increases in cash provided by financing activities were offset, in part, by an increase of approximately $13 million in payments for tax withholdings on stock-based awards, net of proceeds and cash payments for acquisition-related contingent assets related to the 2021 acquisition of HMG, which totaled approximately $9 million in 2026, whereas, in 2025, there were no payments. Total payments of acquisition-related contingent consideration, including payments in excess of acquisition-date liabilities, which are classified within operating activities, totaled $21 million for the six months ended June 30, 2026 as compared with $19 million for the same period in 2025.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July 2026, we entered into a $700 million new unsecured delayed draw term loan facility and amended our Credit Facility to increase borrowing capacity by $350 million to $2.25 billion. Concurrent with the closing of the Superior acquisition, we drew the full $700 million under the delayed draw term loan facility and borrowed $580 million under our revolving Credit Facility to fund a portion of the acquisition and related transaction and financing costs. See “Recent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both"/>
        <w:rPr>
          <w:rFonts w:ascii="Times New Roman;serif" w:hAnsi="Times New Roman;serif"/>
          <w:b/>
          <w:i/>
          <w:color w:val="000000"/>
          <w:sz w:val="18"/>
        </w:rPr>
      </w:pPr>
      <w:r>
        <w:rPr>
          <w:rFonts w:ascii="Times New Roman;serif" w:hAnsi="Times New Roman;serif"/>
          <w:b/>
          <w:i/>
          <w:color w:val="000000"/>
          <w:sz w:val="18"/>
        </w:rPr>
        <w:t>Senior Credit Facility</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have a senior unsecured credit facility (the “Credit Facility”), which is composed of revolving commitments and matures on June 26, 2030. On July 7, 2026, the Credit Facility was amended to increase the aggregate revolving commitments from $1.9 billion to $2.25 billion. The other terms and conditions of the Credit Facility remain unchanged. As of June 30, 2026, outstanding revolving loans totaled approximately $476 million and availability for revolving loans totaled $1,369 million. Concurrent with the closing of the Superior acquisition, we borrowed $600 million under the Credit Facility, approximately $580 million of which was used to finance a portion of the cash consideration for the acquisition and related transactions and financing costs, with the remainder used for other working capital purposes.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8 – Debt in the notes to the audited consolidated financial statements included in our 2025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4.500% Senior Notes. </w:t>
      </w:r>
      <w:r>
        <w:rPr>
          <w:rFonts w:ascii="Times New Roman;serif" w:hAnsi="Times New Roman;serif"/>
          <w:b w:val="false"/>
          <w:color w:val="000000"/>
          <w:sz w:val="18"/>
        </w:rPr>
        <w:t xml:space="preserve">We have $600 million aggregate principal amount of 4.500% senior unsecured notes due August 15, 2028 (the “4.500% Senior Notes”).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5.900% Senior Notes. </w:t>
      </w:r>
      <w:r>
        <w:rPr>
          <w:rFonts w:ascii="Times New Roman;serif" w:hAnsi="Times New Roman;serif"/>
          <w:b w:val="false"/>
          <w:color w:val="000000"/>
          <w:sz w:val="18"/>
        </w:rPr>
        <w:t xml:space="preserve">We have $550 million aggregate principal amount of 5.900% senior unsecured notes due June 15, 2029 (the “5.900% Senior Notes”).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6.625% Senior Notes. </w:t>
      </w:r>
      <w:r>
        <w:rPr>
          <w:rFonts w:ascii="Times New Roman;serif" w:hAnsi="Times New Roman;serif"/>
          <w:b w:val="false"/>
          <w:color w:val="000000"/>
          <w:sz w:val="18"/>
        </w:rPr>
        <w:t>We have $75 million aggregate principal amount of 6.625% senior unsecured notes due August 15, 2029 (the “6.625% Senior Notes”).</w:t>
      </w:r>
      <w:r>
        <w:rPr>
          <w:color w:val="EE2724"/>
        </w:rPr>
        <w:t xml:space="preserv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senior notes described above are subject to certain provisions and covenants, as more fully described in Note 8 – Debt in the notes to the audited consolidated financial statements included in our 2025 Form 10-K.</w:t>
      </w:r>
    </w:p>
    <w:p>
      <w:pPr>
        <w:pStyle w:val="TextBody"/>
        <w:bidi w:val="0"/>
        <w:spacing w:lineRule="auto" w:line="288" w:before="120" w:after="120"/>
        <w:ind w:left="0" w:right="0" w:hanging="360"/>
        <w:jc w:val="both"/>
        <w:rPr>
          <w:rFonts w:ascii="Times New Roman;serif" w:hAnsi="Times New Roman;serif"/>
          <w:b/>
          <w:i/>
          <w:color w:val="000000"/>
          <w:sz w:val="18"/>
        </w:rPr>
      </w:pPr>
      <w:r>
        <w:rPr>
          <w:rFonts w:ascii="Times New Roman;serif" w:hAnsi="Times New Roman;serif"/>
          <w:b/>
          <w:i/>
          <w:color w:val="000000"/>
          <w:sz w:val="18"/>
        </w:rPr>
        <w:t>2025 Term Loan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we had $600 million outstanding under a senior unsecured term loan (the “2025 Term Loan Facility”) which matures on June 26, 2028. The 2025 Term Loan Facility is subject to certain provisions and covenants, as more fully described in Note 8 – Debt in the notes to the audited consolidated financial statements included in our 2025 Form 10-K.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2026 Term Loan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July 7, 2026, we entered into a new senior unsecured delayed draw term loan agreement (the “2026 Term Loan Facility”) to finance a portion of the consideration for the acquisition of Superior. The 2026 Term Loan Facility provided for $700 million in delayed draw term loan commitments, consisting of $400 million of three-year commitments and $300 million of four-year commitments, which were fully drawn concurrent with the closing of the Superior acquisition.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Debt Covenants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were in compliance with the provisions and covenants contained in our outstanding debt instruments as of June 30, 2026, and we expect to be in compliance with these provisions and covenants for the next twelve months.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See “Recent Transactions” for information regarding our recent acquisition of Superior and related debt transactions. For detailed discussion and additional information pertaining to our debt instruments, see Note 8 – Debt in the notes to the audited consolidated financial statements included in our 2025 Form 10-K. Also, see Note 8 – Debt in the notes to the consolidated financial statements in this Form 10-Q, which is incorporated by reference, for current period balances, rates of interest and related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13 – Commitments and Contingencies and Note 14 – Related Party Transactions in the notes to the consolidated financial statements in this Form 10-Q, which are incorporated by reference, and see Management’s Discussion and Analysis of Financial Condition and Results of Operations contained in our 2025 Form 10-K for additional information related to our off-balance sheet arrangements.</w:t>
      </w:r>
    </w:p>
    <w:p>
      <w:pPr>
        <w:pStyle w:val="TextBody"/>
        <w:bidi w:val="0"/>
        <w:spacing w:lineRule="auto" w:line="288" w:before="120" w:after="120"/>
        <w:jc w:val="both"/>
        <w:rPr>
          <w:rFonts w:ascii="Times New Roman;serif" w:hAnsi="Times New Roman;serif"/>
          <w:b/>
          <w:color w:val="000000"/>
          <w:sz w:val="18"/>
        </w:rPr>
      </w:pPr>
      <w:bookmarkStart w:id="2" w:name="i26a0b99742194374865a4f722bcd89bb_2985"/>
      <w:bookmarkEnd w:id="2"/>
      <w:r>
        <w:rPr>
          <w:rFonts w:ascii="Times New Roman;serif" w:hAnsi="Times New Roman;serif"/>
          <w:b/>
          <w:color w:val="000000"/>
          <w:sz w:val="18"/>
        </w:rPr>
        <w:t>Impact of Inflation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primary inflationary factors affecting our operations are labor, fuel and material costs. In times of low unemployment, our labor costs may increase due to shortages in the supply of skilled labor and increases in compensation rates generally. Immigration actions may also affect the availability of labor. Although most project materials are provided by our customers, increases in the cost of materials could negatively affect the economic viability of their projects, and accordingly, demand for our services. Material and commodity prices are subject to volatility due to events outside of our control, such as tariff and trade actions and geopolitical events, which have contributed to recent market fluctuations. Inflation rates in the United States increased significantly over the past several years and, while inflationary pressure had shown signs of moderating, remain elevated. We expect this high-cost and dynamic environment to continue for the remainder of 2026 due, in part, to trade actions and geopolitical events described above under “General Economic, Market and Regulatory Conditions.” Elevated levels of labor, fuel and material costs have in the past and could in the future negatively affect our project margins to the extent that we are unable to pass such cost increases along to our customers. In addition, there is uncertainty of what effect, if any, trade tariffs and recent geopolitical events will have on inflation in future periods. Such market and economic volatility and/or uncertainty can also affect our customers’ investment decisions and subject us to project cancellations, deferrals or unexpected changes in the timing, type and scope of project work.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While inflationary factors have not had a material impact on our business operations, operating results and/or financial condition, we closely monitor such factors and any potential effects they may have on such items. While the impact of these factors cannot be fully eliminated, we take proactive steps to mitigate their effects. For additional information regarding the effects of inflation on our business, see Management’s Discussion and Analysis of Financial Condition and Results of Operations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Interest Rate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interest expense is affected by the prevailing interest rate environment. While the cost of our variable-rate debt fluctuates with changes in market interest rates, interest on our fixed rate debt is unaffected by such changes. We manage interest rate risk by maintaining a mix of fixed and variable rate debt obligations. As of June 30, 2026, our variable interest rate debt was primarily related to our Credit Facility and 2025 Term Loan Facility. As of June 30, 2026, we had approximately $476 million of outstanding revolving loans under our Credit Facility, with a weighted average interest rate of 4.78%, and $600 million outstanding under our 2025 Term Loan Facility, with a weighted average interest rate of 4.77%. An additional 100 basis point increase in the applicable interest rates under our Credit Facility and 2025 Term Loan Facility would have increased our interest expense by approximately $7 million for the six months ended June 30, 2026. Additionally, upon the July 2026 closing of the Superior acquisition, we made additional borrowings under our Credit Facility and drew $700 million of variable rate loans under the 2026 Term Loan Facility. See “Recent Transactions.”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our fixed interest rate debt primarily included $600 million aggregate principal amount of 4.500% Senior Notes, $550 million aggregate principal amount of 5.900% Senior Notes, $75 million aggregate principal amount of 6.625% Senior Notes and $388 million of finance lease obligations, which accrued interest at a weighted average interest rate of approximately 4.90%. None of this debt subjects us to financial statement risk associated with changes in interest rates, but we may be subject to changes in interest rates if and when we refinance this debt at maturity or otherwise. </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Foreign Currency Risk</w:t>
      </w:r>
    </w:p>
    <w:p>
      <w:pPr>
        <w:pStyle w:val="TextBody"/>
        <w:bidi w:val="0"/>
        <w:spacing w:lineRule="auto" w:line="288" w:before="120" w:after="120"/>
        <w:ind w:left="0" w:right="0" w:firstLine="720"/>
        <w:jc w:val="both"/>
        <w:rPr/>
      </w:pPr>
      <w:r>
        <w:rPr>
          <w:rFonts w:ascii="Times New Roman;serif" w:hAnsi="Times New Roman;serif"/>
          <w:b w:val="false"/>
          <w:color w:val="000000"/>
          <w:sz w:val="18"/>
        </w:rPr>
        <w:t>Certain of our consolidated revenue and operating expenses are in foreign currencies. Our foreign operations are primarily in Canada. Revenue generated from foreign opera</w:t>
      </w:r>
      <w:r>
        <w:rPr>
          <w:rFonts w:ascii="Times New Roman;serif" w:hAnsi="Times New Roman;serif"/>
          <w:b w:val="false"/>
          <w:color w:val="000000"/>
          <w:sz w:val="18"/>
          <w:shd w:fill="FFFFFF" w:val="clear"/>
        </w:rPr>
        <w:t>tions r</w:t>
      </w:r>
      <w:r>
        <w:rPr>
          <w:rFonts w:ascii="Times New Roman;serif" w:hAnsi="Times New Roman;serif"/>
          <w:b w:val="false"/>
          <w:color w:val="000000"/>
          <w:sz w:val="18"/>
        </w:rPr>
        <w:t>epresented app</w:t>
      </w:r>
      <w:r>
        <w:rPr>
          <w:rFonts w:ascii="Times New Roman;serif" w:hAnsi="Times New Roman;serif"/>
          <w:b w:val="false"/>
          <w:color w:val="000000"/>
          <w:sz w:val="18"/>
          <w:shd w:fill="FFFFFF" w:val="clear"/>
        </w:rPr>
        <w:t>ro</w:t>
      </w:r>
      <w:r>
        <w:rPr>
          <w:rFonts w:ascii="Times New Roman;serif" w:hAnsi="Times New Roman;serif"/>
          <w:b w:val="false"/>
          <w:color w:val="000000"/>
          <w:sz w:val="18"/>
        </w:rPr>
        <w:t>ximately 1% of our total revenue for the six months ended June 30, 2026.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six months ended June 30, 2026. Translation gains or losses, which are recorded in other comprehensive income or loss, result from translation of the assets and liabilities of our foreign subsidiaries into U.S. dollars. For the six months ended June 30, 2026, foreign currency translation losses, net, totaled approximately $2 million and related primarily to our activities in Canada and Mexico.</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2026. We may enter into foreign currency derivative contracts in the future to manage such exposure.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Other Market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Evaluation of Disclosure Controls and Procedures. </w:t>
      </w:r>
      <w:r>
        <w:rPr>
          <w:rFonts w:ascii="Times New Roman;serif" w:hAnsi="Times New Roman;serif"/>
          <w:b w:val="false"/>
          <w:color w:val="000000"/>
          <w:sz w:val="18"/>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Based on management’s evaluation, our Chief Executive Officer and Chief Financial Officer concluded that our disclosure controls and procedures were effective at the reasonable assurance level as of June 30, 2026.</w:t>
      </w:r>
    </w:p>
    <w:p>
      <w:pPr>
        <w:pStyle w:val="TextBody"/>
        <w:bidi w:val="0"/>
        <w:spacing w:lineRule="auto" w:line="288" w:before="120" w:after="120"/>
        <w:ind w:left="0" w:right="0" w:firstLine="720"/>
        <w:jc w:val="both"/>
        <w:rPr/>
      </w:pPr>
      <w:r>
        <w:rPr>
          <w:rFonts w:ascii="Times New Roman;serif" w:hAnsi="Times New Roman;serif"/>
          <w:b/>
          <w:i/>
          <w:color w:val="000000"/>
          <w:sz w:val="18"/>
        </w:rPr>
        <w:t>Changes in Internal Control Over Financial Reporting</w:t>
      </w:r>
      <w:r>
        <w:rPr>
          <w:rFonts w:ascii="Times New Roman;serif" w:hAnsi="Times New Roman;serif"/>
          <w:b/>
          <w:color w:val="000000"/>
          <w:sz w:val="18"/>
        </w:rPr>
        <w:t xml:space="preserve">. </w:t>
      </w:r>
      <w:r>
        <w:rPr>
          <w:rFonts w:ascii="Times New Roman;serif" w:hAnsi="Times New Roman;serif"/>
          <w:b w:val="false"/>
          <w:color w:val="000000"/>
          <w:sz w:val="18"/>
        </w:rPr>
        <w:t>There have been no changes in the Company’s internal control over financial reporting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Refer to Note 13 – Commitments and Contingencies in the notes to our consolidated financial statements included in this Quarterly Report on Form 10-Q, which is incorporated by reference in this </w:t>
      </w:r>
      <w:hyperlink w:anchor="iaa10d075ab7a453f9fa9a498cab03418_13">
        <w:r>
          <w:rPr>
            <w:rStyle w:val="InternetLink"/>
            <w:rFonts w:ascii="Times New Roman;serif" w:hAnsi="Times New Roman;serif"/>
            <w:b w:val="false"/>
            <w:color w:val="0000FF"/>
            <w:sz w:val="18"/>
            <w:u w:val="single"/>
          </w:rPr>
          <w:t>Item 1</w:t>
        </w:r>
      </w:hyperlink>
      <w:r>
        <w:rPr>
          <w:rFonts w:ascii="Times New Roman;serif" w:hAnsi="Times New Roman;serif"/>
          <w:b w:val="false"/>
          <w:color w:val="000000"/>
          <w:sz w:val="18"/>
        </w:rPr>
        <w:t>, for a discussion of any recent material developments related to our legal proceedings since the filing of our 2025 Form 10-K.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business is subject to a variety of risks and uncertainties, including risks related to our recent acquisition of Superior and the financing thereof. However, there have been no material changes to either the cautionary statement regarding forward-looking statements or to any of the risk factors disclosed in our 2025 Form 10-K, as updated by our Quarterly Reports on Form 10-Q and other filings we make with the SEC. Such risk factors do not identify all risks that we face because our business operations could also be affected by additional factors that are not presently known to us or that we currently consider to be immaterial to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120" w:after="120"/>
        <w:ind w:left="0" w:right="0" w:firstLine="450"/>
        <w:jc w:val="both"/>
        <w:rPr>
          <w:rFonts w:ascii="Times New Roman;serif" w:hAnsi="Times New Roman;serif"/>
          <w:b/>
          <w:i/>
          <w:color w:val="000000"/>
          <w:sz w:val="18"/>
        </w:rPr>
      </w:pPr>
      <w:r>
        <w:rPr>
          <w:rFonts w:ascii="Times New Roman;serif" w:hAnsi="Times New Roman;serif"/>
          <w:b/>
          <w:i/>
          <w:color w:val="000000"/>
          <w:sz w:val="18"/>
        </w:rPr>
        <w:t>Issuer Purchases of Equity Securities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information about repurchases of our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358"/>
        <w:gridCol w:w="314"/>
        <w:gridCol w:w="316"/>
        <w:gridCol w:w="109"/>
        <w:gridCol w:w="109"/>
        <w:gridCol w:w="109"/>
        <w:gridCol w:w="514"/>
        <w:gridCol w:w="487"/>
        <w:gridCol w:w="489"/>
        <w:gridCol w:w="109"/>
        <w:gridCol w:w="109"/>
        <w:gridCol w:w="109"/>
        <w:gridCol w:w="270"/>
        <w:gridCol w:w="892"/>
        <w:gridCol w:w="150"/>
        <w:gridCol w:w="109"/>
        <w:gridCol w:w="109"/>
        <w:gridCol w:w="109"/>
        <w:gridCol w:w="762"/>
        <w:gridCol w:w="762"/>
        <w:gridCol w:w="765"/>
        <w:gridCol w:w="109"/>
        <w:gridCol w:w="109"/>
        <w:gridCol w:w="109"/>
        <w:gridCol w:w="393"/>
        <w:gridCol w:w="2110"/>
        <w:gridCol w:w="315"/>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Program </w:t>
            </w:r>
            <w:r>
              <w:rPr>
                <w:rFonts w:ascii="Times New Roman;serif" w:hAnsi="Times New Roman;serif"/>
                <w:b/>
                <w:color w:val="000000"/>
                <w:sz w:val="12"/>
              </w:rPr>
              <w:t>(b)</w:t>
            </w:r>
          </w:p>
        </w:tc>
      </w:tr>
      <w:tr>
        <w:trPr/>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through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through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through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11,838 </w:t>
            </w:r>
          </w:p>
        </w:tc>
        <w:tc>
          <w:tcPr>
            <w:tcW w:w="4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5,158, 3,022 and 3,579 shares reacquired by the Company on the open market pursuant to the Amended ESPPs in April, May and June of 2026, respectively, and 79 shares withheld for income tax purposes in connection with shares issued under compensation and benefit programs in May of 2026.</w:t>
      </w:r>
    </w:p>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of June 30, 2026, the full amount remains available for share repurchases under our May 2025 $250 million share repurchase program, which was publicly announced on May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information concerning mine safety violations or other regulatory matters required by Section 1503(a) of the Dodd-Frank Wall Street Reform and Consumer Protection Act and Item 104 of Regulation S-K is included in </w:t>
      </w:r>
      <w:hyperlink w:anchor="mtz6302610-qex951.htm">
        <w:r>
          <w:rPr>
            <w:rStyle w:val="InternetLink"/>
            <w:rFonts w:ascii="Times New Roman;serif" w:hAnsi="Times New Roman;serif"/>
            <w:b w:val="false"/>
            <w:color w:val="0000FF"/>
            <w:sz w:val="18"/>
            <w:u w:val="single"/>
          </w:rPr>
          <w:t>Exhibit 95.1</w:t>
        </w:r>
      </w:hyperlink>
      <w:r>
        <w:rPr>
          <w:color w:val="000000"/>
        </w:rPr>
        <w:t xml:space="preserve"> </w:t>
      </w:r>
      <w:r>
        <w:rPr>
          <w:rFonts w:ascii="Times New Roman;serif" w:hAnsi="Times New Roman;serif"/>
          <w:b w:val="false"/>
          <w:color w:val="000000"/>
          <w:sz w:val="18"/>
        </w:rPr>
        <w:t>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except as provided below,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tbl>
      <w:tblPr>
        <w:tblW w:w="10205" w:type="dxa"/>
        <w:jc w:val="left"/>
        <w:tblInd w:w="0" w:type="dxa"/>
        <w:tblLayout w:type="fixed"/>
        <w:tblCellMar>
          <w:top w:w="28" w:type="dxa"/>
          <w:left w:w="28" w:type="dxa"/>
          <w:bottom w:w="28" w:type="dxa"/>
          <w:right w:w="28" w:type="dxa"/>
        </w:tblCellMar>
      </w:tblPr>
      <w:tblGrid>
        <w:gridCol w:w="329"/>
        <w:gridCol w:w="288"/>
        <w:gridCol w:w="291"/>
        <w:gridCol w:w="109"/>
        <w:gridCol w:w="109"/>
        <w:gridCol w:w="109"/>
        <w:gridCol w:w="428"/>
        <w:gridCol w:w="428"/>
        <w:gridCol w:w="433"/>
        <w:gridCol w:w="109"/>
        <w:gridCol w:w="109"/>
        <w:gridCol w:w="109"/>
        <w:gridCol w:w="254"/>
        <w:gridCol w:w="235"/>
        <w:gridCol w:w="237"/>
        <w:gridCol w:w="109"/>
        <w:gridCol w:w="109"/>
        <w:gridCol w:w="109"/>
        <w:gridCol w:w="298"/>
        <w:gridCol w:w="298"/>
        <w:gridCol w:w="305"/>
        <w:gridCol w:w="109"/>
        <w:gridCol w:w="109"/>
        <w:gridCol w:w="109"/>
        <w:gridCol w:w="277"/>
        <w:gridCol w:w="277"/>
        <w:gridCol w:w="278"/>
        <w:gridCol w:w="109"/>
        <w:gridCol w:w="109"/>
        <w:gridCol w:w="109"/>
        <w:gridCol w:w="125"/>
        <w:gridCol w:w="125"/>
        <w:gridCol w:w="125"/>
        <w:gridCol w:w="125"/>
        <w:gridCol w:w="125"/>
        <w:gridCol w:w="125"/>
        <w:gridCol w:w="125"/>
        <w:gridCol w:w="125"/>
        <w:gridCol w:w="125"/>
        <w:gridCol w:w="109"/>
        <w:gridCol w:w="109"/>
        <w:gridCol w:w="109"/>
        <w:gridCol w:w="727"/>
        <w:gridCol w:w="727"/>
        <w:gridCol w:w="730"/>
        <w:gridCol w:w="109"/>
        <w:gridCol w:w="169"/>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Type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Date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Aggregate Number of Securities Covered Under the Plan</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 Michael Love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Rule 10b5-1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Apple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Rule 10b5-1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Terminated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May 18, 2026, T. Michael Love, Chief Accounting Officer, adopted a Rule 10b5-1 sell-to-cover instruction plan that provides for the sale of shares of common stock necessary to satisfy tax withholding obligations arising exclusively from the vesting of shares of restricted stock on November 1, 2026, and the vesting of future awards not yet granted. The total number of shares of common stock that may be sold pursuant to the sell-to-cover instruction plan is not determinable as it will depend on the number of shares that vest and applicable tax withholding requirements. The sell-to-cover instruction plan will remain in effect indefinitely unless earlier terminated.</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(2)On June 5, 2026, Robert Apple, Chief Operating Officer, terminated a Rule 10b5-1 plan, which was previously adopted on March 13, 2026. The terminated trading plan provided for the potential sale of up to 30,079 shares of our common stock, and was scheduled to be effective from June 12, 2026 until December 31,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Exhibit Index below contains a list of exhibits filed or furnished with this Form 10-Q.</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2711"/>
        <w:gridCol w:w="2646"/>
        <w:gridCol w:w="3793"/>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Description</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Term Loan Agreement, dated as of July 7, 2026, by and among MasTec, Inc. and MasTec North America, Inc., as Borrowers, Bank of America, N.A., as Administrative Agent, and the other lenders party thereto</w:t>
              </w:r>
            </w:hyperlink>
            <w:r>
              <w:rPr>
                <w:rFonts w:ascii="Times New Roman;serif" w:hAnsi="Times New Roman;serif"/>
                <w:b w:val="false"/>
                <w:color w:val="000000"/>
                <w:sz w:val="18"/>
              </w:rPr>
              <w:t>, filed as Exhibit 10.1 to our Current Report on Form 8-K filed with the SEC on July 7, 2026 and incorporated by reference herein.</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Amendment No. 1 to Amended and Restated Credit Agreement, dated as of July 7, 2026, by and among MasTec, Inc. and MasTec North America, Inc. as Borrowers, Bank of America, N.A., as Administrative Agent, Swing Line Lender and L/C Issuer, and the other lenders party thereto</w:t>
              </w:r>
            </w:hyperlink>
            <w:r>
              <w:rPr>
                <w:rFonts w:ascii="Times New Roman;serif" w:hAnsi="Times New Roman;serif"/>
                <w:b w:val="false"/>
                <w:color w:val="000000"/>
                <w:sz w:val="18"/>
              </w:rPr>
              <w:t>, filed as Exhibit 10.2 to our Current Report on Form 8-K filed with the SEC on July 7, 2026 and incorporated by reference herein.</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6302610-qex311.htm">
              <w:r>
                <w:rPr>
                  <w:rStyle w:val="InternetLink"/>
                  <w:rFonts w:ascii="Times New Roman;serif" w:hAnsi="Times New Roman;serif"/>
                  <w:b w:val="false"/>
                  <w:color w:val="0000FF"/>
                  <w:sz w:val="18"/>
                  <w:u w:val="single"/>
                </w:rPr>
                <w:t>Certifications required by Section 302(a)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6302610-qex312.htm">
              <w:r>
                <w:rPr>
                  <w:rStyle w:val="InternetLink"/>
                  <w:rFonts w:ascii="Times New Roman;serif" w:hAnsi="Times New Roman;serif"/>
                  <w:b w:val="false"/>
                  <w:color w:val="0000FF"/>
                  <w:sz w:val="18"/>
                  <w:u w:val="single"/>
                </w:rPr>
                <w:t>Certifications required by Section 302(a)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6302610-qex321.htm">
              <w:r>
                <w:rPr>
                  <w:rStyle w:val="InternetLink"/>
                  <w:rFonts w:ascii="Times New Roman;serif" w:hAnsi="Times New Roman;serif"/>
                  <w:b w:val="false"/>
                  <w:color w:val="0000FF"/>
                  <w:sz w:val="18"/>
                  <w:u w:val="single"/>
                </w:rPr>
                <w:t>Certifications required by Section 906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6302610-qex322.htm">
              <w:r>
                <w:rPr>
                  <w:rStyle w:val="InternetLink"/>
                  <w:rFonts w:ascii="Times New Roman;serif" w:hAnsi="Times New Roman;serif"/>
                  <w:b w:val="false"/>
                  <w:color w:val="0000FF"/>
                  <w:sz w:val="18"/>
                  <w:u w:val="single"/>
                </w:rPr>
                <w:t>Certifications required by Section 906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6302610-qex951.htm">
              <w:r>
                <w:rPr>
                  <w:rStyle w:val="InternetLink"/>
                  <w:rFonts w:ascii="Times New Roman;serif" w:hAnsi="Times New Roman;serif"/>
                  <w:b w:val="false"/>
                  <w:color w:val="0000FF"/>
                  <w:sz w:val="18"/>
                  <w:u w:val="single"/>
                </w:rPr>
                <w:t>Mine Safety Disclosures.</w:t>
              </w:r>
            </w:hyperlink>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Inline XBRL Instance Document - The instance document does not appear in the interactive data file because its XBRL tags are embedded within the Inline XBRL document. </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cover page of MasTec, Inc.’s Quarterly Report on Form 10-Q for the quarter ended June 30, 2026, formatted in Inline XBRL (included with the Exhibit 101 attachments).</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20" w:after="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20" w:after="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ind w:left="0" w:right="0" w:hanging="36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4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tbl>
      <w:tblPr>
        <w:tblW w:w="3838" w:type="dxa"/>
        <w:jc w:val="left"/>
        <w:tblInd w:w="0" w:type="dxa"/>
        <w:tblLayout w:type="fixed"/>
        <w:tblCellMar>
          <w:top w:w="28" w:type="dxa"/>
          <w:left w:w="28" w:type="dxa"/>
          <w:bottom w:w="28" w:type="dxa"/>
          <w:right w:w="28" w:type="dxa"/>
        </w:tblCellMar>
      </w:tblPr>
      <w:tblGrid>
        <w:gridCol w:w="547"/>
        <w:gridCol w:w="482"/>
        <w:gridCol w:w="485"/>
        <w:gridCol w:w="679"/>
        <w:gridCol w:w="679"/>
        <w:gridCol w:w="966"/>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MASTEC, INC.</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  T. MICHAEL LOVE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 Michael Love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REQUIRED BY SECTION 302(a)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 José R. Mas, certify that: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tbl>
      <w:tblPr>
        <w:tblW w:w="3703" w:type="dxa"/>
        <w:jc w:val="left"/>
        <w:tblInd w:w="0" w:type="dxa"/>
        <w:tblLayout w:type="fixed"/>
        <w:tblCellMar>
          <w:top w:w="28" w:type="dxa"/>
          <w:left w:w="28" w:type="dxa"/>
          <w:bottom w:w="28" w:type="dxa"/>
          <w:right w:w="28" w:type="dxa"/>
        </w:tblCellMar>
      </w:tblPr>
      <w:tblGrid>
        <w:gridCol w:w="547"/>
        <w:gridCol w:w="482"/>
        <w:gridCol w:w="485"/>
        <w:gridCol w:w="640"/>
        <w:gridCol w:w="640"/>
        <w:gridCol w:w="909"/>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/s/  JOSÉ R. MAS</w:t>
            </w:r>
            <w:r>
              <w:rPr>
                <w:color w:val="000000"/>
              </w:rPr>
              <w:t>  </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José R. Mas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REQUIRED BY SECTION 302(a)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 Paul DiMarco, certify that: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tbl>
      <w:tblPr>
        <w:tblW w:w="5413" w:type="dxa"/>
        <w:jc w:val="left"/>
        <w:tblInd w:w="0" w:type="dxa"/>
        <w:tblLayout w:type="fixed"/>
        <w:tblCellMar>
          <w:top w:w="28" w:type="dxa"/>
          <w:left w:w="28" w:type="dxa"/>
          <w:bottom w:w="28" w:type="dxa"/>
          <w:right w:w="28" w:type="dxa"/>
        </w:tblCellMar>
      </w:tblPr>
      <w:tblGrid>
        <w:gridCol w:w="547"/>
        <w:gridCol w:w="482"/>
        <w:gridCol w:w="485"/>
        <w:gridCol w:w="1140"/>
        <w:gridCol w:w="1140"/>
        <w:gridCol w:w="1619"/>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  PAUL DIMARCO</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Paul DiMarco</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MasTec, Inc. (the “Company”) on Form 10-Q for the period ended June 30, 2026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703" w:type="dxa"/>
        <w:jc w:val="left"/>
        <w:tblInd w:w="0" w:type="dxa"/>
        <w:tblLayout w:type="fixed"/>
        <w:tblCellMar>
          <w:top w:w="28" w:type="dxa"/>
          <w:left w:w="28" w:type="dxa"/>
          <w:bottom w:w="28" w:type="dxa"/>
          <w:right w:w="28" w:type="dxa"/>
        </w:tblCellMar>
      </w:tblPr>
      <w:tblGrid>
        <w:gridCol w:w="547"/>
        <w:gridCol w:w="482"/>
        <w:gridCol w:w="485"/>
        <w:gridCol w:w="640"/>
        <w:gridCol w:w="640"/>
        <w:gridCol w:w="909"/>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/s/  JOSÉ R. MAS</w:t>
            </w:r>
            <w:r>
              <w:rPr>
                <w:color w:val="000000"/>
              </w:rPr>
              <w:t>  </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José R. Mas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certification set forth above is being furnished as an exhibit solely pursuant to Section 906 of the Sarbanes-Oxley Act of 2002 and is not being filed as part of the Quarterly Report of MasTec, Inc. on Form 10-Q for the period ended June 30, 2026, or as a separate disclosure document of the Company or the certifying officers.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MasTec, Inc. (the “Company”) on Form 10-Q for the period ended June 30, 2026 as filed with the Securities and Exchange Commission on the date hereof (the “Report”), I, Paul DiMarco, Executive Vice President and Chief Financial Officer of the Company,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5413" w:type="dxa"/>
        <w:jc w:val="left"/>
        <w:tblInd w:w="0" w:type="dxa"/>
        <w:tblLayout w:type="fixed"/>
        <w:tblCellMar>
          <w:top w:w="28" w:type="dxa"/>
          <w:left w:w="28" w:type="dxa"/>
          <w:bottom w:w="28" w:type="dxa"/>
          <w:right w:w="28" w:type="dxa"/>
        </w:tblCellMar>
      </w:tblPr>
      <w:tblGrid>
        <w:gridCol w:w="547"/>
        <w:gridCol w:w="482"/>
        <w:gridCol w:w="485"/>
        <w:gridCol w:w="1140"/>
        <w:gridCol w:w="1140"/>
        <w:gridCol w:w="1619"/>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  PAUL DIMARCO</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Paul DiMarco</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certification set forth above is being furnished as an exhibit solely pursuant to Section 906 of the Sarbanes-Oxley Act of 2002 and is not being filed as part of the Quarterly Report of MasTec, Inc. on Form 10-Q for the period ended June 30, 2026, or as a separate disclosure document of the Company or the certifying officers.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95.1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MINE SAFETY DISCLOSURES</w:t>
      </w:r>
    </w:p>
    <w:p>
      <w:pPr>
        <w:pStyle w:val="TextBody"/>
        <w:bidi w:val="0"/>
        <w:spacing w:before="0" w:after="0"/>
        <w:jc w:val="center"/>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We operate aggregate mines that are subject to regulation by the federal Mine Safety and Health Administration (“MSHA”) under the Federal Mine Safety and Health Act of 1977, 30 U.S.C. § 801 </w:t>
      </w:r>
      <w:r>
        <w:rPr>
          <w:rFonts w:ascii="Times New Roman;serif" w:hAnsi="Times New Roman;serif"/>
          <w:b w:val="false"/>
          <w:i/>
          <w:color w:val="000000"/>
          <w:sz w:val="18"/>
        </w:rPr>
        <w:t>et seq</w:t>
      </w:r>
      <w:r>
        <w:rPr>
          <w:rFonts w:ascii="Times New Roman;serif" w:hAnsi="Times New Roman;serif"/>
          <w:b w:val="false"/>
          <w:color w:val="000000"/>
          <w:sz w:val="18"/>
        </w:rPr>
        <w:t>. (the “Mine Act”). Set forth below is the required information regarding certain mining safety and health matters for the quarter ended June 30, 2026. Citations and orders may be contested and appealed, and in that process, may be reduced in severity and amount, and are sometimes dismissed. The table below includes references to specific sections of the Mine Act.</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in the table below is presented by mine, consistent with the manner in which we maintain safety and compliance information about our mining operations.</w:t>
      </w:r>
    </w:p>
    <w:tbl>
      <w:tblPr>
        <w:tblW w:w="10205" w:type="dxa"/>
        <w:jc w:val="left"/>
        <w:tblInd w:w="0" w:type="dxa"/>
        <w:tblLayout w:type="fixed"/>
        <w:tblCellMar>
          <w:top w:w="28" w:type="dxa"/>
          <w:left w:w="28" w:type="dxa"/>
          <w:bottom w:w="28" w:type="dxa"/>
          <w:right w:w="28" w:type="dxa"/>
        </w:tblCellMar>
      </w:tblPr>
      <w:tblGrid>
        <w:gridCol w:w="439"/>
        <w:gridCol w:w="305"/>
        <w:gridCol w:w="307"/>
        <w:gridCol w:w="109"/>
        <w:gridCol w:w="109"/>
        <w:gridCol w:w="109"/>
        <w:gridCol w:w="280"/>
        <w:gridCol w:w="280"/>
        <w:gridCol w:w="282"/>
        <w:gridCol w:w="109"/>
        <w:gridCol w:w="109"/>
        <w:gridCol w:w="109"/>
        <w:gridCol w:w="234"/>
        <w:gridCol w:w="234"/>
        <w:gridCol w:w="236"/>
        <w:gridCol w:w="109"/>
        <w:gridCol w:w="109"/>
        <w:gridCol w:w="109"/>
        <w:gridCol w:w="279"/>
        <w:gridCol w:w="279"/>
        <w:gridCol w:w="280"/>
        <w:gridCol w:w="109"/>
        <w:gridCol w:w="109"/>
        <w:gridCol w:w="109"/>
        <w:gridCol w:w="252"/>
        <w:gridCol w:w="252"/>
        <w:gridCol w:w="253"/>
        <w:gridCol w:w="109"/>
        <w:gridCol w:w="109"/>
        <w:gridCol w:w="109"/>
        <w:gridCol w:w="234"/>
        <w:gridCol w:w="234"/>
        <w:gridCol w:w="235"/>
        <w:gridCol w:w="109"/>
        <w:gridCol w:w="109"/>
        <w:gridCol w:w="109"/>
        <w:gridCol w:w="205"/>
        <w:gridCol w:w="677"/>
        <w:gridCol w:w="114"/>
        <w:gridCol w:w="109"/>
        <w:gridCol w:w="109"/>
        <w:gridCol w:w="109"/>
        <w:gridCol w:w="273"/>
        <w:gridCol w:w="273"/>
        <w:gridCol w:w="274"/>
        <w:gridCol w:w="109"/>
        <w:gridCol w:w="109"/>
        <w:gridCol w:w="109"/>
        <w:gridCol w:w="252"/>
        <w:gridCol w:w="252"/>
        <w:gridCol w:w="374"/>
      </w:tblGrid>
      <w:tr>
        <w:trPr/>
        <w:tc>
          <w:tcPr>
            <w:tcW w:w="4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Mine Name or Location / 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104 Citations</w:t>
            </w:r>
            <w:r>
              <w:rPr>
                <w:rFonts w:ascii="Times New Roman;serif" w:hAnsi="Times New Roman;serif"/>
                <w:b/>
                <w:color w:val="000000"/>
                <w:sz w:val="11"/>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104(b) Orders</w:t>
            </w:r>
            <w:r>
              <w:rPr>
                <w:rFonts w:ascii="Times New Roman;serif" w:hAnsi="Times New Roman;serif"/>
                <w:b/>
                <w:color w:val="000000"/>
                <w:sz w:val="11"/>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104(d) Citations and Orders</w:t>
            </w:r>
            <w:r>
              <w:rPr>
                <w:rFonts w:ascii="Times New Roman;serif" w:hAnsi="Times New Roman;serif"/>
                <w:b/>
                <w:color w:val="000000"/>
                <w:sz w:val="11"/>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110(b)(2) Violations</w:t>
            </w:r>
            <w:r>
              <w:rPr>
                <w:rFonts w:ascii="Times New Roman;serif" w:hAnsi="Times New Roman;serif"/>
                <w:b/>
                <w:color w:val="000000"/>
                <w:sz w:val="11"/>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107(a) Orders</w:t>
            </w:r>
            <w:r>
              <w:rPr>
                <w:rFonts w:ascii="Times New Roman;serif" w:hAnsi="Times New Roman;serif"/>
                <w:b/>
                <w:color w:val="000000"/>
                <w:sz w:val="11"/>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Proposed</w:t>
            </w:r>
          </w:p>
          <w:p>
            <w:pPr>
              <w:pStyle w:val="TableContents"/>
              <w:bidi w:val="0"/>
              <w:spacing w:lineRule="auto" w:line="240" w:before="0" w:after="30"/>
              <w:jc w:val="center"/>
              <w:rPr/>
            </w:pPr>
            <w:r>
              <w:rPr>
                <w:rFonts w:ascii="Times New Roman;serif" w:hAnsi="Times New Roman;serif"/>
                <w:b/>
                <w:color w:val="000000"/>
                <w:sz w:val="17"/>
              </w:rPr>
              <w:t>Assessments</w:t>
            </w:r>
            <w:r>
              <w:rPr>
                <w:rFonts w:ascii="Times New Roman;serif" w:hAnsi="Times New Roman;serif"/>
                <w:b/>
                <w:color w:val="000000"/>
                <w:sz w:val="11"/>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7"/>
              </w:rPr>
              <w:t>Fatalities</w:t>
            </w:r>
            <w:r>
              <w:rPr>
                <w:rFonts w:ascii="Times New Roman;serif" w:hAnsi="Times New Roman;serif"/>
                <w:b/>
                <w:color w:val="000000"/>
                <w:sz w:val="11"/>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7"/>
              </w:rPr>
              <w:t>Pending Legal Action</w:t>
            </w:r>
            <w:r>
              <w:rPr>
                <w:rFonts w:ascii="Times New Roman;serif" w:hAnsi="Times New Roman;serif"/>
                <w:b/>
                <w:color w:val="000000"/>
                <w:sz w:val="11"/>
              </w:rPr>
              <w:t>(h)</w:t>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1 / 0203091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2 / 0202622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3 / 0202774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4 / 0203036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5 / 2902226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6 / 0202589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7 / 0203079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8 / 0203035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Arizona / VTW</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Mesquite Wash Plant / 2602774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Topaz Mine / 2602440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Oklahoma / B7441</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Texas / B7441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Utah / B7441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Texas / C4778</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Wisconsin / A6370</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Alabama / 1KJ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Texas / E757</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Denotes where we are working as an "independent contractor" at another operator's mine.</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    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    The total number of orders issued under Section 104(b)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    The total number of citations and orders for unwarrantable failure of the mine operator to comply with mandatory health or safety standards under Section 104(d)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    The total number of flagrant violations under Section 110(b)(2)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(e)    The total number of imminent danger orders issued under Section 107(a)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(f)    The total dollar value of proposed assessments from the MSHA under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(g)    The total number of mining-related fatalities.</w:t>
      </w:r>
    </w:p>
    <w:p>
      <w:pPr>
        <w:pStyle w:val="TextBody"/>
        <w:bidi w:val="0"/>
        <w:spacing w:lineRule="auto" w:line="288" w:before="60" w:after="1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(h)    Any pending legal action before the Federal Mine Safety and Health Review Commission involving the applicable mine(s).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quarter ended June 30, 2026,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0015615/000119312526297552/d77261dex101.htm" TargetMode="External"/><Relationship Id="rId4" Type="http://schemas.openxmlformats.org/officeDocument/2006/relationships/hyperlink" Target="https://www.sec.gov/Archives/edgar/data/0000015615/000119312526297552/d77261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31881</Words>
  <Characters>179346</Characters>
  <CharactersWithSpaces>209295</CharactersWithSpaces>
  <Paragraphs>3809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