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637d8k.htm"/>
      <w:bookmarkStart w:id="1" w:name="ksd11863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July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MASTEC,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10" w:type="dxa"/>
        <w:jc w:val="left"/>
        <w:tblInd w:w="0" w:type="dxa"/>
        <w:tblLayout w:type="fixed"/>
        <w:tblCellMar>
          <w:top w:w="0" w:type="dxa"/>
          <w:left w:w="0" w:type="dxa"/>
          <w:bottom w:w="0" w:type="dxa"/>
          <w:right w:w="0" w:type="dxa"/>
        </w:tblCellMar>
      </w:tblPr>
      <w:tblGrid>
        <w:gridCol w:w="2255"/>
        <w:gridCol w:w="60"/>
        <w:gridCol w:w="1265"/>
        <w:gridCol w:w="60"/>
        <w:gridCol w:w="1370"/>
      </w:tblGrid>
      <w:tr>
        <w:trPr/>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b/>
              </w:rPr>
            </w:pPr>
            <w:r>
              <w:rPr>
                <w:b/>
              </w:rPr>
              <w:t>Florida</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center"/>
              <w:rPr>
                <w:b/>
              </w:rPr>
            </w:pPr>
            <w:r>
              <w:rPr>
                <w:b/>
              </w:rPr>
              <w:t>001-08106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65-0829355</w:t>
            </w:r>
          </w:p>
        </w:tc>
      </w:tr>
      <w:tr>
        <w:trPr/>
        <w:tc>
          <w:tcPr>
            <w:tcW w:w="22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 File</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800 S. Douglas Road, 12th Floor</w:t>
      </w:r>
    </w:p>
    <w:p>
      <w:pPr>
        <w:pStyle w:val="TextBody"/>
        <w:bidi w:val="0"/>
        <w:spacing w:before="0" w:after="0"/>
        <w:jc w:val="center"/>
        <w:rPr>
          <w:rFonts w:ascii="Times New Roman" w:hAnsi="Times New Roman"/>
          <w:b/>
          <w:sz w:val="20"/>
        </w:rPr>
      </w:pPr>
      <w:r>
        <w:rPr>
          <w:rFonts w:ascii="Times New Roman" w:hAnsi="Times New Roman"/>
          <w:b/>
          <w:sz w:val="20"/>
        </w:rPr>
        <w:t>Coral Gables, Florida 33134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(305) 599-1800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675" w:type="dxa"/>
        <w:jc w:val="left"/>
        <w:tblInd w:w="0" w:type="dxa"/>
        <w:tblLayout w:type="fixed"/>
        <w:tblCellMar>
          <w:top w:w="0" w:type="dxa"/>
          <w:left w:w="0" w:type="dxa"/>
          <w:bottom w:w="0" w:type="dxa"/>
          <w:right w:w="0" w:type="dxa"/>
        </w:tblCellMar>
      </w:tblPr>
      <w:tblGrid>
        <w:gridCol w:w="3185"/>
        <w:gridCol w:w="60"/>
        <w:gridCol w:w="710"/>
        <w:gridCol w:w="60"/>
        <w:gridCol w:w="2660"/>
      </w:tblGrid>
      <w:tr>
        <w:trPr/>
        <w:tc>
          <w:tcPr>
            <w:tcW w:w="31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1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85" w:type="dxa"/>
            <w:tcBorders/>
            <w:vAlign w:val="center"/>
          </w:tcPr>
          <w:p>
            <w:pPr>
              <w:pStyle w:val="TableContents"/>
              <w:bidi w:val="0"/>
              <w:spacing w:before="0" w:after="283"/>
              <w:jc w:val="center"/>
              <w:rPr/>
            </w:pPr>
            <w:r>
              <w:rPr/>
              <w:t>Common Stock, $0.10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MTZ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Current Report on Form 8-K (the “Form 8-K”) is being filed by MasTec, Inc., a Florida corporation, solely for the purpose of filing Exhibit 5.1 and Exhibit 23.1 (included in Exhibit 5.1) to the Form 8-K.</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145"/>
        <w:gridCol w:w="3005"/>
      </w:tblGrid>
      <w:tr>
        <w:trPr/>
        <w:tc>
          <w:tcPr>
            <w:tcW w:w="114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8637dex51.htm">
              <w:r>
                <w:rPr>
                  <w:rStyle w:val="InternetLink"/>
                </w:rPr>
                <w:t xml:space="preserve">Opinion of Holland &amp; Knight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18637dex51.htm">
              <w:r>
                <w:rPr>
                  <w:rStyle w:val="InternetLink"/>
                </w:rPr>
                <w:t xml:space="preserve">Consent of Holland &amp; Knight LLP (included in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The cover page of MasTec, Inc.’s Current Report on Form 8-K, formatted in Inline XBRL (included with the Exhibit 101 attachments).</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943" w:type="dxa"/>
        <w:jc w:val="left"/>
        <w:tblInd w:w="0" w:type="dxa"/>
        <w:tblLayout w:type="fixed"/>
        <w:tblCellMar>
          <w:top w:w="0" w:type="dxa"/>
          <w:left w:w="0" w:type="dxa"/>
          <w:bottom w:w="0" w:type="dxa"/>
          <w:right w:w="0" w:type="dxa"/>
        </w:tblCellMar>
      </w:tblPr>
      <w:tblGrid>
        <w:gridCol w:w="1895"/>
        <w:gridCol w:w="60"/>
        <w:gridCol w:w="23"/>
        <w:gridCol w:w="60"/>
        <w:gridCol w:w="365"/>
        <w:gridCol w:w="60"/>
        <w:gridCol w:w="548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5" w:type="dxa"/>
            <w:gridSpan w:val="3"/>
            <w:tcBorders/>
            <w:vAlign w:val="center"/>
          </w:tcPr>
          <w:p>
            <w:pPr>
              <w:pStyle w:val="TableContents"/>
              <w:bidi w:val="0"/>
              <w:spacing w:before="0" w:after="283"/>
              <w:jc w:val="left"/>
              <w:rPr>
                <w:b/>
              </w:rPr>
            </w:pPr>
            <w:r>
              <w:rPr>
                <w:b/>
              </w:rPr>
              <w:t>MASTEC,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Alberto de Cardenas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Alberto de Cardenas</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2" w:name="d118637dex51.htm"/>
      <w:bookmarkStart w:id="3" w:name="ksd118637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3336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31, 2026 </w:t>
      </w:r>
    </w:p>
    <w:p>
      <w:pPr>
        <w:pStyle w:val="TextBody"/>
        <w:bidi w:val="0"/>
        <w:spacing w:before="240" w:after="0"/>
        <w:jc w:val="left"/>
        <w:rPr>
          <w:rFonts w:ascii="Times New Roman" w:hAnsi="Times New Roman"/>
          <w:sz w:val="20"/>
        </w:rPr>
      </w:pPr>
      <w:r>
        <w:rPr>
          <w:rFonts w:ascii="Times New Roman" w:hAnsi="Times New Roman"/>
          <w:sz w:val="20"/>
        </w:rPr>
        <w:t xml:space="preserve">MasTec, Inc. </w:t>
      </w:r>
    </w:p>
    <w:p>
      <w:pPr>
        <w:pStyle w:val="TextBody"/>
        <w:bidi w:val="0"/>
        <w:spacing w:before="0" w:after="0"/>
        <w:jc w:val="left"/>
        <w:rPr>
          <w:rFonts w:ascii="Times New Roman" w:hAnsi="Times New Roman"/>
          <w:sz w:val="20"/>
        </w:rPr>
      </w:pPr>
      <w:r>
        <w:rPr>
          <w:rFonts w:ascii="Times New Roman" w:hAnsi="Times New Roman"/>
          <w:sz w:val="20"/>
        </w:rPr>
        <w:t xml:space="preserve">800 S. Douglas Road, 12th Floor </w:t>
      </w:r>
    </w:p>
    <w:p>
      <w:pPr>
        <w:pStyle w:val="TextBody"/>
        <w:bidi w:val="0"/>
        <w:spacing w:before="0" w:after="0"/>
        <w:jc w:val="left"/>
        <w:rPr>
          <w:rFonts w:ascii="Times New Roman" w:hAnsi="Times New Roman"/>
          <w:sz w:val="20"/>
        </w:rPr>
      </w:pPr>
      <w:r>
        <w:rPr>
          <w:rFonts w:ascii="Times New Roman" w:hAnsi="Times New Roman"/>
          <w:sz w:val="20"/>
        </w:rPr>
        <w:t xml:space="preserve">Coral Gables, FL 33134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 (Registration No. 333-285425)</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Florida counsel to MasTec, Inc., a Florida corporation (the “Company”), in connection with certain matters of Florida law arising out of the registration by the Company of 1,219,498 shares (the “Shares”) of the Company’s common stock, par value $0.10 per share, covered by the above-referenced Registration Statement (the “Registration Statement”), filed by the Company with the U.S. Securities and Exchange Commission (the “Commission”) under the Securities Act of 1933, as amended (the “Securities Act”). The Shares were issued pursuant to a Share Purchase Agreement (the “Acquisition Agreement”) among the Company, Electrical Specialists, Inc., d/b/a the Superior Group, Stewshi Co., Inc., as the seller, and the shareholders and shareholder representative named therein. We are rendering this opinion pursuant to the requirements of the Act in connection with the prospectus supplement (the “Prospectus Supplement”) dated as of the date hereof. The Prospectus Supplement relates to the sale by the Selling Shareholders named in the Prospectus Supplement of the Shares.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and relied upon originals, or copies certified or otherwise identified to our satisfaction, of the following documents (collectively, the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and all amendments thereto, and the related form of prospectus included therein, in the form in which it was transmitted to the Commission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Articles of Incorporation of the Company (the “Charter”), certified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and Restated By-laws of the Company (the “By-laws”),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the Florida Department of State as to the good standing of the Company, dated as of a recent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Resolutions adopted by the Board of Directors of the Company (the “Resolutions”), relating to the issuance of the Shares, certified as of the date hereof by an officer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executed by an officer of the Company, dated as of the date 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documents, records, certificates, memoranda, other instruments and matters as we have deemed necessary or appropriate to express the opinion set forth below, subject to the assumptions, limitations and qualifications stated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to factual matters material to the opinion expressed herein which were not independently established or verified, we have relied, to the extent we have deemed reasonably appropriate, upon statements and representations of officers or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(but not verified)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individual executing any of the Documents, whether on behalf of such individual or another person, is legally competent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individual executing any of the Documents on behalf of a party (other than the Company) is duly authorized to do so.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5"/>
        <w:gridCol w:w="511"/>
        <w:gridCol w:w="9289"/>
      </w:tblGrid>
      <w:tr>
        <w:trPr/>
        <w:tc>
          <w:tcPr>
            <w:tcW w:w="40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the parties (other than the Company) executing any of the Documents has duly and validly executed and delivered each of the Documents to which such party is a signatory, and the obligations of each party set forth therein are legal, valid and binding and are enforceable in accordance with all stated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Shares were or will be issued, sold or transferred in violation of any restriction on transfer set forth in Article V of the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issuance of any of the Shares, the total number of shares of Common Stock issued and outstanding will not exceed the total number of shares of Common Stock that the Company is then authorized to issue under the Charter.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the Shares have been duly authorized and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corporate laws of the State of Florida as in effect on the date hereof and we do not express any opinion herein concerning any other law. We express no opinion and provide no assurance as to the applicability or effect of any federal or state securities laws, rules or regulations. including the securities laws of the State of Florida, or as to federal or state laws regarding fraudulent transfers. To the extent that any matter as to which our opinion is expressed herein would be governed by any laws other than the corporate laws of the State of Florida as in effect on the date hereof, we do not express any opinion on such matter. The opinion expressed herein is subject to the effect of judicial decisions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rendered solely in connection with the registration of the Shares for resale by the Selling Shareholders under the Registration Statement pursuant to the Prospectus Supplement. 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Shares (the “Current Report”). We hereby consent to the filing of this opinion as an exhibit to the Current Report and to the use of the name of our firm therein and under the caption “Legal Matters” in the Prospectus Supplement. In giving this consent, we do not admit that we are within the category of persons whose consent is required by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Holland &amp; Knight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Holland &amp; Knight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1607</Words>
  <Characters>8314</Characters>
  <CharactersWithSpaces>9928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