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ind w:left="0" w:right="0" w:firstLine="72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60" w:after="120"/>
        <w:jc w:val="both"/>
        <w:rPr/>
      </w:pPr>
      <w:r>
        <w:rPr>
          <w:color w:val="000000"/>
        </w:rPr>
        <w:t>☑     </w:t>
      </w:r>
      <w:r>
        <w:rPr>
          <w:rFonts w:ascii="Times New Roman;serif" w:hAnsi="Times New Roman;serif"/>
          <w:b/>
          <w:color w:val="000000"/>
          <w:sz w:val="27"/>
        </w:rPr>
        <w:t>ANNUAL REPORT 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For the fiscal year ended December 31, 2025</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OR</w:t>
      </w:r>
    </w:p>
    <w:p>
      <w:pPr>
        <w:pStyle w:val="TextBody"/>
        <w:bidi w:val="0"/>
        <w:spacing w:lineRule="auto" w:line="288" w:before="120" w:after="120"/>
        <w:jc w:val="both"/>
        <w:rPr/>
      </w:pPr>
      <w:r>
        <w:rPr>
          <w:color w:val="000000"/>
        </w:rPr>
        <w:t>☐    </w:t>
      </w:r>
      <w:r>
        <w:rPr>
          <w:rFonts w:ascii="Times New Roman;serif" w:hAnsi="Times New Roman;serif"/>
          <w:b/>
          <w:color w:val="000000"/>
          <w:sz w:val="27"/>
        </w:rPr>
        <w:t>TRANSITION REPORT PURSUANT TO SECTION 13 OR 15(d) OF THE SECURITIES EXCHANGE ACT OF 1934</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For the transition period from __ to 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Commission File Number 001-08106</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w:t>
      </w:r>
    </w:p>
    <w:p>
      <w:pPr>
        <w:pStyle w:val="TextBody"/>
        <w:bidi w:val="0"/>
        <w:spacing w:before="240" w:after="120"/>
        <w:jc w:val="center"/>
        <w:rPr/>
      </w:pPr>
      <w:r>
        <w:rPr/>
        <w:drawing>
          <wp:inline distT="0" distB="0" distL="0" distR="0">
            <wp:extent cx="1085850"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85850" cy="209550"/>
                    </a:xfrm>
                    <a:prstGeom prst="rect">
                      <a:avLst/>
                    </a:prstGeom>
                  </pic:spPr>
                </pic:pic>
              </a:graphicData>
            </a:graphic>
          </wp:inline>
        </w:drawing>
      </w:r>
      <w:bookmarkStart w:id="0" w:name="i-1"/>
      <w:bookmarkEnd w:id="0"/>
    </w:p>
    <w:p>
      <w:pPr>
        <w:pStyle w:val="TextBody"/>
        <w:bidi w:val="0"/>
        <w:spacing w:lineRule="auto" w:line="288" w:before="120" w:after="60"/>
        <w:jc w:val="center"/>
        <w:rPr>
          <w:rFonts w:ascii="Times New Roman;serif" w:hAnsi="Times New Roman;serif"/>
          <w:b/>
          <w:color w:val="000000"/>
          <w:sz w:val="48"/>
        </w:rPr>
      </w:pPr>
      <w:r>
        <w:rPr>
          <w:rFonts w:ascii="Times New Roman;serif" w:hAnsi="Times New Roman;serif"/>
          <w:b/>
          <w:color w:val="000000"/>
          <w:sz w:val="48"/>
        </w:rPr>
        <w:t>MasTec, Inc.</w:t>
      </w:r>
    </w:p>
    <w:p>
      <w:pPr>
        <w:pStyle w:val="TextBody"/>
        <w:bidi w:val="0"/>
        <w:spacing w:lineRule="auto" w:line="288" w:before="60" w:after="120"/>
        <w:jc w:val="center"/>
        <w:rPr>
          <w:rFonts w:ascii="Times New Roman;serif" w:hAnsi="Times New Roman;serif"/>
          <w:b/>
          <w:i/>
          <w:color w:val="000000"/>
          <w:sz w:val="18"/>
        </w:rPr>
      </w:pPr>
      <w:r>
        <w:rPr>
          <w:rFonts w:ascii="Times New Roman;serif" w:hAnsi="Times New Roman;serif"/>
          <w:b/>
          <w:i/>
          <w:color w:val="000000"/>
          <w:sz w:val="18"/>
        </w:rPr>
        <w:t>(Exact name of registrant as specified in its charter)</w:t>
      </w:r>
    </w:p>
    <w:tbl>
      <w:tblPr>
        <w:tblW w:w="3929" w:type="dxa"/>
        <w:jc w:val="center"/>
        <w:tblInd w:w="0" w:type="dxa"/>
        <w:tblLayout w:type="fixed"/>
        <w:tblCellMar>
          <w:top w:w="28" w:type="dxa"/>
          <w:left w:w="28" w:type="dxa"/>
          <w:bottom w:w="28" w:type="dxa"/>
          <w:right w:w="28" w:type="dxa"/>
        </w:tblCellMar>
      </w:tblPr>
      <w:tblGrid>
        <w:gridCol w:w="482"/>
        <w:gridCol w:w="424"/>
        <w:gridCol w:w="424"/>
        <w:gridCol w:w="424"/>
        <w:gridCol w:w="424"/>
        <w:gridCol w:w="432"/>
        <w:gridCol w:w="385"/>
        <w:gridCol w:w="385"/>
        <w:gridCol w:w="549"/>
      </w:tblGrid>
      <w:tr>
        <w:trPr/>
        <w:tc>
          <w:tcPr>
            <w:tcW w:w="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2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Florida</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65-0829355</w:t>
            </w:r>
          </w:p>
        </w:tc>
      </w:tr>
      <w:tr>
        <w:trPr/>
        <w:tc>
          <w:tcPr>
            <w:tcW w:w="2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(State or other jurisdiction of</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(I.R.S. Employer</w:t>
            </w:r>
          </w:p>
        </w:tc>
      </w:tr>
      <w:tr>
        <w:trPr/>
        <w:tc>
          <w:tcPr>
            <w:tcW w:w="2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incorporation or organization)</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Identification No.)</w:t>
            </w:r>
          </w:p>
        </w:tc>
      </w:tr>
      <w:tr>
        <w:trPr/>
        <w:tc>
          <w:tcPr>
            <w:tcW w:w="26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800 S. Douglas Road, 12th Floor</w:t>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Coral Gables,</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Florida</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33134</w:t>
            </w:r>
          </w:p>
        </w:tc>
      </w:tr>
      <w:tr>
        <w:trPr/>
        <w:tc>
          <w:tcPr>
            <w:tcW w:w="2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(Address of principal executive offices)</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(Zip Code)</w:t>
            </w:r>
          </w:p>
        </w:tc>
      </w:tr>
    </w:tbl>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(305) 599-1800</w:t>
      </w:r>
    </w:p>
    <w:p>
      <w:pPr>
        <w:pStyle w:val="TextBody"/>
        <w:bidi w:val="0"/>
        <w:spacing w:lineRule="auto" w:line="288" w:before="0" w:after="120"/>
        <w:jc w:val="center"/>
        <w:rPr>
          <w:rFonts w:ascii="Times New Roman;serif" w:hAnsi="Times New Roman;serif"/>
          <w:b/>
          <w:i/>
          <w:color w:val="000000"/>
          <w:sz w:val="15"/>
        </w:rPr>
      </w:pPr>
      <w:r>
        <w:rPr>
          <w:rFonts w:ascii="Times New Roman;serif" w:hAnsi="Times New Roman;serif"/>
          <w:b/>
          <w:i/>
          <w:color w:val="000000"/>
          <w:sz w:val="15"/>
        </w:rPr>
        <w:t>(Registrant’s telephone number, including area code)</w:t>
      </w:r>
    </w:p>
    <w:p>
      <w:pPr>
        <w:pStyle w:val="TextBody"/>
        <w:bidi w:val="0"/>
        <w:spacing w:lineRule="auto" w:line="288" w:before="120" w:after="6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108" w:type="dxa"/>
        <w:jc w:val="center"/>
        <w:tblInd w:w="0" w:type="dxa"/>
        <w:tblLayout w:type="fixed"/>
        <w:tblCellMar>
          <w:top w:w="28" w:type="dxa"/>
          <w:left w:w="28" w:type="dxa"/>
          <w:bottom w:w="28" w:type="dxa"/>
          <w:right w:w="28" w:type="dxa"/>
        </w:tblCellMar>
      </w:tblPr>
      <w:tblGrid>
        <w:gridCol w:w="1034"/>
        <w:gridCol w:w="912"/>
        <w:gridCol w:w="918"/>
        <w:gridCol w:w="434"/>
        <w:gridCol w:w="434"/>
        <w:gridCol w:w="436"/>
        <w:gridCol w:w="860"/>
        <w:gridCol w:w="860"/>
        <w:gridCol w:w="1220"/>
      </w:tblGrid>
      <w:tr>
        <w:trPr/>
        <w:tc>
          <w:tcPr>
            <w:tcW w:w="103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u w:val="single"/>
              </w:rPr>
            </w:pPr>
            <w:r>
              <w:rPr>
                <w:rFonts w:ascii="Times New Roman;serif" w:hAnsi="Times New Roman;serif"/>
                <w:b/>
                <w:color w:val="000000"/>
                <w:sz w:val="15"/>
                <w:u w:val="single"/>
              </w:rPr>
              <w:t>Title of each class</w:t>
            </w:r>
          </w:p>
          <w:p>
            <w:pPr>
              <w:pStyle w:val="TableContents"/>
              <w:bidi w:val="0"/>
              <w:spacing w:before="0" w:after="0"/>
              <w:jc w:val="center"/>
              <w:rPr/>
            </w:pPr>
            <w:r>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Trading symbol(s)</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u w:val="single"/>
              </w:rPr>
            </w:pPr>
            <w:r>
              <w:rPr>
                <w:rFonts w:ascii="Times New Roman;serif" w:hAnsi="Times New Roman;serif"/>
                <w:b/>
                <w:color w:val="000000"/>
                <w:sz w:val="15"/>
                <w:u w:val="single"/>
              </w:rPr>
              <w:t>Name of each exchange on which registered</w:t>
            </w:r>
          </w:p>
          <w:p>
            <w:pPr>
              <w:pStyle w:val="TableContents"/>
              <w:bidi w:val="0"/>
              <w:spacing w:before="0" w:after="0"/>
              <w:jc w:val="center"/>
              <w:rPr/>
            </w:pPr>
            <w:r>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$0.10 Par Value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MTZ</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Securities registered pursuant to Section 12(g) of the Act: None</w:t>
      </w:r>
    </w:p>
    <w:p>
      <w:pPr>
        <w:pStyle w:val="TextBody"/>
        <w:bidi w:val="0"/>
        <w:spacing w:lineRule="auto" w:line="288" w:before="120" w:after="120"/>
        <w:jc w:val="both"/>
        <w:rPr>
          <w:color w:val="000000"/>
        </w:rPr>
      </w:pPr>
      <w:r>
        <w:rPr>
          <w:color w:val="000000"/>
        </w:rPr>
        <w:t>    </w:t>
      </w:r>
      <w:r>
        <w:rPr>
          <w:rFonts w:ascii="Times New Roman;serif" w:hAnsi="Times New Roman;serif"/>
          <w:b w:val="false"/>
          <w:color w:val="000000"/>
          <w:sz w:val="18"/>
        </w:rPr>
        <w:t>Indicate by check mark if the registrant is a well-known seasoned issuer, as defined in Rule 405 of the Securities Act.      Yes ☑   No ☐</w:t>
      </w:r>
    </w:p>
    <w:p>
      <w:pPr>
        <w:pStyle w:val="TextBody"/>
        <w:bidi w:val="0"/>
        <w:spacing w:lineRule="auto" w:line="288" w:before="120" w:after="120"/>
        <w:jc w:val="both"/>
        <w:rPr>
          <w:color w:val="000000"/>
        </w:rPr>
      </w:pPr>
      <w:r>
        <w:rPr>
          <w:color w:val="000000"/>
        </w:rPr>
        <w:t>    </w:t>
      </w:r>
      <w:r>
        <w:rPr>
          <w:rFonts w:ascii="Times New Roman;serif" w:hAnsi="Times New Roman;serif"/>
          <w:b w:val="false"/>
          <w:color w:val="000000"/>
          <w:sz w:val="18"/>
        </w:rPr>
        <w:t>Indicate by check mark if the registrant is not required to file reports pursuant to Section 13 or Section 15(d) of the Act.     Yes ☐  No  ☑</w:t>
      </w:r>
    </w:p>
    <w:p>
      <w:pPr>
        <w:pStyle w:val="TextBody"/>
        <w:bidi w:val="0"/>
        <w:spacing w:lineRule="auto" w:line="288" w:before="120" w:after="120"/>
        <w:jc w:val="both"/>
        <w:rPr>
          <w:color w:val="000000"/>
        </w:rPr>
      </w:pPr>
      <w:r>
        <w:rPr>
          <w:color w:val="000000"/>
        </w:rPr>
        <w:t>    </w:t>
      </w: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jc w:val="both"/>
        <w:rPr>
          <w:color w:val="000000"/>
        </w:rPr>
      </w:pPr>
      <w:r>
        <w:rPr>
          <w:color w:val="000000"/>
        </w:rPr>
        <w:t>    </w:t>
      </w: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120" w:after="60"/>
        <w:jc w:val="both"/>
        <w:rPr>
          <w:color w:val="000000"/>
        </w:rPr>
      </w:pPr>
      <w:r>
        <w:rPr>
          <w:color w:val="000000"/>
        </w:rPr>
        <w:t>    </w:t>
      </w: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bl>
    <w:p>
      <w:pPr>
        <w:pStyle w:val="TextBody"/>
        <w:bidi w:val="0"/>
        <w:spacing w:lineRule="auto" w:line="288" w:before="120" w:after="120"/>
        <w:jc w:val="both"/>
        <w:rPr>
          <w:color w:val="000000"/>
        </w:rPr>
      </w:pPr>
      <w:r>
        <w:rPr>
          <w:color w:val="000000"/>
        </w:rPr>
        <w:t>    </w:t>
      </w: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120"/>
        <w:jc w:val="both"/>
        <w:rPr>
          <w:color w:val="000000"/>
        </w:rPr>
      </w:pPr>
      <w:r>
        <w:rPr>
          <w:color w:val="000000"/>
        </w:rPr>
        <w:t>    </w:t>
      </w: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p>
    <w:p>
      <w:pPr>
        <w:pStyle w:val="TextBody"/>
        <w:bidi w:val="0"/>
        <w:spacing w:lineRule="auto" w:line="288" w:before="120" w:after="120"/>
        <w:jc w:val="both"/>
        <w:rPr>
          <w:color w:val="000000"/>
        </w:rPr>
      </w:pPr>
      <w:r>
        <w:rPr>
          <w:color w:val="000000"/>
        </w:rPr>
        <w:t>    </w:t>
      </w: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120"/>
        <w:jc w:val="both"/>
        <w:rPr>
          <w:color w:val="000000"/>
        </w:rPr>
      </w:pPr>
      <w:r>
        <w:rPr>
          <w:color w:val="000000"/>
        </w:rPr>
        <w:t>    </w:t>
      </w: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120"/>
        <w:jc w:val="both"/>
        <w:rPr>
          <w:color w:val="000000"/>
        </w:rPr>
      </w:pPr>
      <w:r>
        <w:rPr>
          <w:color w:val="000000"/>
        </w:rPr>
        <w:t>    </w:t>
      </w:r>
      <w:r>
        <w:rPr>
          <w:rFonts w:ascii="Times New Roman;serif" w:hAnsi="Times New Roman;serif"/>
          <w:b w:val="false"/>
          <w:color w:val="000000"/>
          <w:sz w:val="18"/>
        </w:rPr>
        <w:t>Indicate by check mark whether the registrant is a shell company (as defined in Rule 12b-2 of the Act.)    Yes ☐   No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aggregate market value of the registrant’s outstanding common stock held by non-affiliates of the registrant computed by reference to the price at which the common stock was last sold as of the last business day of the registrant’s most recently completed second fiscal quarter was approximately $10.3 billion based on the closing price per share for the registrant’s common stock on the New York Stock Exchange on June 30, 2025.</w:t>
      </w:r>
    </w:p>
    <w:p>
      <w:pPr>
        <w:pStyle w:val="TextBody"/>
        <w:bidi w:val="0"/>
        <w:spacing w:lineRule="auto" w:line="288" w:before="120" w:after="120"/>
        <w:jc w:val="both"/>
        <w:rPr>
          <w:color w:val="000000"/>
        </w:rPr>
      </w:pPr>
      <w:r>
        <w:rPr>
          <w:color w:val="000000"/>
        </w:rPr>
        <w:t>    </w:t>
      </w:r>
      <w:r>
        <w:rPr>
          <w:rFonts w:ascii="Times New Roman;serif" w:hAnsi="Times New Roman;serif"/>
          <w:b w:val="false"/>
          <w:color w:val="000000"/>
          <w:sz w:val="18"/>
        </w:rPr>
        <w:t>There were 78,894,830 shares of common stock outstanding as of February 23, 2026.</w:t>
      </w:r>
    </w:p>
    <w:p>
      <w:pPr>
        <w:pStyle w:val="TextBody"/>
        <w:bidi w:val="0"/>
        <w:spacing w:lineRule="auto" w:line="288" w:before="240" w:after="12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120" w:after="120"/>
        <w:jc w:val="both"/>
        <w:rPr>
          <w:color w:val="000000"/>
        </w:rPr>
      </w:pPr>
      <w:r>
        <w:rPr>
          <w:color w:val="000000"/>
        </w:rPr>
        <w:t>    </w:t>
      </w:r>
      <w:r>
        <w:rPr>
          <w:rFonts w:ascii="Times New Roman;serif" w:hAnsi="Times New Roman;serif"/>
          <w:b w:val="false"/>
          <w:color w:val="000000"/>
          <w:sz w:val="18"/>
        </w:rPr>
        <w:t>The registrant’s definitive proxy statement to be filed with the Securities and Exchange Commission pursuant to Regulation 14A for the 2026 annual meeting of shareholders is incorporated by reference in Part III of this Form 10-K to the extent stated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TABLE OF CONTENTS</w:t>
      </w:r>
    </w:p>
    <w:p>
      <w:pPr>
        <w:pStyle w:val="TextBody"/>
        <w:bidi w:val="0"/>
        <w:spacing w:lineRule="auto" w:line="288" w:before="120" w:after="120"/>
        <w:jc w:val="both"/>
        <w:rPr>
          <w:color w:val="000000"/>
        </w:rPr>
      </w:pPr>
      <w:r>
        <w:rPr>
          <w:color w:val="000000"/>
        </w:rPr>
        <w:t> </w:t>
      </w:r>
    </w:p>
    <w:tbl>
      <w:tblPr>
        <w:tblW w:w="9569" w:type="dxa"/>
        <w:jc w:val="center"/>
        <w:tblInd w:w="0" w:type="dxa"/>
        <w:tblLayout w:type="fixed"/>
        <w:tblCellMar>
          <w:top w:w="28" w:type="dxa"/>
          <w:left w:w="28" w:type="dxa"/>
          <w:bottom w:w="28" w:type="dxa"/>
          <w:right w:w="28" w:type="dxa"/>
        </w:tblCellMar>
      </w:tblPr>
      <w:tblGrid>
        <w:gridCol w:w="271"/>
        <w:gridCol w:w="237"/>
        <w:gridCol w:w="241"/>
        <w:gridCol w:w="2767"/>
        <w:gridCol w:w="2767"/>
        <w:gridCol w:w="2790"/>
        <w:gridCol w:w="145"/>
        <w:gridCol w:w="145"/>
        <w:gridCol w:w="206"/>
      </w:tblGrid>
      <w:tr>
        <w:trPr/>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90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u w:val="single"/>
              </w:rPr>
            </w:pPr>
            <w:r>
              <w:rPr>
                <w:rFonts w:ascii="Times New Roman;serif" w:hAnsi="Times New Roman;serif"/>
                <w:b w:val="false"/>
                <w:color w:val="000000"/>
                <w:sz w:val="18"/>
                <w:u w:val="single"/>
              </w:rPr>
              <w:t>Page</w:t>
            </w:r>
          </w:p>
        </w:tc>
      </w:tr>
      <w:tr>
        <w:trPr/>
        <w:tc>
          <w:tcPr>
            <w:tcW w:w="9073"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3">
              <w:r>
                <w:rPr>
                  <w:rStyle w:val="InternetLink"/>
                  <w:rFonts w:ascii="Times New Roman;serif" w:hAnsi="Times New Roman;serif"/>
                  <w:b w:val="false"/>
                  <w:color w:val="0000FF"/>
                  <w:sz w:val="18"/>
                  <w:u w:val="single"/>
                </w:rPr>
                <w:t>Part I</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13">
              <w:r>
                <w:rPr>
                  <w:rStyle w:val="InternetLink"/>
                  <w:rFonts w:ascii="Times New Roman;serif" w:hAnsi="Times New Roman;serif"/>
                  <w:b w:val="false"/>
                  <w:color w:val="0000FF"/>
                  <w:sz w:val="18"/>
                  <w:u w:val="single"/>
                </w:rPr>
                <w:t>5</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913">
              <w:r>
                <w:rPr>
                  <w:rStyle w:val="InternetLink"/>
                  <w:rFonts w:ascii="Times New Roman;serif" w:hAnsi="Times New Roman;serif"/>
                  <w:b w:val="false"/>
                  <w:color w:val="0000FF"/>
                  <w:sz w:val="18"/>
                  <w:u w:val="single"/>
                </w:rPr>
                <w:t>Item 1</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913">
              <w:r>
                <w:rPr>
                  <w:rStyle w:val="InternetLink"/>
                  <w:rFonts w:ascii="Times New Roman;serif" w:hAnsi="Times New Roman;serif"/>
                  <w:b w:val="false"/>
                  <w:color w:val="0000FF"/>
                  <w:sz w:val="18"/>
                  <w:u w:val="single"/>
                </w:rPr>
                <w:t>Business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13">
              <w:r>
                <w:rPr>
                  <w:rStyle w:val="InternetLink"/>
                  <w:rFonts w:ascii="Times New Roman;serif" w:hAnsi="Times New Roman;serif"/>
                  <w:b w:val="false"/>
                  <w:color w:val="0000FF"/>
                  <w:sz w:val="18"/>
                  <w:u w:val="single"/>
                </w:rPr>
                <w:t>5</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9">
              <w:r>
                <w:rPr>
                  <w:rStyle w:val="InternetLink"/>
                  <w:rFonts w:ascii="Times New Roman;serif" w:hAnsi="Times New Roman;serif"/>
                  <w:b w:val="false"/>
                  <w:color w:val="0000FF"/>
                  <w:sz w:val="18"/>
                  <w:u w:val="single"/>
                </w:rPr>
                <w:t>Item 1A</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9">
              <w:r>
                <w:rPr>
                  <w:rStyle w:val="InternetLink"/>
                  <w:rFonts w:ascii="Times New Roman;serif" w:hAnsi="Times New Roman;serif"/>
                  <w:b w:val="false"/>
                  <w:color w:val="0000FF"/>
                  <w:sz w:val="18"/>
                  <w:u w:val="single"/>
                </w:rPr>
                <w:t>Risk Factors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19">
              <w:r>
                <w:rPr>
                  <w:rStyle w:val="InternetLink"/>
                  <w:rFonts w:ascii="Times New Roman;serif" w:hAnsi="Times New Roman;serif"/>
                  <w:b w:val="false"/>
                  <w:color w:val="0000FF"/>
                  <w:sz w:val="18"/>
                  <w:u w:val="single"/>
                </w:rPr>
                <w:t>18</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22">
              <w:r>
                <w:rPr>
                  <w:rStyle w:val="InternetLink"/>
                  <w:rFonts w:ascii="Times New Roman;serif" w:hAnsi="Times New Roman;serif"/>
                  <w:b w:val="false"/>
                  <w:color w:val="0000FF"/>
                  <w:sz w:val="18"/>
                  <w:u w:val="single"/>
                </w:rPr>
                <w:t>Item 1B</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22">
              <w:r>
                <w:rPr>
                  <w:rStyle w:val="InternetLink"/>
                  <w:rFonts w:ascii="Times New Roman;serif" w:hAnsi="Times New Roman;serif"/>
                  <w:b w:val="false"/>
                  <w:color w:val="0000FF"/>
                  <w:sz w:val="18"/>
                  <w:u w:val="single"/>
                </w:rPr>
                <w:t>Unresolved Staff Comments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22">
              <w:r>
                <w:rPr>
                  <w:rStyle w:val="InternetLink"/>
                  <w:rFonts w:ascii="Times New Roman;serif" w:hAnsi="Times New Roman;serif"/>
                  <w:b w:val="false"/>
                  <w:color w:val="0000FF"/>
                  <w:sz w:val="18"/>
                  <w:u w:val="single"/>
                </w:rPr>
                <w:t>31</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25">
              <w:r>
                <w:rPr>
                  <w:rStyle w:val="InternetLink"/>
                  <w:rFonts w:ascii="Times New Roman;serif" w:hAnsi="Times New Roman;serif"/>
                  <w:b w:val="false"/>
                  <w:color w:val="0000FF"/>
                  <w:sz w:val="18"/>
                  <w:u w:val="single"/>
                </w:rPr>
                <w:t>Item 1C</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25">
              <w:r>
                <w:rPr>
                  <w:rStyle w:val="InternetLink"/>
                  <w:rFonts w:ascii="Times New Roman;serif" w:hAnsi="Times New Roman;serif"/>
                  <w:b w:val="false"/>
                  <w:color w:val="0000FF"/>
                  <w:sz w:val="18"/>
                  <w:u w:val="single"/>
                </w:rPr>
                <w:t>Cybersecurity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25">
              <w:r>
                <w:rPr>
                  <w:rStyle w:val="InternetLink"/>
                  <w:rFonts w:ascii="Times New Roman;serif" w:hAnsi="Times New Roman;serif"/>
                  <w:b w:val="false"/>
                  <w:color w:val="0000FF"/>
                  <w:sz w:val="18"/>
                  <w:u w:val="single"/>
                </w:rPr>
                <w:t>31</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28">
              <w:r>
                <w:rPr>
                  <w:rStyle w:val="InternetLink"/>
                  <w:rFonts w:ascii="Times New Roman;serif" w:hAnsi="Times New Roman;serif"/>
                  <w:b w:val="false"/>
                  <w:color w:val="0000FF"/>
                  <w:sz w:val="18"/>
                  <w:u w:val="single"/>
                </w:rPr>
                <w:t>Item 2</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28">
              <w:r>
                <w:rPr>
                  <w:rStyle w:val="InternetLink"/>
                  <w:rFonts w:ascii="Times New Roman;serif" w:hAnsi="Times New Roman;serif"/>
                  <w:b w:val="false"/>
                  <w:color w:val="0000FF"/>
                  <w:sz w:val="18"/>
                  <w:u w:val="single"/>
                </w:rPr>
                <w:t>Properties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28">
              <w:r>
                <w:rPr>
                  <w:rStyle w:val="InternetLink"/>
                  <w:rFonts w:ascii="Times New Roman;serif" w:hAnsi="Times New Roman;serif"/>
                  <w:b w:val="false"/>
                  <w:color w:val="0000FF"/>
                  <w:sz w:val="18"/>
                  <w:u w:val="single"/>
                </w:rPr>
                <w:t>32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31">
              <w:r>
                <w:rPr>
                  <w:rStyle w:val="InternetLink"/>
                  <w:rFonts w:ascii="Times New Roman;serif" w:hAnsi="Times New Roman;serif"/>
                  <w:b w:val="false"/>
                  <w:color w:val="0000FF"/>
                  <w:sz w:val="18"/>
                  <w:u w:val="single"/>
                </w:rPr>
                <w:t>Item 3</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31">
              <w:r>
                <w:rPr>
                  <w:rStyle w:val="InternetLink"/>
                  <w:rFonts w:ascii="Times New Roman;serif" w:hAnsi="Times New Roman;serif"/>
                  <w:b w:val="false"/>
                  <w:color w:val="0000FF"/>
                  <w:sz w:val="18"/>
                  <w:u w:val="single"/>
                </w:rPr>
                <w:t>Legal Proceedings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31">
              <w:r>
                <w:rPr>
                  <w:rStyle w:val="InternetLink"/>
                  <w:rFonts w:ascii="Times New Roman;serif" w:hAnsi="Times New Roman;serif"/>
                  <w:b w:val="false"/>
                  <w:color w:val="0000FF"/>
                  <w:sz w:val="18"/>
                  <w:u w:val="single"/>
                </w:rPr>
                <w:t>32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34">
              <w:r>
                <w:rPr>
                  <w:rStyle w:val="InternetLink"/>
                  <w:rFonts w:ascii="Times New Roman;serif" w:hAnsi="Times New Roman;serif"/>
                  <w:b w:val="false"/>
                  <w:color w:val="0000FF"/>
                  <w:sz w:val="18"/>
                  <w:u w:val="single"/>
                </w:rPr>
                <w:t>Item 4</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34">
              <w:r>
                <w:rPr>
                  <w:rStyle w:val="InternetLink"/>
                  <w:rFonts w:ascii="Times New Roman;serif" w:hAnsi="Times New Roman;serif"/>
                  <w:b w:val="false"/>
                  <w:color w:val="0000FF"/>
                  <w:sz w:val="18"/>
                  <w:u w:val="single"/>
                </w:rPr>
                <w:t>Mine Safety Disclosures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34">
              <w:r>
                <w:rPr>
                  <w:rStyle w:val="InternetLink"/>
                  <w:rFonts w:ascii="Times New Roman;serif" w:hAnsi="Times New Roman;serif"/>
                  <w:b w:val="false"/>
                  <w:color w:val="0000FF"/>
                  <w:sz w:val="18"/>
                  <w:u w:val="single"/>
                </w:rPr>
                <w:t>32</w:t>
              </w:r>
            </w:hyperlink>
          </w:p>
        </w:tc>
      </w:tr>
      <w:tr>
        <w:trPr/>
        <w:tc>
          <w:tcPr>
            <w:tcW w:w="9073"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37">
              <w:r>
                <w:rPr>
                  <w:rStyle w:val="InternetLink"/>
                  <w:rFonts w:ascii="Times New Roman;serif" w:hAnsi="Times New Roman;serif"/>
                  <w:b w:val="false"/>
                  <w:color w:val="0000FF"/>
                  <w:sz w:val="18"/>
                  <w:u w:val="single"/>
                </w:rPr>
                <w:t xml:space="preserve">Part II </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37">
              <w:r>
                <w:rPr>
                  <w:rStyle w:val="InternetLink"/>
                  <w:rFonts w:ascii="Times New Roman;serif" w:hAnsi="Times New Roman;serif"/>
                  <w:b w:val="false"/>
                  <w:color w:val="0000FF"/>
                  <w:sz w:val="18"/>
                  <w:u w:val="single"/>
                </w:rPr>
                <w:t>33</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40">
              <w:r>
                <w:rPr>
                  <w:rStyle w:val="InternetLink"/>
                  <w:rFonts w:ascii="Times New Roman;serif" w:hAnsi="Times New Roman;serif"/>
                  <w:b w:val="false"/>
                  <w:color w:val="0000FF"/>
                  <w:sz w:val="18"/>
                  <w:u w:val="single"/>
                </w:rPr>
                <w:t>Item 5</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40">
              <w:r>
                <w:rPr>
                  <w:rStyle w:val="InternetLink"/>
                  <w:rFonts w:ascii="Times New Roman;serif" w:hAnsi="Times New Roman;serif"/>
                  <w:b w:val="false"/>
                  <w:color w:val="0000FF"/>
                  <w:sz w:val="18"/>
                  <w:u w:val="single"/>
                </w:rPr>
                <w:t>Market for the Registrant’s Common Equity, Related Shareholder Matters and Issuer Purchases of Equity Securities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40">
              <w:r>
                <w:rPr>
                  <w:rStyle w:val="InternetLink"/>
                  <w:rFonts w:ascii="Times New Roman;serif" w:hAnsi="Times New Roman;serif"/>
                  <w:b w:val="false"/>
                  <w:color w:val="0000FF"/>
                  <w:sz w:val="18"/>
                  <w:u w:val="single"/>
                </w:rPr>
                <w:t>33</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43">
              <w:r>
                <w:rPr>
                  <w:rStyle w:val="InternetLink"/>
                  <w:rFonts w:ascii="Times New Roman;serif" w:hAnsi="Times New Roman;serif"/>
                  <w:b w:val="false"/>
                  <w:color w:val="0000FF"/>
                  <w:sz w:val="18"/>
                  <w:u w:val="single"/>
                </w:rPr>
                <w:t>Item 6</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43">
              <w:r>
                <w:rPr>
                  <w:rStyle w:val="InternetLink"/>
                  <w:rFonts w:ascii="Times New Roman;serif" w:hAnsi="Times New Roman;serif"/>
                  <w:b w:val="false"/>
                  <w:color w:val="0000FF"/>
                  <w:sz w:val="18"/>
                  <w:u w:val="single"/>
                </w:rPr>
                <w:t>Reserved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43">
              <w:r>
                <w:rPr>
                  <w:rStyle w:val="InternetLink"/>
                  <w:rFonts w:ascii="Times New Roman;serif" w:hAnsi="Times New Roman;serif"/>
                  <w:b w:val="false"/>
                  <w:color w:val="0000FF"/>
                  <w:sz w:val="18"/>
                  <w:u w:val="single"/>
                </w:rPr>
                <w:t>34</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46">
              <w:r>
                <w:rPr>
                  <w:rStyle w:val="InternetLink"/>
                  <w:rFonts w:ascii="Times New Roman;serif" w:hAnsi="Times New Roman;serif"/>
                  <w:b w:val="false"/>
                  <w:color w:val="0000FF"/>
                  <w:sz w:val="18"/>
                  <w:u w:val="single"/>
                </w:rPr>
                <w:t>Item 7</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46">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46">
              <w:r>
                <w:rPr>
                  <w:rStyle w:val="InternetLink"/>
                  <w:rFonts w:ascii="Times New Roman;serif" w:hAnsi="Times New Roman;serif"/>
                  <w:b w:val="false"/>
                  <w:color w:val="0000FF"/>
                  <w:sz w:val="18"/>
                  <w:u w:val="single"/>
                </w:rPr>
                <w:t>35</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79">
              <w:r>
                <w:rPr>
                  <w:rStyle w:val="InternetLink"/>
                  <w:rFonts w:ascii="Times New Roman;serif" w:hAnsi="Times New Roman;serif"/>
                  <w:b w:val="false"/>
                  <w:color w:val="0000FF"/>
                  <w:sz w:val="18"/>
                  <w:u w:val="single"/>
                </w:rPr>
                <w:t>Item 7A</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79">
              <w:r>
                <w:rPr>
                  <w:rStyle w:val="InternetLink"/>
                  <w:rFonts w:ascii="Times New Roman;serif" w:hAnsi="Times New Roman;serif"/>
                  <w:b w:val="false"/>
                  <w:color w:val="0000FF"/>
                  <w:sz w:val="18"/>
                  <w:u w:val="single"/>
                </w:rPr>
                <w:t>Quantitative and Qualitative Disclosures About Market Risk</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79">
              <w:r>
                <w:rPr>
                  <w:rStyle w:val="InternetLink"/>
                  <w:rFonts w:ascii="Times New Roman;serif" w:hAnsi="Times New Roman;serif"/>
                  <w:b w:val="false"/>
                  <w:color w:val="0000FF"/>
                  <w:sz w:val="18"/>
                  <w:u w:val="single"/>
                </w:rPr>
                <w:t>51</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82">
              <w:r>
                <w:rPr>
                  <w:rStyle w:val="InternetLink"/>
                  <w:rFonts w:ascii="Times New Roman;serif" w:hAnsi="Times New Roman;serif"/>
                  <w:b w:val="false"/>
                  <w:color w:val="0000FF"/>
                  <w:sz w:val="18"/>
                  <w:u w:val="single"/>
                </w:rPr>
                <w:t>Item 8</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82">
              <w:r>
                <w:rPr>
                  <w:rStyle w:val="InternetLink"/>
                  <w:rFonts w:ascii="Times New Roman;serif" w:hAnsi="Times New Roman;serif"/>
                  <w:b w:val="false"/>
                  <w:color w:val="0000FF"/>
                  <w:sz w:val="18"/>
                  <w:u w:val="single"/>
                </w:rPr>
                <w:t>Financial Statements and Supplementary Data</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82">
              <w:r>
                <w:rPr>
                  <w:rStyle w:val="InternetLink"/>
                  <w:rFonts w:ascii="Times New Roman;serif" w:hAnsi="Times New Roman;serif"/>
                  <w:b w:val="false"/>
                  <w:color w:val="0000FF"/>
                  <w:sz w:val="18"/>
                  <w:u w:val="single"/>
                </w:rPr>
                <w:t>52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169">
              <w:r>
                <w:rPr>
                  <w:rStyle w:val="InternetLink"/>
                  <w:rFonts w:ascii="Times New Roman;serif" w:hAnsi="Times New Roman;serif"/>
                  <w:b w:val="false"/>
                  <w:color w:val="0000FF"/>
                  <w:sz w:val="18"/>
                  <w:u w:val="single"/>
                </w:rPr>
                <w:t>Item 9</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69">
              <w:r>
                <w:rPr>
                  <w:rStyle w:val="InternetLink"/>
                  <w:rFonts w:ascii="Times New Roman;serif" w:hAnsi="Times New Roman;serif"/>
                  <w:b w:val="false"/>
                  <w:color w:val="0000FF"/>
                  <w:sz w:val="18"/>
                  <w:u w:val="single"/>
                </w:rPr>
                <w:t>Changes in and Disagreements with Accountants on Accounting and Financial Disclosure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169">
              <w:r>
                <w:rPr>
                  <w:rStyle w:val="InternetLink"/>
                  <w:rFonts w:ascii="Times New Roman;serif" w:hAnsi="Times New Roman;serif"/>
                  <w:b w:val="false"/>
                  <w:color w:val="0000FF"/>
                  <w:sz w:val="18"/>
                  <w:u w:val="single"/>
                </w:rPr>
                <w:t>97</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172">
              <w:r>
                <w:rPr>
                  <w:rStyle w:val="InternetLink"/>
                  <w:rFonts w:ascii="Times New Roman;serif" w:hAnsi="Times New Roman;serif"/>
                  <w:b w:val="false"/>
                  <w:color w:val="000080"/>
                  <w:sz w:val="18"/>
                  <w:u w:val="single"/>
                </w:rPr>
                <w:t xml:space="preserve">Item </w:t>
              </w:r>
            </w:hyperlink>
            <w:hyperlink w:anchor="if4b0bf616dbc41b2b15400916ea5db26_172">
              <w:r>
                <w:rPr>
                  <w:rStyle w:val="InternetLink"/>
                  <w:rFonts w:ascii="Times New Roman;serif" w:hAnsi="Times New Roman;serif"/>
                  <w:b w:val="false"/>
                  <w:color w:val="000080"/>
                  <w:sz w:val="18"/>
                  <w:u w:val="single"/>
                </w:rPr>
                <w:t>9</w:t>
              </w:r>
            </w:hyperlink>
            <w:hyperlink w:anchor="if4b0bf616dbc41b2b15400916ea5db26_172">
              <w:r>
                <w:rPr>
                  <w:rStyle w:val="InternetLink"/>
                  <w:rFonts w:ascii="Times New Roman;serif" w:hAnsi="Times New Roman;serif"/>
                  <w:b w:val="false"/>
                  <w:color w:val="000080"/>
                  <w:sz w:val="18"/>
                  <w:u w:val="single"/>
                </w:rPr>
                <w:t>A</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72">
              <w:r>
                <w:rPr>
                  <w:rStyle w:val="InternetLink"/>
                  <w:rFonts w:ascii="Times New Roman;serif" w:hAnsi="Times New Roman;serif"/>
                  <w:b w:val="false"/>
                  <w:color w:val="0000FF"/>
                  <w:sz w:val="18"/>
                  <w:u w:val="single"/>
                </w:rPr>
                <w:t>Controls and Procedures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172">
              <w:r>
                <w:rPr>
                  <w:rStyle w:val="InternetLink"/>
                  <w:rFonts w:ascii="Times New Roman;serif" w:hAnsi="Times New Roman;serif"/>
                  <w:b w:val="false"/>
                  <w:color w:val="0000FF"/>
                  <w:sz w:val="18"/>
                  <w:u w:val="single"/>
                </w:rPr>
                <w:t>97</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178">
              <w:r>
                <w:rPr>
                  <w:rStyle w:val="InternetLink"/>
                  <w:rFonts w:ascii="Times New Roman;serif" w:hAnsi="Times New Roman;serif"/>
                  <w:b w:val="false"/>
                  <w:color w:val="0000FF"/>
                  <w:sz w:val="18"/>
                  <w:u w:val="single"/>
                </w:rPr>
                <w:t>Item 9B</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78">
              <w:r>
                <w:rPr>
                  <w:rStyle w:val="InternetLink"/>
                  <w:rFonts w:ascii="Times New Roman;serif" w:hAnsi="Times New Roman;serif"/>
                  <w:b w:val="false"/>
                  <w:color w:val="0000FF"/>
                  <w:sz w:val="18"/>
                  <w:u w:val="single"/>
                </w:rPr>
                <w:t>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178">
              <w:r>
                <w:rPr>
                  <w:rStyle w:val="InternetLink"/>
                  <w:rFonts w:ascii="Times New Roman;serif" w:hAnsi="Times New Roman;serif"/>
                  <w:b w:val="false"/>
                  <w:color w:val="0000FF"/>
                  <w:sz w:val="18"/>
                  <w:u w:val="single"/>
                </w:rPr>
                <w:t>98</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184">
              <w:r>
                <w:rPr>
                  <w:rStyle w:val="InternetLink"/>
                  <w:rFonts w:ascii="Times New Roman;serif" w:hAnsi="Times New Roman;serif"/>
                  <w:b w:val="false"/>
                  <w:color w:val="0000FF"/>
                  <w:sz w:val="18"/>
                  <w:u w:val="single"/>
                </w:rPr>
                <w:t>Item 9C</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84">
              <w:r>
                <w:rPr>
                  <w:rStyle w:val="InternetLink"/>
                  <w:rFonts w:ascii="Times New Roman;serif" w:hAnsi="Times New Roman;serif"/>
                  <w:b w:val="false"/>
                  <w:color w:val="0000FF"/>
                  <w:sz w:val="18"/>
                  <w:u w:val="single"/>
                </w:rPr>
                <w:t>Disclosure Regarding Foreign Jurisdictions that Prevent Inspections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178">
              <w:r>
                <w:rPr>
                  <w:rStyle w:val="InternetLink"/>
                  <w:rFonts w:ascii="Times New Roman;serif" w:hAnsi="Times New Roman;serif"/>
                  <w:b w:val="false"/>
                  <w:color w:val="0000FF"/>
                  <w:sz w:val="18"/>
                  <w:u w:val="single"/>
                </w:rPr>
                <w:t>98</w:t>
              </w:r>
            </w:hyperlink>
          </w:p>
        </w:tc>
      </w:tr>
      <w:tr>
        <w:trPr/>
        <w:tc>
          <w:tcPr>
            <w:tcW w:w="9073"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87">
              <w:r>
                <w:rPr>
                  <w:rStyle w:val="InternetLink"/>
                  <w:rFonts w:ascii="Times New Roman;serif" w:hAnsi="Times New Roman;serif"/>
                  <w:b w:val="false"/>
                  <w:color w:val="0000FF"/>
                  <w:sz w:val="18"/>
                  <w:u w:val="single"/>
                </w:rPr>
                <w:t xml:space="preserve">Part III </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187">
              <w:r>
                <w:rPr>
                  <w:rStyle w:val="InternetLink"/>
                  <w:rFonts w:ascii="Times New Roman;serif" w:hAnsi="Times New Roman;serif"/>
                  <w:b w:val="false"/>
                  <w:color w:val="0000FF"/>
                  <w:sz w:val="18"/>
                  <w:u w:val="single"/>
                </w:rPr>
                <w:t>98</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190">
              <w:r>
                <w:rPr>
                  <w:rStyle w:val="InternetLink"/>
                  <w:rFonts w:ascii="Times New Roman;serif" w:hAnsi="Times New Roman;serif"/>
                  <w:b w:val="false"/>
                  <w:color w:val="0000FF"/>
                  <w:sz w:val="18"/>
                  <w:u w:val="single"/>
                </w:rPr>
                <w:t>Item 10</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90">
              <w:r>
                <w:rPr>
                  <w:rStyle w:val="InternetLink"/>
                  <w:rFonts w:ascii="Times New Roman;serif" w:hAnsi="Times New Roman;serif"/>
                  <w:b w:val="false"/>
                  <w:color w:val="0000FF"/>
                  <w:sz w:val="18"/>
                  <w:u w:val="single"/>
                </w:rPr>
                <w:t>Directors, Executive Officers and Corporate Governance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190">
              <w:r>
                <w:rPr>
                  <w:rStyle w:val="InternetLink"/>
                  <w:rFonts w:ascii="Times New Roman;serif" w:hAnsi="Times New Roman;serif"/>
                  <w:b w:val="false"/>
                  <w:color w:val="0000FF"/>
                  <w:sz w:val="18"/>
                  <w:u w:val="single"/>
                </w:rPr>
                <w:t>98</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193">
              <w:r>
                <w:rPr>
                  <w:rStyle w:val="InternetLink"/>
                  <w:rFonts w:ascii="Times New Roman;serif" w:hAnsi="Times New Roman;serif"/>
                  <w:b w:val="false"/>
                  <w:color w:val="0000FF"/>
                  <w:sz w:val="18"/>
                  <w:u w:val="single"/>
                </w:rPr>
                <w:t>Item 11</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93">
              <w:r>
                <w:rPr>
                  <w:rStyle w:val="InternetLink"/>
                  <w:rFonts w:ascii="Times New Roman;serif" w:hAnsi="Times New Roman;serif"/>
                  <w:b w:val="false"/>
                  <w:color w:val="0000FF"/>
                  <w:sz w:val="18"/>
                  <w:u w:val="single"/>
                </w:rPr>
                <w:t>Executive Compensation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193">
              <w:r>
                <w:rPr>
                  <w:rStyle w:val="InternetLink"/>
                  <w:rFonts w:ascii="Times New Roman;serif" w:hAnsi="Times New Roman;serif"/>
                  <w:b w:val="false"/>
                  <w:color w:val="0000FF"/>
                  <w:sz w:val="18"/>
                  <w:u w:val="single"/>
                </w:rPr>
                <w:t>98</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196">
              <w:r>
                <w:rPr>
                  <w:rStyle w:val="InternetLink"/>
                  <w:rFonts w:ascii="Times New Roman;serif" w:hAnsi="Times New Roman;serif"/>
                  <w:b w:val="false"/>
                  <w:color w:val="0000FF"/>
                  <w:sz w:val="18"/>
                  <w:u w:val="single"/>
                </w:rPr>
                <w:t>Item 12</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96">
              <w:r>
                <w:rPr>
                  <w:rStyle w:val="InternetLink"/>
                  <w:rFonts w:ascii="Times New Roman;serif" w:hAnsi="Times New Roman;serif"/>
                  <w:b w:val="false"/>
                  <w:color w:val="0000FF"/>
                  <w:sz w:val="18"/>
                  <w:u w:val="single"/>
                </w:rPr>
                <w:t>Security Ownership of Certain Beneficial Owners and Management and Related Shareholder Matters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196">
              <w:r>
                <w:rPr>
                  <w:rStyle w:val="InternetLink"/>
                  <w:rFonts w:ascii="Times New Roman;serif" w:hAnsi="Times New Roman;serif"/>
                  <w:b w:val="false"/>
                  <w:color w:val="0000FF"/>
                  <w:sz w:val="18"/>
                  <w:u w:val="single"/>
                </w:rPr>
                <w:t>98</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199">
              <w:r>
                <w:rPr>
                  <w:rStyle w:val="InternetLink"/>
                  <w:rFonts w:ascii="Times New Roman;serif" w:hAnsi="Times New Roman;serif"/>
                  <w:b w:val="false"/>
                  <w:color w:val="0000FF"/>
                  <w:sz w:val="18"/>
                  <w:u w:val="single"/>
                </w:rPr>
                <w:t>Item 13</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99">
              <w:r>
                <w:rPr>
                  <w:rStyle w:val="InternetLink"/>
                  <w:rFonts w:ascii="Times New Roman;serif" w:hAnsi="Times New Roman;serif"/>
                  <w:b w:val="false"/>
                  <w:color w:val="0000FF"/>
                  <w:sz w:val="18"/>
                  <w:u w:val="single"/>
                </w:rPr>
                <w:t>Certain Relationships and Related Transactions, and Director Independence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199">
              <w:r>
                <w:rPr>
                  <w:rStyle w:val="InternetLink"/>
                  <w:rFonts w:ascii="Times New Roman;serif" w:hAnsi="Times New Roman;serif"/>
                  <w:b w:val="false"/>
                  <w:color w:val="0000FF"/>
                  <w:sz w:val="18"/>
                  <w:u w:val="single"/>
                </w:rPr>
                <w:t>99</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202">
              <w:r>
                <w:rPr>
                  <w:rStyle w:val="InternetLink"/>
                  <w:rFonts w:ascii="Times New Roman;serif" w:hAnsi="Times New Roman;serif"/>
                  <w:b w:val="false"/>
                  <w:color w:val="0000FF"/>
                  <w:sz w:val="18"/>
                  <w:u w:val="single"/>
                </w:rPr>
                <w:t>Item 14</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202">
              <w:r>
                <w:rPr>
                  <w:rStyle w:val="InternetLink"/>
                  <w:rFonts w:ascii="Times New Roman;serif" w:hAnsi="Times New Roman;serif"/>
                  <w:b w:val="false"/>
                  <w:color w:val="0000FF"/>
                  <w:sz w:val="18"/>
                  <w:u w:val="single"/>
                </w:rPr>
                <w:t>Principal Accounting Fees and Services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202">
              <w:r>
                <w:rPr>
                  <w:rStyle w:val="InternetLink"/>
                  <w:rFonts w:ascii="Times New Roman;serif" w:hAnsi="Times New Roman;serif"/>
                  <w:b w:val="false"/>
                  <w:color w:val="0000FF"/>
                  <w:sz w:val="18"/>
                  <w:u w:val="single"/>
                </w:rPr>
                <w:t>99</w:t>
              </w:r>
            </w:hyperlink>
          </w:p>
        </w:tc>
      </w:tr>
      <w:tr>
        <w:trPr/>
        <w:tc>
          <w:tcPr>
            <w:tcW w:w="9073"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205">
              <w:r>
                <w:rPr>
                  <w:rStyle w:val="InternetLink"/>
                  <w:rFonts w:ascii="Times New Roman;serif" w:hAnsi="Times New Roman;serif"/>
                  <w:b w:val="false"/>
                  <w:color w:val="0000FF"/>
                  <w:sz w:val="18"/>
                  <w:u w:val="single"/>
                </w:rPr>
                <w:t>Part IV</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205">
              <w:r>
                <w:rPr>
                  <w:rStyle w:val="InternetLink"/>
                  <w:rFonts w:ascii="Times New Roman;serif" w:hAnsi="Times New Roman;serif"/>
                  <w:b w:val="false"/>
                  <w:color w:val="0000FF"/>
                  <w:sz w:val="18"/>
                  <w:u w:val="single"/>
                </w:rPr>
                <w:t>99</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208">
              <w:r>
                <w:rPr>
                  <w:rStyle w:val="InternetLink"/>
                  <w:rFonts w:ascii="Times New Roman;serif" w:hAnsi="Times New Roman;serif"/>
                  <w:b w:val="false"/>
                  <w:color w:val="0000FF"/>
                  <w:sz w:val="18"/>
                  <w:u w:val="single"/>
                </w:rPr>
                <w:t>Item 15</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208">
              <w:r>
                <w:rPr>
                  <w:rStyle w:val="InternetLink"/>
                  <w:rFonts w:ascii="Times New Roman;serif" w:hAnsi="Times New Roman;serif"/>
                  <w:b w:val="false"/>
                  <w:color w:val="0000FF"/>
                  <w:sz w:val="18"/>
                  <w:u w:val="single"/>
                </w:rPr>
                <w:t>Exhibits and Financial Statement Schedules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208">
              <w:r>
                <w:rPr>
                  <w:rStyle w:val="InternetLink"/>
                  <w:rFonts w:ascii="Times New Roman;serif" w:hAnsi="Times New Roman;serif"/>
                  <w:b w:val="false"/>
                  <w:color w:val="0000FF"/>
                  <w:sz w:val="18"/>
                  <w:u w:val="single"/>
                </w:rPr>
                <w:t>99</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f4b0bf616dbc41b2b15400916ea5db26_211">
              <w:r>
                <w:rPr>
                  <w:rStyle w:val="InternetLink"/>
                  <w:rFonts w:ascii="Times New Roman;serif" w:hAnsi="Times New Roman;serif"/>
                  <w:b w:val="false"/>
                  <w:color w:val="0000FF"/>
                  <w:sz w:val="18"/>
                  <w:u w:val="single"/>
                </w:rPr>
                <w:t>Item 16</w:t>
              </w:r>
            </w:hyperlink>
          </w:p>
        </w:tc>
        <w:tc>
          <w:tcPr>
            <w:tcW w:w="83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211">
              <w:r>
                <w:rPr>
                  <w:rStyle w:val="InternetLink"/>
                  <w:rFonts w:ascii="Times New Roman;serif" w:hAnsi="Times New Roman;serif"/>
                  <w:b w:val="false"/>
                  <w:color w:val="0000FF"/>
                  <w:sz w:val="18"/>
                  <w:u w:val="single"/>
                </w:rPr>
                <w:t>Form 10-K Summary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211">
              <w:r>
                <w:rPr>
                  <w:rStyle w:val="InternetLink"/>
                  <w:rFonts w:ascii="Times New Roman;serif" w:hAnsi="Times New Roman;serif"/>
                  <w:b w:val="false"/>
                  <w:color w:val="0000FF"/>
                  <w:sz w:val="18"/>
                  <w:u w:val="single"/>
                </w:rPr>
                <w:t>101</w:t>
              </w:r>
            </w:hyperlink>
          </w:p>
        </w:tc>
      </w:tr>
      <w:tr>
        <w:trPr/>
        <w:tc>
          <w:tcPr>
            <w:tcW w:w="9073"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217">
              <w:r>
                <w:rPr>
                  <w:rStyle w:val="InternetLink"/>
                  <w:rFonts w:ascii="Times New Roman;serif" w:hAnsi="Times New Roman;serif"/>
                  <w:b w:val="false"/>
                  <w:color w:val="0000FF"/>
                  <w:sz w:val="18"/>
                  <w:u w:val="single"/>
                </w:rPr>
                <w:t>Signatures</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0bf616dbc41b2b15400916ea5db26_217">
              <w:r>
                <w:rPr>
                  <w:rStyle w:val="InternetLink"/>
                  <w:rFonts w:ascii="Times New Roman;serif" w:hAnsi="Times New Roman;serif"/>
                  <w:b w:val="false"/>
                  <w:color w:val="0000FF"/>
                  <w:sz w:val="18"/>
                  <w:u w:val="single"/>
                </w:rPr>
                <w:t>103</w:t>
              </w:r>
            </w:hyperlink>
          </w:p>
        </w:tc>
      </w:tr>
    </w:tbl>
    <w:p>
      <w:pPr>
        <w:pStyle w:val="TextBody"/>
        <w:bidi w:val="0"/>
        <w:spacing w:lineRule="auto" w:line="288" w:before="120" w:after="120"/>
        <w:jc w:val="both"/>
        <w:rPr>
          <w:color w:val="000000"/>
        </w:rPr>
      </w:pP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Cautionary Statement Regarding Forward-Looking Statements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is making this statement pursuant to the safe harbor provisions for forward-looking statements described in the Private Securities Litigation Reform Act of 1995. We make statements in this Annual Report on Form 10-K (“this Form 10-K” or this “Annual Report”) and in the documents that we incorporate by reference into this Annual Report that are forward-looking. When used in this Annual Report or in any other presentation, statements which are not historical in nature, including the words “anticipate,” “estimate,” “could,” “should,” “may,” “might,” “plan,” “seek,” “expect,” “believe,” “intend,” “target,” “will,” “project,” “forecast,” “continue,” “predict” and variations of these words and negatives thereof and similar expressions are intended to identify forward-looking statements. They also include statements regarding: </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our future growth and profitability;</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our competitive strengths; and</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our business strategy and the trends we anticipate in the industries and economies in which we operate.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These forward-looking statements are based on our current expectations.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Important factors that could cause actual results to differ materially from those in forward-looking statements include:</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market conditions, including rising or elevated levels of inflation or interest rates, regulatory or policy changes, including permitting processes, tax incentives and government funding programs that affect us or our customers’ industries, access to capital, material and labor costs, supply chain issues and technological developments, all of which may affect demand for our services;</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changes to governmental programs and spending policies, changes to the amounts provided for under the Infrastructure Investment and Jobs Act (“IIJA”) and/or Inflation Reduction Act (“IRA”), including the potential for reduced support for renewable energy projects, such as a result of the One Big Beautiful Bill Act (“OBBBA”), changes in U.S or foreign tax laws, statutes, rules, regulations or ordinances;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tariff and trade actions, including retaliatory trade actions, by the United States (U.S.) and/or other countries on U.S. exports or bans by foreign countries on certain of their exports;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project delays due to permitting processes, compliance with environmental and other regulatory requirements and challenges to the granting of project permits, which could cause increased costs and delayed or reduced revenue;</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effect on demand for our services of changes in the amount of capital expenditures by our customers due to, among other things, economic conditions, including potential economic downturns, inflationary issues, tariff effects, the availability and cost of financing, supply chain disruptions, climate-related matters, customer consolidation in the industries we serve and/or the effects of public health matters;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activity in the industries we serve and the impact on the expenditure levels of our customers of, among other items, fluctuations in commodity prices, including for fuel and energy sources, fluctuations in the cost of materials, labor, supplies or equipment, and/or supply-related issues that affect availability or cause delays for such items;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outcome of our plans for future operations, growth and services, including business development efforts, backlog, acquisitions and dispositions;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risks related to completed or potential acquisitions, including our ability to integrate acquired businesses within expected timeframes, including their business operations, internal controls and/or systems, which may be found to have material weaknesses, and our ability to achieve the revenue, cost savings and earnings levels from such acquisitions at or above the levels projected, as well as the risk of potential asset impairment charges and write-downs of goodwill;</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our ability to attract and retain qualified personnel, key management and skilled employees, including from acquired businesses, our ability to enforce any noncompetition agreements, and our ability to maintain a workforce based upon current and anticipated workloads;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any material changes in estimates for legal costs or case settlements or adverse determinations on any claim, lawsuit or proceeding;</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the adequacy of our insurance, legal and other reserves;</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adverse climate and weather events, such as the risk of wildfires, that increase operational and legal risks in certain locations where we perform services, could increase the potential liability and related costs associated with such operations;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highly competitive nature of our industry and 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effect of regulatory initiatives, including risks related to and the costs of compliance with existing and potential future sustainability requirements, including with respect to climate-related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07645"/>
                <wp:effectExtent l="0" t="0" r="0" b="0"/>
                <wp:wrapNone/>
                <wp:docPr id="4" name="Frame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timing and extent of fluctuations in operational, geographic and weather factors, including from climate-related events, that affect our customers, projects and the industries in which we operate;</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requirements of and restrictions imposed by our credit facility, term loans, senior notes and any future loans or securities;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systems and information technology interruptions and/or data security breaches that could adversely affect our ability to operate, our operating results, our data security or our reputation, or other cybersecurity-related matters;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our dependence on a limited number of customers and our ability to replace non-recurring projects with new projects;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risks associated with potential environmental issues and other hazards from our operations;</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disputes with, or failures of, our subcontractors to deliver agreed-upon supplies or services in a timely fashion, and the risk of being required to pay our subcontractors even if our customers do not pay us;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risks related to our strategic arrangements, including our equity investments;</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risks associated with volatility of our stock price or any dilution or stock price volatility that shareholders may experience, including as a result of shares we may issue as purchase consideration in connection with acquisitions, or as a result of other stock issuances;</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our ability to obtain performance and surety bonds;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risks associated with operating in or expanding into additional international markets, including risks from increased tariffs, fluctuations in foreign currencies, foreign labor and general business conditions and risks from failure to comply with laws applicable to our foreign activities and/or governmental policy uncertainty;</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risks related to our operations that employ a unionized workforce, including labor availability, productivity and relations, as well as risks associated with multiemployer union pension plans, including underfunding and withdrawal liabilities;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risks associated with our internal controls over financial reporting;</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risks related to a small number of our existing shareholders having the ability to influence major corporate decisions; and</w:t>
      </w:r>
    </w:p>
    <w:p>
      <w:pPr>
        <w:pStyle w:val="TextBody"/>
        <w:bidi w:val="0"/>
        <w:spacing w:lineRule="auto" w:line="288" w:before="120" w:after="120"/>
        <w:ind w:left="0" w:right="0" w:hanging="270"/>
        <w:jc w:val="both"/>
        <w:rPr/>
      </w:pPr>
      <w:r>
        <w:rPr>
          <w:color w:val="000000"/>
        </w:rPr>
        <w:t>•    </w:t>
      </w:r>
      <w:r>
        <w:rPr>
          <w:rFonts w:ascii="Times New Roman;serif" w:hAnsi="Times New Roman;serif"/>
          <w:b w:val="false"/>
          <w:color w:val="000000"/>
          <w:sz w:val="18"/>
        </w:rPr>
        <w:t xml:space="preserve">other factors referenced in this Annual Report, including, without limitation, under </w:t>
      </w:r>
      <w:r>
        <w:rPr>
          <w:rFonts w:ascii="Times New Roman;serif" w:hAnsi="Times New Roman;serif"/>
          <w:b w:val="false"/>
          <w:color w:val="0000FF"/>
          <w:sz w:val="18"/>
          <w:u w:val="single"/>
        </w:rPr>
        <w:t>Item 1.</w:t>
      </w:r>
      <w:r>
        <w:rPr>
          <w:color w:val="000000"/>
        </w:rPr>
        <w:t xml:space="preserve"> “</w:t>
      </w:r>
      <w:r>
        <w:rPr>
          <w:rFonts w:ascii="Times New Roman;serif" w:hAnsi="Times New Roman;serif"/>
          <w:b w:val="false"/>
          <w:color w:val="000000"/>
          <w:sz w:val="18"/>
        </w:rPr>
        <w:t xml:space="preserve">Business,” </w:t>
      </w:r>
      <w:hyperlink w:anchor="if4b0bf616dbc41b2b15400916ea5db26_19">
        <w:r>
          <w:rPr>
            <w:rStyle w:val="InternetLink"/>
            <w:rFonts w:ascii="Times New Roman;serif" w:hAnsi="Times New Roman;serif"/>
            <w:b w:val="false"/>
            <w:color w:val="0000FF"/>
            <w:sz w:val="18"/>
            <w:u w:val="single"/>
          </w:rPr>
          <w:t>Item 1A.</w:t>
        </w:r>
      </w:hyperlink>
      <w:r>
        <w:rPr>
          <w:color w:val="000000"/>
        </w:rPr>
        <w:t xml:space="preserve"> “</w:t>
      </w:r>
      <w:r>
        <w:rPr>
          <w:rFonts w:ascii="Times New Roman;serif" w:hAnsi="Times New Roman;serif"/>
          <w:b w:val="false"/>
          <w:color w:val="000000"/>
          <w:sz w:val="18"/>
        </w:rPr>
        <w:t xml:space="preserve">Risk Factors,” </w:t>
      </w:r>
      <w:hyperlink w:anchor="if4b0bf616dbc41b2b15400916ea5db26_46">
        <w:r>
          <w:rPr>
            <w:rStyle w:val="InternetLink"/>
            <w:rFonts w:ascii="Times New Roman;serif" w:hAnsi="Times New Roman;serif"/>
            <w:b w:val="false"/>
            <w:color w:val="0000FF"/>
            <w:sz w:val="18"/>
            <w:u w:val="single"/>
          </w:rPr>
          <w:t>Item 7.</w:t>
        </w:r>
      </w:hyperlink>
      <w:r>
        <w:rPr>
          <w:color w:val="000000"/>
        </w:rPr>
        <w:t xml:space="preserve"> “</w:t>
      </w:r>
      <w:r>
        <w:rPr>
          <w:rFonts w:ascii="Times New Roman;serif" w:hAnsi="Times New Roman;serif"/>
          <w:b w:val="false"/>
          <w:color w:val="000000"/>
          <w:sz w:val="18"/>
        </w:rPr>
        <w:t>Management’s Discussion and Analysis of Financial Condition and Results of Operations” and other factors detailed from time to time in the reports and other filings we make with the Securities and Exchange Commission (the “SEC”).</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this Form 10-K, in the documents that we incorporate by reference into this Form 10-K and in other documents that we file with the SEC. We do not undertake any obligation to publicly update or revise these forward-looking statements after the date of this Form 10-K to reflect future events or circumstances, except as required by applicable law. We qualify any and all of our forward-looking statements by these cautionary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07645"/>
                <wp:effectExtent l="0" t="0" r="0" b="0"/>
                <wp:wrapNone/>
                <wp:docPr id="5" name="Frame4"/>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240" w:after="240"/>
        <w:jc w:val="center"/>
        <w:rPr>
          <w:rFonts w:ascii="Times New Roman;serif" w:hAnsi="Times New Roman;serif"/>
          <w:b/>
          <w:color w:val="000000"/>
          <w:sz w:val="18"/>
        </w:rPr>
      </w:pPr>
      <w:r>
        <w:rPr>
          <w:rFonts w:ascii="Times New Roman;serif" w:hAnsi="Times New Roman;serif"/>
          <w:b/>
          <w:color w:val="000000"/>
          <w:sz w:val="1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both"/>
        <w:rPr>
          <w:rFonts w:ascii="Times New Roman;serif" w:hAnsi="Times New Roman;serif"/>
          <w:b/>
          <w:color w:val="000000"/>
          <w:sz w:val="18"/>
        </w:rPr>
      </w:pPr>
      <w:r>
        <w:rPr>
          <w:rFonts w:ascii="Times New Roman;serif" w:hAnsi="Times New Roman;serif"/>
          <w:b/>
          <w:color w:val="000000"/>
          <w:sz w:val="18"/>
        </w:rPr>
        <w:t xml:space="preserve">ITEM 1.    BUSINESS </w:t>
      </w:r>
    </w:p>
    <w:p>
      <w:pPr>
        <w:pStyle w:val="TextBody"/>
        <w:bidi w:val="0"/>
        <w:spacing w:lineRule="auto" w:line="288" w:before="120" w:after="120"/>
        <w:ind w:left="0" w:right="0" w:firstLine="720"/>
        <w:jc w:val="both"/>
        <w:rPr/>
      </w:pPr>
      <w:r>
        <w:rPr>
          <w:rFonts w:ascii="Times New Roman;serif" w:hAnsi="Times New Roman;serif"/>
          <w:b w:val="false"/>
          <w:color w:val="000000"/>
          <w:sz w:val="18"/>
        </w:rPr>
        <w:t>We are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Our customers are primarily in these industries. Including our predecessor companies, we have been in business for over 95 years. As of December 31, 2025, we had approximately 36,000 employees and 810 locations. We offer our services under the MasTec</w:t>
      </w:r>
      <w:r>
        <w:rPr>
          <w:rFonts w:ascii="Times New Roman;serif" w:hAnsi="Times New Roman;serif"/>
          <w:b w:val="false"/>
          <w:color w:val="000000"/>
          <w:sz w:val="12"/>
        </w:rPr>
        <w:t>®</w:t>
      </w:r>
      <w:r>
        <w:rPr>
          <w:color w:val="000000"/>
        </w:rPr>
        <w:t xml:space="preserve"> </w:t>
      </w:r>
      <w:r>
        <w:rPr>
          <w:rFonts w:ascii="Times New Roman;serif" w:hAnsi="Times New Roman;serif"/>
          <w:b w:val="false"/>
          <w:color w:val="000000"/>
          <w:sz w:val="18"/>
        </w:rPr>
        <w:t>and other service marks and we are ranked among the top five contractors within Engineering News-Record’s Top 400 Contractors.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We seek to grow and diversify our business both organically and through acquisitions and/or strategic arrangements in order to deepen our market presence and customer base, broaden our geographic reach and expand our service offerings. In 2021, we initiated a significant transformation of our end-market business operations to focus on the nation’s transition to low-carbon energy sources and position the Company for expected future opportunities. This transformation included significant business combination activity, including expansion of our scale and capacity in renewable energy, power delivery, heavy civil and telecommunications services. For discussion of our recent acquisitions, see </w:t>
      </w:r>
      <w:hyperlink w:anchor="if4b0bf616dbc41b2b15400916ea5db26_46">
        <w:r>
          <w:rPr>
            <w:rStyle w:val="InternetLink"/>
            <w:rFonts w:ascii="Times New Roman;serif" w:hAnsi="Times New Roman;serif"/>
            <w:b w:val="false"/>
            <w:color w:val="0000FF"/>
            <w:sz w:val="18"/>
            <w:u w:val="single"/>
          </w:rPr>
          <w:t>Item 7.</w:t>
        </w:r>
      </w:hyperlink>
      <w:r>
        <w:rPr>
          <w:color w:val="000000"/>
        </w:rPr>
        <w:t xml:space="preserve"> “</w:t>
      </w:r>
      <w:r>
        <w:rPr>
          <w:rFonts w:ascii="Times New Roman;serif" w:hAnsi="Times New Roman;serif"/>
          <w:b w:val="false"/>
          <w:color w:val="000000"/>
          <w:sz w:val="18"/>
        </w:rPr>
        <w:t>Management’s Discussion and Analysis of Financial Condition and Results of Operations - Business,” which is incorporated by reference.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the first quarter of 2025, we made changes to our Communications and Power Delivery segment structure to more closely align with our segments’ end markets and to better correspond with the operational management reporting structure of both segments. These changes included moving a component with utility operations previously reported in our Communications segment to our Power Delivery segment. These changes did not impact our consolidated financial statements, but did impact our reportable segments, including historical financial information. See Note 14 - Segments and Related Information in the notes to the audited consolidated financial statements, which is incorporated by reference, for additional information pertaining to the Company’s reportable segments. The segments are reported on a comparable basis for all periods presented.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Communications segment performs engineering, construction, maintenance and customer fulfillment activities related to communications and digital infrastructure, primarily for wireless and wireline/fiber networks, data center buildout and interconnection, wireless integration and optimization and install-to-the-home services, as well as select utility infrastructure, among others. Our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services, including roads, bridges and rail; and environmental remediation services. Our Power Delivery segment primarily serves the energy, utility and data center infrastructure industries through the engineering, construction and maintenance of power transmission and distribution infrastructure, including electrical and gas lines, power reserve and battery infrastructure, and distribution network systems, substations and grid modernization; emergency restoration services following natural disasters and accidents; and environmental planning and compliance services. Our Pipeline Infrastructure segment performs engineering, construction, maintenance and other services for pipeline infrastructure, including natural gas, water and carbon capture sequestration pipelines, as well as pipeline integrity, including the repair of pipeline infrastructure and facilitating their safe use throughout their lifecycle, and other services for the energy and utilities industries. The Other segment includes certain equity investees, the services of which may vary from those provided by our primary segments, as well as other small business units with activities in certain international end-markets. See Note 14 - Segments and Related Information and Note 15 - Commitments and Contingencies in the notes to the audited consolidated financial statements, which are incorporated by reference, for additional information regarding our segment reporting and significant customer concentrations.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this Form 10-K, “$” means U.S. dollars unless otherwise indicated.</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Industry Trends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industries in which we operate are undergoing significant transformation driven by several broad, long</w:t>
        <w:noBreakHyphen/>
        <w:t>term macroeconomic, technological and regulatory developments. These developments include (i) continued expansion in data consumption and the rapid deployment of artificial intelligence (“AI”) applications and data centers; (ii) increasing levels of electrification across commercial, industrial and residential end</w:t>
        <w:noBreakHyphen/>
        <w:t>users; (iii) ongoing transition of the U.S. energy mix toward lower</w:t>
        <w:noBreakHyphen/>
        <w:t>carbon and renewable resources; and (iv) federal, state and local investment in critical infrastructure, including through programs established under the Infrastructure Investment and Jobs Act (“IIJA”) and the Inflation Reduction Act (“IRA”). Collectively, these factors are expected to continue to result in opportunities across our Communications, Clean Energy and Infrastructure, Power Delivery, and Pipeline Infrastructure segments.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These macro drivers increasingly intersect across industries and we expect will create multi-segment demand aligned with our diversified portfolio of services. Growth in data centers, for example, requires extensive fiber network expansion and wireless densification; necessitates new renewable and conventional energy generation resources; drives the need for substantial transmission and distribution system upgrades; and contributes to continued demand for natural gas and emerging hydrogen infrastructure. Similarly, the ongoing transition toward cleaner energy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07645"/>
                <wp:effectExtent l="0" t="0" r="0" b="0"/>
                <wp:wrapNone/>
                <wp:docPr id="6" name="Frame5"/>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sources is expected to support new solar, wind, and storage construction activity; require additional transmission and distribution capacity to integrate geographically dispersed renewable resources; and drive demand for pipeline infrastructure to support natural gas as a reliable resource, as well as for carbon capture and sequestration systems under development. In addition, federal infrastructure programs, including those established under the IIJA and IRA, provide funding for broadband deployment, clean energy innovation, grid modernization, water systems, and transportation</w:t>
        <w:noBreakHyphen/>
        <w:t>related civil infrastructure, among others, each of which supports activity across multiple segments of our business.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anticipate that these interconnected dynamics will create complementary opportunities across our segments as follows: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Our Communications segment is expected to benefit from continued demand for fiber network expansion, wireless densification, and broadband deployment initiatives, including programs directed at unserved and underserved communities.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Our Clean Energy and Infrastructure segment participates in the construction of renewable generation facilities, data center and industrial projects, and a wide range of civil infrastructure, all of which are expected to remain areas of significant investment.</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Our Power Delivery segment is positioned to support increasing requirements for transmission and distribution system expansion, reliability, resiliency, grid hardening and modernization resulting from rising electricity demand, growth in renewable generation, and aging grid infrastructure.</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Our Pipeline Infrastructure segment is expected to benefit from continued investment in natural gas distribution and transmission systems, water and wastewater networks, and emerging opportunities associated with carbon capture and sequestration, as well as hydrogen</w:t>
        <w:noBreakHyphen/>
        <w:t>related infrastructure.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expect that the convergence of these trends will form a broad, multi</w:t>
        <w:noBreakHyphen/>
        <w:t>year investment cycle in U.S. communications, energy and infrastructure systems. Because our service offerings span multiple components of these systems, investment in one area frequently generates related demand in others. As a result, we believe that the diversification of our business in these complementary markets positions us to benefit from the expected long</w:t>
        <w:noBreakHyphen/>
        <w:t>term investment associated with these developments.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industry is composed of national, regional and local companies that provide services to customers in a range of industries. We believe the following industry trends affect demand for our services: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Opportunities in our Communications Segment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Demand for seamless connectivity across wireless and wired devices continues to accelerate, driven by high-speed internet requirements, broadband expansion, AI data center growth, and data transmission, and such accelerated demand for connectivity continues to spur demand for fast and more reliable wireless and wireline/fiber communications network services. The proliferation of mobile devices, remote technologies, streaming, user generated content, e-commerce, AI applications, and the “Internet of Things (IoT)” is creating significant pressure for new and upgraded networks to meet increasing data traffic and reliability demands of these technologies.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According to IBISWorld’s October 2025 publication, “Wireless Tower Construction in the U.S.” (the “IBISWorld October 2025 publication”), revenue for the wireless tower construction industry is expected to grow to $15.7 billion over the five year period through 2030, reflecting continued investment in this industry. The IBISWorld October 2025 publication also predicts that the downstream telecom sector will invest substantially to maintain existing and establish new infrastructure to support the growing demand for high-speed internet connections.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believe there will be significant fiber network expansion resulting from the combination of data center investments, carrier spend, and government programs that are expected to incentivize private investment in telecommunications infrastructure. Companies are making substantial investments in data centers to support AI initiatives, with robust fiber networks and connectivity serving as key growth drivers. This trend is creating opportunities to support and enhance data center connectivity, as new facilities are being developed farther from traditional locations. Additionally, according to Grand View Research, in its U.S. Fiber To The Home Market Size and Outlook (2025-2030) report, the United States fiber to the home market is expected to grow at a compound annual growth rate of 12.7% from 2025 to 2030.</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Telecommunications providers have invested and continue to invest significant capital and other resources to deliver advanced telecommunications, and more recently, to enable enhanced AI applications, by deploying the latest infrastructure and are projected to play a significant role in shaping the future as both commercial and consumer markets continue to leverage 5G wireless technology. 5G mobile networks have been steadily growing and improvements to existing long term evolution and high-speed data networks are expected to continue over the coming years, providing a platform for the IoT, which can be harnessed to drive innovation and improvements in commerce, transportation, supply chain, research, healthcare, education, public safety, and the development of “Smart Cities,” “Smart Homes” and “Smart Farming,” among many other applications.</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response to these growing opportunities, service providers are expanding, densifying, including in building coverage, and optimizing 5G wireless and wireline/fiber network capacity. Compared to previous wireless generations, 5G requires more extensive network architecture changes, including additional and upgraded towers, higher bandwidth small/micro cells, distributed antenna systems, and expanded fiber networks, resulting in sustained construction, upgrade and maintenance activity. Additionally, there are several initiatives designed to drive development of telecommunications and 5G infrastructure in rural areas. We believe that continued nationwide 5G build-outs, deployment of small/micro cells, fiber expansion by major carriers, and ongoing demand for retrofits and upgrades of existing towers to support 5G (as noted in IBISWorld’s October 2025 publication), will drive multi-year demand for telecommunications infrastructure.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IIJA provides approximately $65 billion of funding to improve and expand U.S. broadband infrastructure and affordability, including $42 billion allocated through the Broadband Equity, Access and Deployment (“BEAD”) Program to support planning, deployment, and adoption initiatives in unserved and underserved areas. In addition, the Rural Digital Opportunity Fund committed to provide up to $20 billion over ten years to support high-speed broadband deployment in rural communities. Carriers are also investing in telecommunications infrastructure to expand their fiber footprint across the nation. One such example is the AT&amp;T and BlackRock Alternatives private equity fiber partnership, Gigapower LLC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07645"/>
                <wp:effectExtent l="0" t="0" r="0" b="0"/>
                <wp:wrapNone/>
                <wp:docPr id="7" name="Frame6"/>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(“Gigapower”), which will operate a commercial fiber-optic platform in the United States. While still in the early process of scaling, carriers continue to stress the importance of these builds and are experiencing momentum in fiber performance in Gigapower geographies. Based on this performance, AT&amp;T and BlackRock plan to grow and are looking for opportunities to expand Gigapower’s network beyond the initial 1.5 million locations announced in 2022, including growth in both existing and new geographies.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U.S. market for Smart City initiatives is expected to be driven by continued advancements in IoT, AI, and cloud technologies. Smart City initiatives encompass a wide range of technologies, including Wi-Fi kiosks, adaptive smart lighting systems, utility and water management solutions, smart waste management, real-time traffic and parking optimization, amongst other technologies. Similarly, the U.S. Smart Home market includes technologies that represent a wide range of solutions for monitoring, controlling and automating functions in a home, including home intelligence and connected home technologies. Smart City and Smart Home technologies are expected to benefit from the global expansion and densification of 5G, and highlight significant opportunities for infrastructure, development and service providers, particularly in installation and maintenance solutions, including for our install-to-the-home services offerings.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one of the largest providers of communications infrastructure services, we believe that we are well-positioned to benefit from the expected opportunities in the telecommunications market as previously described.</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Opportunities in our Clean Energy and Infrastructure Segment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Growing electricity demand and the need for additional generation capacity are driving changes in U.S. energy infrastructure and the energy mix, including increased reliance on renewable energy sources to add scalable capacity. According to a Deloitte analysis in its 2026 Power and Utilities Industry Outlook (the “2026 Deloitte Power and Utilities Outlook”), the U.S. is experiencing a surge in electricity demand, driven in part by a confluence of unprecedented electrification related to AI, alongside electrification in transportation and industry. The 2026 Deloitte Power and Utilities Outlook also indicates peak demand is projected to grow by approximately 26% by 2035 and data center demand alone could increase fivefold from 2024 to 2035. However, new supply is not becoming available at a pace adequate to meet demand. According to a Deloitte analysis in its 2026 Renewable Energy Industry Outlook report, renewable energy led U.S. 2025 capacity additions, accounting for 93% of new capacity through September 2025, with solar and storage comprising more than the majority.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Renewable energy is expected to play an increasingly significant role in U.S. electricity generation, with renewables projected to approach nearly half of total electricity generation by 2040, according to a March 2025 “U.S. National Power Demand Study” conducted by S&amp;P Global Commodity Insights. Consistent with this long-term outlook, renewable energy has led U.S. generation capacity addition through September 2025, and several states are expected to introduce or expand renewable energy targets. Governmental and policy initiatives are expected to drive growth, including the IIJA, which allocates $65 billion to power infrastructure and energy programs. IIJA funding includes investments in fuels and technologies, clean energy supply chains, battery power initiatives, solar research and development, and clean hydrogen, among other initiatives. While the IRA initially provided approximately $370 billion in clean energy incentives through tax credits, grants, and loan guarantees, the One Big Beautiful Bill Act (“OBBBA”), signed into law on July 4, 2025, accelerated the phaseout of certain clean energy tax credits established under the IRA, including the clean electricity investment and clean energy productions credits for solar and wind projects, which may reduce longer term demand for such projects. Despite these policy changes, renewables have continued to account for the majority of recent U.S. capacity additions through September 2025, reflecting continued demand for additional generation capacity and supporting a favorable long-term outlook for renewable energy infrastructure development.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Growing corporate initiatives for smaller, standalone distributed generation facilities, together with regulatory and other policy initiatives at the state and municipal levels, have spurred demand for clean energy production from sustainable power sources, including wind, solar, biomass and other sources. Many states have adopted renewable portfolio standards or renewable energy goals to diversify their energy resources, promote domestic energy production and encourage economic development. Rising state renewable portfolio standards, increasing levels of corporate and residential demand, and improving economic competitiveness of renewable sources continue to be key drivers for their growth. We expect that ongoing efforts to enhance electric grid resiliency may continue to support incremental investment in renewable energy solutions, as utilities and certain customers consider the potential adoption of renewable microgrids, including energy storage systems, to help support critical facilities. Additionally, and subject to market conditions and regulatory developments, we believe that the wind sector could benefit over time from potential replacement and repowering activity involving existing wind turbines and foundations with next-generation, higher-efficiency equipment, as well as from maintenance requirements associated with aging wind farms. </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As a result of the above trends and factors, we expect continued demand for construction of renewable and other clean energy infrastructure in the coming years. These expected sources of growth may be adversely affected, however, by technological changes that could mitigate or slow the increase in demand for clean energy, changes in governmental policies that reduce tax or funding incentives and changes in governmental processes that delay or reduce investments in projects, as well as changes in climate and environmental policies that contribute to demand for clean energy infrastructure. See </w:t>
      </w:r>
      <w:hyperlink w:anchor="if4b0bf616dbc41b2b15400916ea5db26_19">
        <w:r>
          <w:rPr>
            <w:rStyle w:val="InternetLink"/>
            <w:rFonts w:ascii="Times New Roman;serif" w:hAnsi="Times New Roman;serif"/>
            <w:b w:val="false"/>
            <w:color w:val="0000FF"/>
            <w:sz w:val="18"/>
            <w:u w:val="single"/>
          </w:rPr>
          <w:t>Item 1A.</w:t>
        </w:r>
      </w:hyperlink>
      <w:r>
        <w:rPr>
          <w:color w:val="000000"/>
        </w:rPr>
        <w:t xml:space="preserve"> “</w:t>
      </w:r>
      <w:r>
        <w:rPr>
          <w:rFonts w:ascii="Times New Roman;serif" w:hAnsi="Times New Roman;serif"/>
          <w:b w:val="false"/>
          <w:color w:val="000000"/>
          <w:sz w:val="18"/>
        </w:rPr>
        <w:t>Risk Factors” under “</w:t>
      </w:r>
      <w:r>
        <w:rPr>
          <w:rFonts w:ascii="Times New Roman;serif" w:hAnsi="Times New Roman;serif"/>
          <w:b w:val="false"/>
          <w:i/>
          <w:color w:val="000000"/>
          <w:sz w:val="18"/>
        </w:rPr>
        <w:t>Changes to laws, governmental regulations and policies, including those pertaining to governmental permitting, tax incentives, government funding programs and spending policies, as well as advances in artificial intelligence, could affect demand for our services, or cause delays or cancellations of projects. Additionally, demand for construction services depends on industry activity and expenditure levels, which can be affected by a variety of political, macro-economic and market factors. Our inability or failure to adjust to such changes or factors could adversely affect our results of operations, cash flows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also provide heavy civil infrastructure construction services, including the construction and maintenance of buildings, roads, bridges, rail, water/sewer systems and other civil infrastructure, including data center infrastructure. We believe that the incentives under the IIJA and other policies, as well as initiatives to upgrade and replace aging infrastructure, will lead to increased investment and future growth opportunities in this area. The IIJA includes approximately $110 billion of funding for roads and bridges, including $40 billion of funding for bridge repair, replacement and rehabilitation and $16 billion of funding for other major infrastructure projects, as well as approximately $50 billion of funding for water infrastructure, including climate resilience and drought and flood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07645"/>
                <wp:effectExtent l="0" t="0" r="0" b="0"/>
                <wp:wrapNone/>
                <wp:docPr id="8" name="Frame7"/>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believe that industrial plant construction opportunities exist in a wide variety of industries, including in the renewable energy industry, as power companies explore ways to reduce their carbon footprint. We expect that the need for baseload backup power generation, coupled with the relative low price and environmental advantage of cleaner burning natural gas will continue to drive demand for gas-fired electrical generating plants. In addition, the transition to clean energy is driving recent trends to convert coal-fired power plants to lower carbon fuel sources such as solar, wind, geothermal, biofuel, biomass, hydrogen or a combination thereof. Coal-fired power plants are also being converted into battery storage facilities for renewable energy. A wide variety of industries may seek to expand, convert or construct new plants to take advantage of more economical, cleaner, lower cost and lower carbon fuel sources.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Converting existing power plants to renewable energy sources is an attractive option, given that existing power plants have electric infrastructure, including the power lines, transformers and other equipment that is required to connect the power to the grid. Industrial facilities and power plants in the biofuels/biomass, food processing, lithium recycling, natural gas and related industries present opportunities as additional domestic energy reserves are produced, transported and processed.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one of the leading renewable contractors in North America, with expertise in wind, solar and other renewables, as well as a leading contractor in the construction of industrial and other power plants and heavy civil infrastructure, and we expect to benefit from market trends in these industries.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Opportunities in our Power Delivery Segment</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The U.S. electrical transmission and distribution infrastructure, referred to as “the grid,” is composed of a network of electric generating facilities, high voltage transmission lines, substations and distribution lines that bring power to homes and businesses. Demand for the grid is fueled by the consistent need for more efficient power services as the U.S. economy is dependent upon the reliable delivery of adequate levels of electricity. The grid will continue to require significant ongoing maintenance, upgrade and expansion to continue delivering reliable and affordable power. This will include strengthening aging infrastructure, addressing future grid resiliency and modernization efforts (“Smart Grid”) and adapting to changing energy supply, population movement and distribution requirements, including the acceleration of electrification in transportation and industry, data center infrastructure, and buildings and homes, all of which could and are expected to materially increase the demand for electricity. According to a May 2025 publication by the U.S. Energy Information Administration, after almost two decades of relatively flat electricity consumption change, electricity consumption hit an all-time high in 2024, and is forecasted to continue growing at an average rate of approximately 1.7% in 2026. As discussed within the </w:t>
      </w:r>
      <w:r>
        <w:rPr>
          <w:rFonts w:ascii="Times New Roman;serif" w:hAnsi="Times New Roman;serif"/>
          <w:b w:val="false"/>
          <w:i/>
          <w:color w:val="000000"/>
          <w:sz w:val="18"/>
        </w:rPr>
        <w:t>Opportunities in our Clean Energy and Infrastructure Segment</w:t>
      </w:r>
      <w:r>
        <w:rPr>
          <w:color w:val="000000"/>
        </w:rPr>
        <w:t xml:space="preserve"> </w:t>
      </w:r>
      <w:r>
        <w:rPr>
          <w:rFonts w:ascii="Times New Roman;serif" w:hAnsi="Times New Roman;serif"/>
          <w:b w:val="false"/>
          <w:color w:val="000000"/>
          <w:sz w:val="18"/>
        </w:rPr>
        <w:t>section above, the U.S. is experiencing a surge in electricity demand, driven in part by a confluence of unprecedented electrification related to AI, alongside electrification in transportation and industry. According to the 2026 Deloitte Power and Utilities Outlook, peak U.S. electricity demand is projected to grow by approximately 26% by 2035 and data center demand alone could increase fivefold from 2024 to 2035. We expect the projected energy load growth in the U.S. to drive meaningful investment in both power generation and grid expansion and modernization.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According to IBISWorld’s April 2025 publication, “Transmission Line Construction in the U.S.”, the growth in electricity demand will require an expansion of electricity generation and transmission capacity, and increased electrical infrastructure will elevate demand for transmission line construction services. We expect future growth in electric transmission and distribution infrastructure from projects to digitize, modernize, harden and secure the grid against increasing levels of disruption from natural and man-made disasters, including extreme and intensifying weather events, wildfires and potential cyber-attacks, as well as to address changing energy supply requirements and grid reliability. In addition, changes in U.S. energy infrastructure and energy mix, such as the transition to clean energy generating assets are expected to lead to increased demand and investment in electric infrastructure, with a changing fuel mix that is moving toward lower carbon and more sustainable energy sources, such as natural gas and renewables. </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As discussed within the </w:t>
      </w:r>
      <w:r>
        <w:rPr>
          <w:rFonts w:ascii="Times New Roman;serif" w:hAnsi="Times New Roman;serif"/>
          <w:b w:val="false"/>
          <w:i/>
          <w:color w:val="000000"/>
          <w:sz w:val="18"/>
        </w:rPr>
        <w:t>Opportunities in our Clean Energy and Infrastructure Segment</w:t>
      </w:r>
      <w:r>
        <w:rPr>
          <w:color w:val="000000"/>
        </w:rPr>
        <w:t xml:space="preserve"> </w:t>
      </w:r>
      <w:r>
        <w:rPr>
          <w:rFonts w:ascii="Times New Roman;serif" w:hAnsi="Times New Roman;serif"/>
          <w:b w:val="false"/>
          <w:color w:val="000000"/>
          <w:sz w:val="18"/>
        </w:rPr>
        <w:t xml:space="preserve">section above, renewables accounted for 93% of 2025 U.S. electricity capacity additions through September 2025 and renewables are projected to reach nearly half of total generation by 2040. The projected growth in renewable energy generation is expected to require significant investment in new transmission lines and substations. Because the site locations of wind, solar and other renewable power generation resources are typically sensitive to weather and geographic conditions, often requiring locations in remote regions of the country far from industrial users and major population centers, they may require new transmission infrastructure to connect to the grid, as well as grid updates to provide for storage of electricity from renewable energy sources, and capabilities that can accommodate supply and demand for these new energy sources. These expected sources of growth may be adversely affected or delayed, however, by technological changes that could mitigate the increase in demand for electricity and changes in governmental policies that reduce tax or funding incentives, or impact project permitting, as well as changes in climate and environmental policies that contribute to demand for power generation infrastructure. See </w:t>
      </w:r>
      <w:hyperlink w:anchor="if4b0bf616dbc41b2b15400916ea5db26_19">
        <w:r>
          <w:rPr>
            <w:rStyle w:val="InternetLink"/>
            <w:rFonts w:ascii="Times New Roman;serif" w:hAnsi="Times New Roman;serif"/>
            <w:b w:val="false"/>
            <w:color w:val="0000FF"/>
            <w:sz w:val="18"/>
            <w:u w:val="single"/>
          </w:rPr>
          <w:t>Item 1A.</w:t>
        </w:r>
      </w:hyperlink>
      <w:r>
        <w:rPr>
          <w:color w:val="000000"/>
        </w:rPr>
        <w:t xml:space="preserve"> “</w:t>
      </w:r>
      <w:r>
        <w:rPr>
          <w:rFonts w:ascii="Times New Roman;serif" w:hAnsi="Times New Roman;serif"/>
          <w:b w:val="false"/>
          <w:color w:val="000000"/>
          <w:sz w:val="18"/>
        </w:rPr>
        <w:t>Risk Factors” under “</w:t>
      </w:r>
      <w:r>
        <w:rPr>
          <w:rFonts w:ascii="Times New Roman;serif" w:hAnsi="Times New Roman;serif"/>
          <w:b w:val="false"/>
          <w:i/>
          <w:color w:val="000000"/>
          <w:sz w:val="18"/>
        </w:rPr>
        <w:t>Changes to laws, governmental regulations and policies, including those pertaining to governmental permitting, tax incentives, government funding programs and spending policies, as well as advances in artificial intelligence, could affect demand for our services, or cause delays or cancellations of projects. Additionally, demand for construction services depends on industry activity and expenditure levels, which can be affected by a variety of political, macro-economic and market factors. Our inability or failure to adjust to such changes or factors could adversely affect our results of operations, cash flows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These trends, along with climate change initiatives, as well as the IIJA and IRA programs, which are designed to incentivize investment in clean energy technologies for power generation, are expected to drive significant future investment in electric infrastructure. The IIJA includes approximately $65 billion for upgrades to power infrastructure and energy programs, research and development of transmission and electricity distribution technologies and smart grid technologies. The funding is focused on grid reliability and security, renewable energy innovation and deployment, and ensuring supply chains critical for energy innovation. In addition, among the key provisions of the IRA is funding to address climate change, beginning with a rapid transition in the nation’s energy system to cleaner sources of electric power generation. The IRA includes billions of dollars in tax incentives, grants and loan programs to support the development, and accelerate deployment of clean energy power projects, including for energy generation, energy manufacturing, clean fuels, clean vehicles and energy efficiency. However, the OBBBA accelerated the phaseout of certain clean energy tax credits established under the IRA, which may reduce longer term demand for such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07645"/>
                <wp:effectExtent l="0" t="0" r="0" b="0"/>
                <wp:wrapNone/>
                <wp:docPr id="9" name="Frame8"/>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believe significant capital investment in the transmission and distribution system, including from the advancement of modern, smart energy solutions, will be required to meet the above-mentioned infrastructure requirements, and that we are well-positioned through our diverse service offerings to benefit from these developing trends.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Opportunities in our Pipeline Infrastructure Segment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one of the largest pipeline contractors in North America, with a balanced portfolio of service offerings, including union and non-union services. Our pipeline offerings include construction and maintenance services for pipeline distribution, including for natural gas, water, wastewater and carbon capture sequestration pipelines and pipeline integrity services for the energy and utilities industries. Our pipeline integrity services include replacement and repair of pipeline infrastructure, facilitating their safe use throughout their lifecycle. Our revenue related to pipeline infrastructure projects has fluctuated in recent years, and we anticipate that it will continue to fluctuate as demand for pipeline construction services is sensitive to levels of activity in the oil and gas industry, as well as industrial and utility customer demand and regulatory constraints.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Notwithstanding efforts to reduce reliance on fossil fuel-related energy sources and transition to renewable sources, we expect that natural gas power generation will continue to play a dominant role in U.S. power generation, both for primary power generation, and for baseload backup power generation to support intermittent clean energy sources. Although the Department of Energy’s 2025 Annual Energy Outlook (reference case data) assumes natural gas demand may peak within the next five years, it is expected to remain robust and hold strategic importance in meeting rising U.S. energy demand. Specifically, it is projected to account for approximately 40% of U.S. electricity generation through 2030, remaining the second largest source of energy behind renewable technologies through 2050. Further, as industrial production expands, it is predicted that sectors depending on energy-intensive machinery will increasingly demand greater volumes of natural gas. Additionally, in response to rising data center demand and supportive liquified natural gas (“LNG”) policies, it is predicted that companies will boost their capital expenditures and expand their shale acreage, according to a Deloitte analysis in its 2026 Oil and Gas Industry Outlook. </w:t>
      </w:r>
      <w:r>
        <w:rPr>
          <w:rFonts w:ascii="Times New Roman;serif" w:hAnsi="Times New Roman;serif"/>
          <w:b w:val="false"/>
          <w:color w:val="000000"/>
          <w:sz w:val="18"/>
          <w:shd w:fill="FFFFFF" w:val="clear"/>
        </w:rPr>
        <w:t>A January 2026 analysis from Morningstar DBRS states strong underlying demand for natural gas in the United States is driving record pipeline capacity additions of 18 billion cubic feet per day in 2026, the highest since 2008, driven by significant increases in associated gas production, strong underlying demand from LNG exports and data centers, and a supportive regulatory environment.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Demand for LNG exports has risen in recent years and North American export capacity is on track to more than double by 2029, according to an October 2025 publication by the U.S. Energy Information Administration. At the same time, the U.S. federal administration has eased environmental regulations, including accelerating permitting reviews of natural gas pipelines and lifting prior pauses on LNG export approvals. As a result, we expect sustained demand for new pipeline infrastructure to transport LNG to coastal export facilities over the coming years, including interstate and intrastate pipelines connecting producers to key export terminals. Further, according to IBISWorld’s April 2025 publication, “Oil &amp; Gas Pipeline Construction in the U.S.”, many mainline gas pipelines in the United States were built more than 60 years ago, increasing the importance of maintaining the aging infrastructure. We believe that gas utility distribution spending for replacement and rehabilitation of aging infrastructure will accelerate over the next several years due to regulatory, sustainability and safety concerns. Similarly, we expect that aging pipeline infrastructure will increasingly require replacement lines and pipeline integrity services as our customers look to enhance the safety, productivity and lives of existing infrastructure.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United States Environmental Protection Agency (“EPA”) has identified significant long-term funding needs for water and sewer infrastructure, which we expect will drive demand across our diverse water service offerings. According to the EPA’s 2022 Clean Watersheds Needs Survey, over $630 billion will be required over 20 years to address wastewater and stormwater infrastructure needs. Similarly, the EPA’s 2023 Drinking Water Infrastructure Needs Survey and Assessment estimates an additional $625 billion will be required for drinking water infrastructure over a 20 year period. These investments are driven by aging infrastructure, emerging contaminants, and the need for climate resilience.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Ongoing decarbonization efforts and carbon emission reduction initiatives are expected to drive demand for carbon capture and sequestration technologies, as well as the use of hydrogen as a clean energy power source. Pipeline infrastructure is expected to play a key role in the transformation to low carbon energy sources, which could involve constructing new pipelines or repurposing existing infrastructure, and supporting new carbon capture and hydrogen technologies, and we believe that we are well positioned to support these developing market trends in the energy transition. In light of these trends, we are continuously investing in capabilities to further support carbon capture and hydrogen technology infrastructure.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believe that the above-mentioned trends will support continued levels of future project activity across our diversified pipeline capabilities and that we are well-positioned to benefit from these trends. While short-term demand may fluctuate with commodity cycles, we expect that long-term trends in energy transition, infrastructure modernization, and regulatory compliance present sustained demand for our services.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Competitive Strengths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Our competitive strengths include: </w:t>
      </w:r>
    </w:p>
    <w:p>
      <w:pPr>
        <w:pStyle w:val="TextBody"/>
        <w:bidi w:val="0"/>
        <w:spacing w:lineRule="auto" w:line="288" w:before="120" w:after="120"/>
        <w:ind w:left="0" w:right="0" w:firstLine="720"/>
        <w:jc w:val="both"/>
        <w:rPr/>
      </w:pPr>
      <w:r>
        <w:rPr>
          <w:rFonts w:ascii="Times New Roman;serif" w:hAnsi="Times New Roman;serif"/>
          <w:b/>
          <w:i/>
          <w:color w:val="000000"/>
          <w:sz w:val="18"/>
        </w:rPr>
        <w:t>Diverse Customer Relationships</w:t>
      </w:r>
      <w:r>
        <w:rPr>
          <w:rFonts w:ascii="Times New Roman;serif" w:hAnsi="Times New Roman;serif"/>
          <w:b/>
          <w:color w:val="000000"/>
          <w:sz w:val="18"/>
        </w:rPr>
        <w:t xml:space="preserve">. </w:t>
      </w:r>
      <w:r>
        <w:rPr>
          <w:rFonts w:ascii="Times New Roman;serif" w:hAnsi="Times New Roman;serif"/>
          <w:b w:val="false"/>
          <w:color w:val="000000"/>
          <w:sz w:val="18"/>
        </w:rPr>
        <w:t>We serve a diversified customer and industry base. Our customers include some of the largest providers of communications, utility, power (including from renewable and other energy generation sources), data center infrastructure, civil and transportation infrastructure in North America, among others. We have longstanding relationships and have developed strong alliances with many of our customers, and we strive to maintain these customer relationships and our status as a preferred vendor.</w:t>
      </w:r>
    </w:p>
    <w:p>
      <w:pPr>
        <w:pStyle w:val="TextBody"/>
        <w:bidi w:val="0"/>
        <w:spacing w:lineRule="auto" w:line="288" w:before="120" w:after="120"/>
        <w:ind w:left="0" w:right="0" w:firstLine="720"/>
        <w:jc w:val="both"/>
        <w:rPr/>
      </w:pPr>
      <w:r>
        <w:rPr>
          <w:rFonts w:ascii="Times New Roman;serif" w:hAnsi="Times New Roman;serif"/>
          <w:b/>
          <w:i/>
          <w:color w:val="000000"/>
          <w:sz w:val="18"/>
        </w:rPr>
        <w:t>Reputation for Reliable Customer Service and Technical Expertise</w:t>
      </w:r>
      <w:r>
        <w:rPr>
          <w:rFonts w:ascii="Times New Roman;serif" w:hAnsi="Times New Roman;serif"/>
          <w:b w:val="false"/>
          <w:color w:val="000000"/>
          <w:sz w:val="18"/>
        </w:rPr>
        <w:t>. We have established a reputation for quality customer service and technical expertise. Our reputation gives us an advantage when competing for new work, both from existing and potential customers. In addition, we have broad service offerings, together with capabilities and expertise in the construction and installation of a wide variety of infrastructure, including wireless, wireline/fiber, clean energy, power delivery, pipeline, heavy civil and industrial infrastructure.</w:t>
      </w:r>
    </w:p>
    <w:p>
      <w:pPr>
        <w:pStyle w:val="TextBody"/>
        <w:bidi w:val="0"/>
        <w:spacing w:lineRule="auto" w:line="288" w:before="120" w:after="120"/>
        <w:ind w:left="0" w:right="0" w:firstLine="720"/>
        <w:jc w:val="both"/>
        <w:rPr/>
      </w:pPr>
      <w:r>
        <w:rPr>
          <w:rFonts w:ascii="Times New Roman;serif" w:hAnsi="Times New Roman;serif"/>
          <w:b/>
          <w:i/>
          <w:color w:val="000000"/>
          <w:sz w:val="18"/>
        </w:rPr>
        <w:t>North American Footprint</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 xml:space="preserve">Including our predecessor companies, we have been in business for over 95 years and are one of the largest infrastructure construction services companies in North America operating primarily in the United States and Canada. As of December 31, 2025,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07645"/>
                <wp:effectExtent l="0" t="0" r="0" b="0"/>
                <wp:wrapNone/>
                <wp:docPr id="10" name="Frame9"/>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had approximately 36,000 employees and 810 locations. We offer comprehensive end-to-end infrastructure services to our customers and believe that our experience, technical expertise, geographic reach, financial resources and size are important to our customers.</w:t>
      </w:r>
    </w:p>
    <w:p>
      <w:pPr>
        <w:pStyle w:val="TextBody"/>
        <w:bidi w:val="0"/>
        <w:spacing w:lineRule="auto" w:line="288" w:before="120" w:after="120"/>
        <w:ind w:left="0" w:right="0" w:firstLine="720"/>
        <w:jc w:val="both"/>
        <w:rPr/>
      </w:pPr>
      <w:r>
        <w:rPr>
          <w:rFonts w:ascii="Times New Roman;serif" w:hAnsi="Times New Roman;serif"/>
          <w:b/>
          <w:i/>
          <w:color w:val="000000"/>
          <w:sz w:val="18"/>
        </w:rPr>
        <w:t>Ability to Respond Quickly and Effectively</w:t>
      </w:r>
      <w:r>
        <w:rPr>
          <w:rFonts w:ascii="Times New Roman;serif" w:hAnsi="Times New Roman;serif"/>
          <w:b/>
          <w:color w:val="000000"/>
          <w:sz w:val="18"/>
        </w:rPr>
        <w:t xml:space="preserve">. </w:t>
      </w:r>
      <w:r>
        <w:rPr>
          <w:rFonts w:ascii="Times New Roman;serif" w:hAnsi="Times New Roman;serif"/>
          <w:b w:val="false"/>
          <w:color w:val="000000"/>
          <w:sz w:val="18"/>
        </w:rPr>
        <w:t>The skills required to serve our end-markets are similar, which allows us to utilize qualified personnel across multiple end-markets and projects. We are able to respond quickly and effectively to industry, market and technological changes, demand and major weather and/or climate-related events by allocating our employees, fleet and other assets as and where they are needed, enabling us to provide cost-effective and timely services for our customers.  We have demonstrated that we have the ability, resources and comprehensive service capabilities required to handle large and complex projects, and our geographic reach, diverse service offerings, deep market presence, operational scalability and financial stability enable us to meet our customers’ changing needs.</w:t>
      </w:r>
    </w:p>
    <w:p>
      <w:pPr>
        <w:pStyle w:val="TextBody"/>
        <w:bidi w:val="0"/>
        <w:spacing w:lineRule="auto" w:line="288" w:before="120" w:after="120"/>
        <w:ind w:left="0" w:right="0" w:firstLine="720"/>
        <w:jc w:val="both"/>
        <w:rPr/>
      </w:pPr>
      <w:r>
        <w:rPr>
          <w:rFonts w:ascii="Times New Roman;serif" w:hAnsi="Times New Roman;serif"/>
          <w:b/>
          <w:i/>
          <w:color w:val="000000"/>
          <w:sz w:val="18"/>
        </w:rPr>
        <w:t>Experienced Management Team</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Our management team plays a significant role in establishing and maintaining long-term relationships with our customers, supporting the growth of our business, integrating acquired businesses and managing the financial aspects of our operations. Our executive management team, business unit presidents and project management teams have broad industry experience and a deep understanding of our customers and their requirements. Key management personnel of acquired businesses generally continue to work for us under employment or services agreements.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Sustainability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a leading engineering and infrastructure construction services provider, we are committed to conducting our operations in a safe, fair and socially and environmentally responsible manner that benefits our stakeholders, including our employees, customers, subcontractors, suppliers, investors and the communities in which we operate. Sustainability principles and practices are embedded within our strategy, risk management and day-to-day operations. We strive to be recognized as a company that achieves our customers’ expectations safely, fairly and profitably, and in a manner that is environmentally responsible, socially aware and rewarding for all our stakeholders. We strive to achieve these goals through an organizational structure that provides excellent service delivery; establishes a reputation of integrity within the communities in which we work; and provides our team members growth opportunities, respect and fairness in a merit-based and injury-free environment.</w:t>
      </w:r>
    </w:p>
    <w:p>
      <w:pPr>
        <w:pStyle w:val="TextBody"/>
        <w:bidi w:val="0"/>
        <w:spacing w:lineRule="auto" w:line="288" w:before="120" w:after="120"/>
        <w:ind w:left="0" w:right="0" w:firstLine="720"/>
        <w:jc w:val="both"/>
        <w:rPr/>
      </w:pPr>
      <w:r>
        <w:rPr>
          <w:rFonts w:ascii="Times New Roman;serif" w:hAnsi="Times New Roman;serif"/>
          <w:b/>
          <w:i/>
          <w:color w:val="000000"/>
          <w:sz w:val="18"/>
        </w:rPr>
        <w:t>Sustainability Governance</w:t>
      </w:r>
      <w:r>
        <w:rPr>
          <w:rFonts w:ascii="Times New Roman;serif" w:hAnsi="Times New Roman;serif"/>
          <w:b w:val="false"/>
          <w:color w:val="000000"/>
          <w:sz w:val="18"/>
        </w:rPr>
        <w:t>. We believe that sustainability principles are central to our mission and success. The Nominating, Sustainability and Corporate Governance Committee of our Board of Directors has oversight of sustainability matters for MasTec, including overseeing and periodically reviewing MasTec’s approach to considering, evaluating and integrating corporate governance and sustainability matters, including climate-related and other environmental and social matters, into our business strategy and decision-making processes.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sustainability reporting is guided by the concepts and disclosures under the Sustainability Accounting Standards Board (“SASB”) for the Engineering and Construction Services Industry and the Task Force on Climate-Related Disclosures (“TCFD”). We continue to develop our processes and reporting for sustainability-related matters. Our Sustainability Report, including our SASB and TCFD reference tables and our Climate-Related Financial Risk Disclosure Report, along with our Nominating, Sustainability and Corporate Governance Board Committee charter and our policies on Human and Labor Rights and Safety, Health and Environmental matters, can be found on our website at mastec.com. No reference to our website or our website address in this report constitutes incorporation by reference of the information contained on the website and such information is not part of this report.</w:t>
      </w:r>
    </w:p>
    <w:p>
      <w:pPr>
        <w:pStyle w:val="TextBody"/>
        <w:bidi w:val="0"/>
        <w:spacing w:lineRule="auto" w:line="288" w:before="0" w:after="0"/>
        <w:ind w:left="0" w:right="0" w:firstLine="720"/>
        <w:jc w:val="both"/>
        <w:rPr/>
      </w:pPr>
      <w:r>
        <w:rPr>
          <w:rFonts w:ascii="Times New Roman;serif" w:hAnsi="Times New Roman;serif"/>
          <w:b/>
          <w:i/>
          <w:color w:val="000000"/>
          <w:sz w:val="18"/>
        </w:rPr>
        <w:t>Stakeholder Engagement</w:t>
      </w:r>
      <w:r>
        <w:rPr>
          <w:rFonts w:ascii="Times New Roman;serif" w:hAnsi="Times New Roman;serif"/>
          <w:b w:val="false"/>
          <w:color w:val="000000"/>
          <w:sz w:val="18"/>
        </w:rPr>
        <w:t xml:space="preserve">. Stakeholder engagement is a key element of our sustainability efforts and communications. We regularly engage with our investors, employees, customers, subcontractors, suppliers and communities to understand the priority sustainability issues for our business. MasTec also conducts assessments of sustainability factors that may be material to its business. The feedback we receive from these engagement efforts informs our understanding of the issues that are most significant to our stakeholders. We seek to monitor these issues and effectively communicate with our stakeholders to strengthen these relationships. </w:t>
      </w:r>
    </w:p>
    <w:p>
      <w:pPr>
        <w:pStyle w:val="TextBody"/>
        <w:bidi w:val="0"/>
        <w:spacing w:lineRule="auto" w:line="288" w:before="120" w:after="120"/>
        <w:ind w:left="0" w:right="0" w:firstLine="360"/>
        <w:jc w:val="both"/>
        <w:rPr>
          <w:rFonts w:ascii="Times New Roman;serif" w:hAnsi="Times New Roman;serif"/>
          <w:b/>
          <w:color w:val="000000"/>
          <w:sz w:val="18"/>
        </w:rPr>
      </w:pPr>
      <w:r>
        <w:rPr>
          <w:rFonts w:ascii="Times New Roman;serif" w:hAnsi="Times New Roman;serif"/>
          <w:b/>
          <w:color w:val="000000"/>
          <w:sz w:val="18"/>
        </w:rPr>
        <w:t>Investing and Building for the Future</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are committed to working together with our customers to expand, strengthen, diversify and upgrade our nation’s infrastructure – to build better, stronger and more versatile infrastructure to address the opportunities and challenges of our nation’s future. Investment in sustainable business opportunities is a key component of our business strategy for future growth. Through the construction services we provide, we help to modernize, connect and make our communities safer and more sustainable while helping to build our nation’s infrastructure, including the development and expansion of our nation’s clean energy footprint and the transformation of power delivery infrastructure to support the advancement of lower carbon energy sources, as well as the upgrade and development of pipeline infrastructure, including for water infrastructure and carbon capture sequestration. Our telecommunications and install-to-the home services are expected to play a key role in expanding connectivity to and within homes and communities, including in rural areas, and, together with the development of AI and IoT technologies and improvements in wireless technologies, assisting in the transformation of our nation’s telecommunications infrastructure to better serve and connect communities and businesses across the United States. </w:t>
      </w:r>
    </w:p>
    <w:p>
      <w:pPr>
        <w:pStyle w:val="TextBody"/>
        <w:bidi w:val="0"/>
        <w:spacing w:lineRule="auto" w:line="288" w:before="120" w:after="120"/>
        <w:ind w:left="0" w:right="0" w:firstLine="720"/>
        <w:jc w:val="both"/>
        <w:rPr/>
      </w:pPr>
      <w:r>
        <w:rPr>
          <w:rFonts w:ascii="Times New Roman;serif" w:hAnsi="Times New Roman;serif"/>
          <w:b/>
          <w:i/>
          <w:color w:val="000000"/>
          <w:sz w:val="18"/>
        </w:rPr>
        <w:t>Clean energy infrastructure</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 xml:space="preserve">As a leading North American clean energy contractor, we are committed to working with our customers to support the ongoing transition toward cleaner and more sustainable energy sources. Growing electricity demand and the need for more generation capacity is driving changes in U.S. energy infrastructure and diversification of energy sources, with increased reliance on renewable energy to meet these needs. Through our Clean Energy and Infrastructure segment, we provide engineering, procurement and construction services and project management solutions to the power market, with services across wind, solar, biofuels, waste-to-energy (WtE) and biogas, cogeneration or combined heat and power projects, gas and hydrogen-fired power projects, battery storage and other clean energy technologies. We anticipate expanding growth opportunities for clean energy infrastructure due to growing demand for renewable energy resources to meet increasing electricity demand, as well as continued interest in mitigating the effects of a changing climate. Our Clean Energy and Infrastructure segment revenue has grown significantly from $300 million in 2017 to approximately $4.7 billion in 2025. Our renewable and other clean energy technologies business, which represented approximately 3%, or $170 million of our consolidated revenue in 2017, has grown to approximately 19%, or $2.7 billion of our consolidated revenue in 2025. Assuming the trend towards diversification of power generation sources to sustainable and cost effective clean energy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07645"/>
                <wp:effectExtent l="0" t="0" r="0" b="0"/>
                <wp:wrapNone/>
                <wp:docPr id="11" name="Frame10"/>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sources continues, as well as a continued focus on the reduction of carbon emissions from cleaner, lower carbon energy sources, we believe that great opportunity lies ahead as we help our customers address these changing market demands. </w:t>
      </w:r>
    </w:p>
    <w:p>
      <w:pPr>
        <w:pStyle w:val="TextBody"/>
        <w:bidi w:val="0"/>
        <w:spacing w:lineRule="auto" w:line="288" w:before="0" w:after="0"/>
        <w:ind w:left="0" w:right="0" w:firstLine="720"/>
        <w:jc w:val="both"/>
        <w:rPr/>
      </w:pPr>
      <w:r>
        <w:rPr>
          <w:rFonts w:ascii="Times New Roman;serif" w:hAnsi="Times New Roman;serif"/>
          <w:b/>
          <w:i/>
          <w:color w:val="000000"/>
          <w:sz w:val="18"/>
        </w:rPr>
        <w:t>Power delivery infrastructure</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We believe the nation’s electrical transmission and distribution grid infrastructure will continue to require significant ongoing maintenance, upgrade and expansion to meet the expected increase in demand for electricity, resulting, in part, from the surge in electrification, including from AI-related data center demand and the acceleration of electrification across transportation, industrial processes and homes. As discussed above, demand for electricity is driving changes in energy infrastructure, including increased reliance on sustainable renewable power sources, which we believe will drive significant capital investment. Renewable energy accounted for 93% of 2025 U.S. electricity capacity additions through September 2025, and is projected to account for nearly half of total electricity generation by 2040. We build the infrastructure that connects our nation’s power generation sources to consumers, including infrastructure solutions that link remotely located renewable electric generation capacity to energy consumers and provide access to new renewable and efficient natural gas and other power generation sources, as well as grid updates to provide for the storage of electricity and to accommodate the supply and demand requirements of renewable energy sources. We also work with our customers to design and build innovative, smart energy solutions, including projects to digitize, modernize, secure and harden the grid, including from the potential effects of extreme and intensifying weather events, wildfire mitigation and restoration services and the upgrade of aging and overstressed electric infrastructure. Our projects improve the performance, safety, resiliency and efficiency of the nation’s electrical grid and advance the goal of modern, smart energy solutions for our nation’s future, as well as the development of new infrastructure to address the changing energy supply and diversification of power generation sources to sustainable and cleaner, lower-carbon energy sources.</w:t>
      </w:r>
    </w:p>
    <w:p>
      <w:pPr>
        <w:pStyle w:val="TextBody"/>
        <w:bidi w:val="0"/>
        <w:spacing w:lineRule="auto" w:line="288" w:before="120" w:after="120"/>
        <w:ind w:left="0" w:right="0" w:firstLine="720"/>
        <w:jc w:val="both"/>
        <w:rPr/>
      </w:pPr>
      <w:r>
        <w:rPr>
          <w:rFonts w:ascii="Times New Roman;serif" w:hAnsi="Times New Roman;serif"/>
          <w:b/>
          <w:i/>
          <w:color w:val="000000"/>
          <w:sz w:val="18"/>
        </w:rPr>
        <w:t>Telecommunications infrastructure</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We build wireless and wireline/fiber infrastructure that connects communities and improves communications infrastructure across our nation. Demand for telecommunications infrastructure has accelerated in recent years, including from increased usage of mobile and remote technologies, streaming, e-commerce, AI applications and from advancements in the IoT. Technological advances that improve speed, connectivity and bandwidth across our nation, including in dense urban areas and in rural communities, are expected to serve as the foundation for transformative technological innovations, including enhanced AI applications and other advances in connected technologies such as ‘Smart City’ and other urbanization projects, Smart Factory, Smart Farming and Smart Home technologies. 5G, the next generation of wireless and fixed wireless access, is expected to provide a platform for the IoT, which can be harnessed to drive innovation and improvements in commerce and serve as the foundation for transformative technological innovations, including in transportation, supply chain, research, healthcare, education, public safety, industrial applications and entertainment, which innovations have the potential to improve living standards across all communities, transform how businesses operate and reduce our nation’s carbon footprint. We are participating in the buildout of our nation’s telecommunications infrastructure, helping to revolutionize telecommunications technologies across the U.S.</w:t>
      </w:r>
    </w:p>
    <w:p>
      <w:pPr>
        <w:pStyle w:val="TextBody"/>
        <w:bidi w:val="0"/>
        <w:spacing w:lineRule="auto" w:line="288" w:before="120" w:after="120"/>
        <w:ind w:left="0" w:right="0" w:firstLine="720"/>
        <w:jc w:val="both"/>
        <w:rPr/>
      </w:pPr>
      <w:r>
        <w:rPr>
          <w:rFonts w:ascii="Times New Roman;serif" w:hAnsi="Times New Roman;serif"/>
          <w:b/>
          <w:i/>
          <w:color w:val="000000"/>
          <w:sz w:val="18"/>
        </w:rPr>
        <w:t>Pipeline infrastructure and carbon initiatives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Investments in pipeline integrity and line maintenance promote environmental and public safety, including methane reduction initiatives, while enhancing the safety, productivity and useful lives of our customers’ assets. Our natural gas construction services, which represented $1.6 billion, or 11% of our revenue in 2025, help our customers access and distribute cleaner burning, lower carbon emission natural gas throughout the United States. With continued growth in power generation from renewable energy sources, natural gas provides an important baseload backup power source to support intermittent renewable energy sources. Additionally, pipeline infrastructure provides a lower carbon emission and environmentally safer transportation alternative for energy products versus truck and rail transport.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Ongoing decarbonization efforts and carbon emission reduction initiatives are expected to drive demand for carbon capture sequestration technologies, as well as the use of hydrogen as a clean energy power source. Pipeline infrastructure is expected to play a key role in the transformation and diversification of power generation sources, which could involve construction of new or repurposing of existing pipeline infrastructure for new applications, and in the development of carbon capture sequestration and hydrogen technologies, and we believe that we are well positioned to support these developing market trends.</w:t>
      </w:r>
    </w:p>
    <w:p>
      <w:pPr>
        <w:pStyle w:val="TextBody"/>
        <w:bidi w:val="0"/>
        <w:spacing w:lineRule="auto" w:line="288" w:before="120" w:after="120"/>
        <w:ind w:left="0" w:right="0" w:firstLine="720"/>
        <w:jc w:val="both"/>
        <w:rPr/>
      </w:pPr>
      <w:r>
        <w:rPr>
          <w:rFonts w:ascii="Times New Roman;serif" w:hAnsi="Times New Roman;serif"/>
          <w:b/>
          <w:i/>
          <w:color w:val="000000"/>
          <w:sz w:val="18"/>
        </w:rPr>
        <w:t>Water pipelines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Climate resilience, including weatherization efforts to reduce the impact of a changing climate and efforts to protect against droughts and floods, are among the drivers of efforts to address stormwater, wastewater and drinking water infrastructure needs. We build expansive water pipeline gathering networks and offer water pipeline services that increase the efficiency of water used in energy field operations in an environmentally-focused manner. In addition, our water pipeline services include projects that allow for the recycling of water, thereby reducing freshwater requirements as well as the amount of water disposed. Additionally, the use of water pipelines reduces the need for trucking, which saves time, money and reduces pollution and carbon emissions.</w:t>
      </w:r>
    </w:p>
    <w:p>
      <w:pPr>
        <w:pStyle w:val="TextBody"/>
        <w:bidi w:val="0"/>
        <w:spacing w:lineRule="auto" w:line="288" w:before="120" w:after="120"/>
        <w:ind w:left="0" w:right="0" w:firstLine="720"/>
        <w:jc w:val="both"/>
        <w:rPr/>
      </w:pPr>
      <w:r>
        <w:rPr>
          <w:rFonts w:ascii="Times New Roman;serif" w:hAnsi="Times New Roman;serif"/>
          <w:b/>
          <w:i/>
          <w:color w:val="000000"/>
          <w:sz w:val="18"/>
        </w:rPr>
        <w:t>Emergency restoration services</w:t>
      </w:r>
      <w:r>
        <w:rPr>
          <w:rFonts w:ascii="Times New Roman;serif" w:hAnsi="Times New Roman;serif"/>
          <w:b w:val="false"/>
          <w:color w:val="000000"/>
          <w:sz w:val="18"/>
        </w:rPr>
        <w:t>. The increased frequency and severity of weather and climate-related events, including hurricanes, wildfires and other storms, exacerbated by changing climate conditions, have accelerated the need for power and telecommunications reliability and restoration services. Our dedicated restoration crews help to restore power and telecommunications services, and provide both preventative and restoration efforts for wildfire-related events. Our crews are among those that are called upon to maintain and patrol electrical lines during high-risk periods, such as in periods of drought, high wind and extreme temperatures, so that power lines can be proactively and safely managed, as well as to assist with restoration efforts following wildfire events. We also provide wildfire mitigation services, including grid hardening and power line undergrounding, whereby power lines are buried in areas considered to be at high risk for fires. We also provide electrical grid hardening services in several regions of the country to reduce the risk of storm outages caused by damage to overhead power lines during a storm. These efforts include the movement of overhead power lines and related infrastructure underground, as well as replacement of wood poles with concrete or steel poles capable of withstanding significant storm events. MasTec is proud to work with and support communities affected by natural disasters, including repair and modernization efforts for telecommunications and electric grid infrastructure.</w:t>
      </w:r>
    </w:p>
    <w:p>
      <w:pPr>
        <w:pStyle w:val="TextBody"/>
        <w:bidi w:val="0"/>
        <w:spacing w:lineRule="auto" w:line="288" w:before="120" w:after="120"/>
        <w:ind w:left="0" w:right="0" w:firstLine="720"/>
        <w:jc w:val="both"/>
        <w:rPr/>
      </w:pPr>
      <w:r>
        <w:rPr>
          <w:rFonts w:ascii="Times New Roman;serif" w:hAnsi="Times New Roman;serif"/>
          <w:b/>
          <w:i/>
          <w:color w:val="000000"/>
          <w:sz w:val="18"/>
        </w:rPr>
        <w:t>Environmental planning, compliance and remediation</w:t>
      </w:r>
      <w:r>
        <w:rPr>
          <w:rFonts w:ascii="Times New Roman;serif" w:hAnsi="Times New Roman;serif"/>
          <w:b w:val="false"/>
          <w:color w:val="000000"/>
          <w:sz w:val="18"/>
        </w:rPr>
        <w:t>. Environmental planning and compliance are a top priority on all MasTec projects, and are a key element of construction projects across the nation. Our environmental services group specializes in all aspects of environmental planning, permitting and compliance within energy infrastructure. We have expertise in environmental inspection and compliance, environmental permitting, planning and pre-construction services, natural resources management, including wildlife and sensitive natural resource protection, siting and feasibility studies and community and government outreach designed to build lasting community relationships. We also have expertise in environmental remediation services, including site development, environmental site closure and coal combustion residuals management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07645"/>
                <wp:effectExtent l="0" t="0" r="0" b="0"/>
                <wp:wrapNone/>
                <wp:docPr id="12" name="Frame11"/>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360"/>
        <w:jc w:val="both"/>
        <w:rPr>
          <w:rFonts w:ascii="Times New Roman;serif" w:hAnsi="Times New Roman;serif"/>
          <w:b/>
          <w:color w:val="000000"/>
          <w:sz w:val="18"/>
        </w:rPr>
      </w:pPr>
      <w:r>
        <w:rPr>
          <w:rFonts w:ascii="Times New Roman;serif" w:hAnsi="Times New Roman;serif"/>
          <w:b/>
          <w:color w:val="000000"/>
          <w:sz w:val="18"/>
        </w:rPr>
        <w:t>Environmental Stewardship</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believe that we all play a role in environmental stewardship. We help our customers find solutions to their environmental goals and requirements and are likewise committed to responsibly managing the environmental impacts of our operations. Our customers rely on our expertise with governmental and regulatory agencies to meet increasingly stringent regulatory requirements. Environmental compliance matters, including those associated with climate-related matters, are an integral part of our business planning and decision-making processes. We believe in sustainable development and are committed to integrating biodiversity preservation principles into our operational practices. Our corporate policies and Code of Business Conduct and Ethics require that all applicable environmental regulations and compliance requirements are met in the course of our operations, and our planning processes incorporate procedures to ensure compliance with all such laws and regulations.</w:t>
      </w:r>
    </w:p>
    <w:p>
      <w:pPr>
        <w:pStyle w:val="TextBody"/>
        <w:bidi w:val="0"/>
        <w:spacing w:lineRule="auto" w:line="288" w:before="120" w:after="120"/>
        <w:ind w:left="0" w:right="0" w:firstLine="720"/>
        <w:jc w:val="both"/>
        <w:rPr/>
      </w:pPr>
      <w:r>
        <w:rPr>
          <w:rFonts w:ascii="Times New Roman;serif" w:hAnsi="Times New Roman;serif"/>
          <w:b/>
          <w:i/>
          <w:color w:val="000000"/>
          <w:sz w:val="18"/>
        </w:rPr>
        <w:t>Climate reporting, mitigation efforts and environmental initiatives</w:t>
      </w:r>
      <w:r>
        <w:rPr>
          <w:rFonts w:ascii="Times New Roman;serif" w:hAnsi="Times New Roman;serif"/>
          <w:b w:val="false"/>
          <w:color w:val="000000"/>
          <w:sz w:val="18"/>
        </w:rPr>
        <w:t>. We are committed to minimizing the effects of our operations on the climate and the environment and we endeavor to reduce our energy usage and greenhouse gas (“GHG”) emissions, also referred to as our “carbon footprint,” where possible. We seek to foster conservation and environmental awareness within our operations, and we endeavor to identify and incorporate energy, carbon footprint and water efficiency considerations into our project planning and execution. We understand the importance of tracking and managing climate-related matters, including GHG emissions, and are in the process of implementing an enterprise-wide GHG emission tracking and reporting system. We initiated our enterprise-wide carbon footprint project at the beginning of 2025, including implementation of a software platform. As of December 2025, we completed an initial carbon footprint calculation for a pilot group of entities and will continue to implement this newly built process and platform across MasTec in 2026. We are also evaluating processes that will improve our ability to identify and manage our climate-related risks and opportunities on an enterprise-wide basis.</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current carbon footprint reduction efforts include the implementation of fleet efficiency initiatives within our operations, including a focus on fleet utilization, rationalization and the use of Global Positioning System (“GPS”) technology in both routing and behavioral modifications. We have implemented GPS, smart idling and other advanced technologies in approximately 95% of our vehicle fleet operations to improve fleet efficiency, fuel consumption and safety. Additionally, certain of our operations have invested in equipment containing advanced emissions reduction technologies, helping to reduce our carbon footprint.</w:t>
      </w:r>
    </w:p>
    <w:p>
      <w:pPr>
        <w:pStyle w:val="TextBody"/>
        <w:bidi w:val="0"/>
        <w:spacing w:lineRule="auto" w:line="288" w:before="120" w:after="120"/>
        <w:ind w:left="0" w:right="0" w:firstLine="360"/>
        <w:jc w:val="both"/>
        <w:rPr>
          <w:rFonts w:ascii="Times New Roman;serif" w:hAnsi="Times New Roman;serif"/>
          <w:b/>
          <w:color w:val="000000"/>
          <w:sz w:val="18"/>
        </w:rPr>
      </w:pPr>
      <w:r>
        <w:rPr>
          <w:rFonts w:ascii="Times New Roman;serif" w:hAnsi="Times New Roman;serif"/>
          <w:b/>
          <w:color w:val="000000"/>
          <w:sz w:val="18"/>
        </w:rPr>
        <w:t>Community and Social Matters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At MasTec, we are proud to serve the communities in which we operate. Partnering with our communities and our customers is fundamental to our business operations. We plan and act for the future, for the long-term good of our company, our customers and our communities. We are active in our local communities and participate in charitable giving, community outreach and community building programs, including disaster relief efforts for communities affected by hurricanes, flooding and similar events. We also have an unwavering commitment to our team members in times of need. In addition to community outreach programs, we seek to develop strong relationships with our local communities, businesses, subcontractors and suppliers, and we have been recognized for our efforts in community and outreach programs by various organizations.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place a significant priority on respectful collaboration with our local communities, including indigenous communities, and we utilize indigenous community subcontractors and suppliers within our operations. We support our local communities by utilizing local businesses for goods and services, including for project crews and office operations, and we are active members of our local chambers of commerce and economic development organizations. Our community outreach programs include programs tailored to military veterans, who represented approximately 4% of our workforce in 2025.</w:t>
      </w:r>
    </w:p>
    <w:p>
      <w:pPr>
        <w:pStyle w:val="TextBody"/>
        <w:bidi w:val="0"/>
        <w:spacing w:lineRule="auto" w:line="288" w:before="120" w:after="120"/>
        <w:ind w:left="0" w:right="0" w:firstLine="360"/>
        <w:jc w:val="both"/>
        <w:rPr>
          <w:rFonts w:ascii="Times New Roman;serif" w:hAnsi="Times New Roman;serif"/>
          <w:b/>
          <w:color w:val="000000"/>
          <w:sz w:val="18"/>
        </w:rPr>
      </w:pPr>
      <w:r>
        <w:rPr>
          <w:rFonts w:ascii="Times New Roman;serif" w:hAnsi="Times New Roman;serif"/>
          <w:b/>
          <w:color w:val="000000"/>
          <w:sz w:val="18"/>
        </w:rPr>
        <w:t>Leadership and Governance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Integrity, honesty and fairness are at the heart of our Company. Our leadership team and Board of Directors are committed to fostering a strong organizational culture built upon accountability, business and personal ethics, integrity and compliance. We believe that an ethical culture builds credibility and trust. We hold ourselves accountable to the highest standards of professionalism, and respect the opinions, ideas and perspectives of our team members, customers, subcontractors, suppliers and those in the communities we serve. Among the ethical matters addressed in our Code of Business Conduct and Ethics are our policies on discrimination and harassment, ethical and fair business practices and compliance with insider trading policies, anti-bribery and anti-corruption guidelines and the Foreign Corrupt Practices Act. Training programs related to governance matters are routinely provided at intervals based on an employee’s position and responsibilities. We also expect our subcontractors and suppliers to maintain proper business conduct and ethics protocols.</w:t>
      </w:r>
    </w:p>
    <w:p>
      <w:pPr>
        <w:pStyle w:val="TextBody"/>
        <w:bidi w:val="0"/>
        <w:spacing w:lineRule="auto" w:line="288" w:before="120" w:after="120"/>
        <w:ind w:left="0" w:right="0" w:firstLine="720"/>
        <w:jc w:val="both"/>
        <w:rPr/>
      </w:pPr>
      <w:r>
        <w:rPr>
          <w:rFonts w:ascii="Times New Roman;serif" w:hAnsi="Times New Roman;serif"/>
          <w:b/>
          <w:i/>
          <w:color w:val="000000"/>
          <w:sz w:val="18"/>
        </w:rPr>
        <w:t>Governance Principles and Shareholder Alignment</w:t>
      </w:r>
      <w:r>
        <w:rPr>
          <w:rFonts w:ascii="Times New Roman;serif" w:hAnsi="Times New Roman;serif"/>
          <w:b w:val="false"/>
          <w:color w:val="000000"/>
          <w:sz w:val="18"/>
        </w:rPr>
        <w:t>. We seek to align the interests of our Board of Directors and management with those of our shareholders and other stakeholders, and we believe that an independent, well-diversified Board is an essential attribute of effective Board governance. Diverse backgrounds are integral to effective governance, risk management and business opportunity assessments, which are key components of creating long-term value. Our Board has racial, ethnic and gender diversity, with approximately 63% of our Board representing women or minorities as of December 31, 2025. Our Board also has a comprehensive and varied skill set, including members with executive leadership, financial, risk management, health and safety and relevant industry expertise.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management team and our Board of Directors have significant ownership in MasTec’s common stock, which further aligns their interests with those of our other shareholders.  Our single class capital structure is grounded on the “one-share, one-vote” principle, which we believe is aligned with strong corporate governance standards. We have detailed governance procedures, including our Audit Committee Charter, Compensation Committee Charter, our Nominating, Sustainability and Corporate Governance Committee Charter, and our Finance and Mergers and Acquisitions Committee Charter. These charters, as well as our comprehensive Code of Business Conduct and Ethics and Board of Director Governance Principles, can be viewed on the “Governance” tab at investors.mastec.com.</w:t>
      </w:r>
    </w:p>
    <w:p>
      <w:pPr>
        <w:pStyle w:val="TextBody"/>
        <w:bidi w:val="0"/>
        <w:spacing w:lineRule="auto" w:line="288" w:before="120" w:after="120"/>
        <w:ind w:left="0" w:right="0" w:firstLine="720"/>
        <w:jc w:val="both"/>
        <w:rPr/>
      </w:pPr>
      <w:r>
        <w:rPr>
          <w:rFonts w:ascii="Times New Roman;serif" w:hAnsi="Times New Roman;serif"/>
          <w:b/>
          <w:i/>
          <w:color w:val="000000"/>
          <w:sz w:val="18"/>
        </w:rPr>
        <w:t>Risk Mitigation Practices</w:t>
      </w:r>
      <w:r>
        <w:rPr>
          <w:rFonts w:ascii="Times New Roman;serif" w:hAnsi="Times New Roman;serif"/>
          <w:b w:val="false"/>
          <w:color w:val="000000"/>
          <w:sz w:val="18"/>
        </w:rPr>
        <w:t xml:space="preserve">. We believe that responsible corporate governance requires great attention to potential business and other risks. As part of our corporate risk mitigation strategy, we regularly assess potential risks and hazards within our business and operations, including potential risks associated with climate-related matters. Risk assessments are performed on an ongoing basis at both the organizational and at the project level. We have an enterprise-wide risk management process to support our strategic objectives and to enhance stakeholder value.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07645"/>
                <wp:effectExtent l="0" t="0" r="0" b="0"/>
                <wp:wrapNone/>
                <wp:docPr id="13" name="Frame12"/>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pPr>
      <w:r>
        <w:rPr>
          <w:rFonts w:ascii="Times New Roman;serif" w:hAnsi="Times New Roman;serif"/>
          <w:b w:val="false"/>
          <w:color w:val="000000"/>
          <w:sz w:val="18"/>
        </w:rPr>
        <w:t xml:space="preserve">executive leadership team manages this process, which is overseen by our Board of Directors, with periodic executive updates. We also apply a risk-based approach with respect to cybersecurity. We are committed to the privacy of employee, customer and company information and undertake significant efforts to protect this information, including personally identifiable information, which we maintain for our employees. We continually evaluate cyber risks to properly safeguard our systems and business operations. See </w:t>
      </w:r>
      <w:hyperlink w:anchor="if4b0bf616dbc41b2b15400916ea5db26_25">
        <w:r>
          <w:rPr>
            <w:rStyle w:val="InternetLink"/>
            <w:rFonts w:ascii="Times New Roman;serif" w:hAnsi="Times New Roman;serif"/>
            <w:b w:val="false"/>
            <w:color w:val="0000FF"/>
            <w:sz w:val="18"/>
            <w:u w:val="single"/>
          </w:rPr>
          <w:t>Item 1C.</w:t>
        </w:r>
      </w:hyperlink>
      <w:r>
        <w:rPr>
          <w:color w:val="000000"/>
        </w:rPr>
        <w:t xml:space="preserve"> “</w:t>
      </w:r>
      <w:r>
        <w:rPr>
          <w:rFonts w:ascii="Times New Roman;serif" w:hAnsi="Times New Roman;serif"/>
          <w:b w:val="false"/>
          <w:color w:val="000000"/>
          <w:sz w:val="18"/>
        </w:rPr>
        <w:t>Cybersecurity,” for additional details.</w:t>
      </w:r>
    </w:p>
    <w:p>
      <w:pPr>
        <w:pStyle w:val="TextBody"/>
        <w:bidi w:val="0"/>
        <w:spacing w:lineRule="auto" w:line="288" w:before="0" w:after="0"/>
        <w:ind w:left="0" w:right="0" w:firstLine="720"/>
        <w:jc w:val="both"/>
        <w:rPr/>
      </w:pPr>
      <w:r>
        <w:rPr>
          <w:rFonts w:ascii="Times New Roman;serif" w:hAnsi="Times New Roman;serif"/>
          <w:b/>
          <w:i/>
          <w:color w:val="000000"/>
          <w:sz w:val="18"/>
        </w:rPr>
        <w:t>Sustainability and Climate-Related Governance</w:t>
      </w:r>
      <w:r>
        <w:rPr>
          <w:rFonts w:ascii="Times New Roman;serif" w:hAnsi="Times New Roman;serif"/>
          <w:b w:val="false"/>
          <w:color w:val="000000"/>
          <w:sz w:val="18"/>
        </w:rPr>
        <w:t>. The Nominating, Sustainability and Corporate Governance Committee of the Board of Directors oversees and periodically reviews the Company’s integration of sustainability principles and practices, including for climate-related, biodiversity and other environmental matters, into MasTec’s business strategy and decision-making processes. The Committee also considers MasTec’s material sustainability risks and opportunities, including for climate-related matters, along with the full Board and MasTec management, and reviews and considers whether MasTec has appropriate policies, processes, strategies and initiatives in place to address such matters. The potential implications and financial impact of climate-related risks and opportunities remain uncertain, but we recognize that these risks and opportunities could be significant to our business. We regularly assess our business risks and opportunities, and we continue to develop and improve our processes to assess both the potential effects and magnitude of climate-related risks and opportunities on our operations, financial results and key business strategies, as guided by the recommendations of the TCFD.</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Strategy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key elements of our business strategy are as follows: </w:t>
      </w:r>
    </w:p>
    <w:p>
      <w:pPr>
        <w:pStyle w:val="TextBody"/>
        <w:bidi w:val="0"/>
        <w:spacing w:lineRule="auto" w:line="288" w:before="120" w:after="120"/>
        <w:ind w:left="0" w:right="0" w:firstLine="720"/>
        <w:jc w:val="both"/>
        <w:rPr/>
      </w:pPr>
      <w:r>
        <w:rPr>
          <w:rFonts w:ascii="Times New Roman;serif" w:hAnsi="Times New Roman;serif"/>
          <w:b/>
          <w:i/>
          <w:color w:val="000000"/>
          <w:sz w:val="18"/>
        </w:rPr>
        <w:t>Operational Excellence</w:t>
      </w:r>
      <w:r>
        <w:rPr>
          <w:rFonts w:ascii="Times New Roman;serif" w:hAnsi="Times New Roman;serif"/>
          <w:b/>
          <w:color w:val="000000"/>
          <w:sz w:val="18"/>
        </w:rPr>
        <w:t xml:space="preserve">. </w:t>
      </w:r>
      <w:r>
        <w:rPr>
          <w:rFonts w:ascii="Times New Roman;serif" w:hAnsi="Times New Roman;serif"/>
          <w:b w:val="false"/>
          <w:color w:val="000000"/>
          <w:sz w:val="18"/>
        </w:rPr>
        <w:t>We seek to effectively manage our projects and services to maintain appropriate profit margins and cash flows. We also strive to identify opportunities for leverage within our business, such as deploying resources across multiple customers and projects in order to enhance our operating effectiveness and utilization rates. We also seek to maintain strong working capital management practices. Our management team pursues actions and programs designed to achieve these goals, such as increasing accountability throughout our organization, effectively managing customer contract bidding procedures, prioritizing acquisition and operational integration, evaluating opportunities to improve our working capital cycle time, hiring and retaining experienced operating and financial professionals, and developing, expanding and integrating the use of financial systems and information technology capabilities, as well as implementing strong cybersecurity policies and practices, within our business.</w:t>
      </w:r>
    </w:p>
    <w:p>
      <w:pPr>
        <w:pStyle w:val="TextBody"/>
        <w:bidi w:val="0"/>
        <w:spacing w:lineRule="auto" w:line="288" w:before="120" w:after="120"/>
        <w:ind w:left="0" w:right="0" w:firstLine="720"/>
        <w:jc w:val="both"/>
        <w:rPr/>
      </w:pPr>
      <w:r>
        <w:rPr>
          <w:rFonts w:ascii="Times New Roman;serif" w:hAnsi="Times New Roman;serif"/>
          <w:b/>
          <w:i/>
          <w:color w:val="000000"/>
          <w:sz w:val="18"/>
        </w:rPr>
        <w:t>Focus on Growth Opportunities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We believe that our end-markets offer diverse and numerous growth opportunities, and we expect continued spending by key customers in many of the industries we serve. We expect development of wireless and wireline/fiber infrastructure; development of data center infrastructure, including the installation and connectivity of electrical systems; development of clean energy infrastructure; expansion, maintenance and upgrades of power delivery infrastructure, including electrical and gas transmission lines and distribution networks; development of pipeline infrastructure, including for water and carbon capture sequestration, and pipeline integrity work; and heavy civil and industrial infrastructure construction projects to be areas of investment and opportunity in the coming years. We intend to use our broad geographic presence, technical expertise, financial and operational resources, customer relationships and full range of services to capitalize on these trends and grow our business.</w:t>
      </w:r>
    </w:p>
    <w:p>
      <w:pPr>
        <w:pStyle w:val="TextBody"/>
        <w:bidi w:val="0"/>
        <w:spacing w:lineRule="auto" w:line="288" w:before="120" w:after="120"/>
        <w:ind w:left="0" w:right="0" w:firstLine="720"/>
        <w:jc w:val="both"/>
        <w:rPr/>
      </w:pPr>
      <w:r>
        <w:rPr>
          <w:rFonts w:ascii="Times New Roman;serif" w:hAnsi="Times New Roman;serif"/>
          <w:b/>
          <w:i/>
          <w:color w:val="000000"/>
          <w:sz w:val="18"/>
        </w:rPr>
        <w:t>Effective Capital Structure Management</w:t>
      </w:r>
      <w:r>
        <w:rPr>
          <w:rFonts w:ascii="Times New Roman;serif" w:hAnsi="Times New Roman;serif"/>
          <w:b w:val="false"/>
          <w:color w:val="000000"/>
          <w:sz w:val="18"/>
        </w:rPr>
        <w:t xml:space="preserve">. We have made significant investments in transformational acquisition activities over the past few years and have maintained investment grade rating since 2021. We expect to manage our capital structure in the future to maintain this credit rating and we believe that we have sufficient capital resources to fund our planned operations. We have a senior unsecured credit facility that is composed of $1.9 billion of revolving commitments as of December 31, 2025, under which we had approximately $1,725 million of revolving loan borrowing availability as of December 31, 2025. We may consider opportunities to borrow additional funds, refinance, repurchase or retire outstanding debt, or repurchase shares of our common stock as part of our ongoing capital structure evaluation. See </w:t>
      </w:r>
      <w:hyperlink w:anchor="if4b0bf616dbc41b2b15400916ea5db26_46">
        <w:r>
          <w:rPr>
            <w:rStyle w:val="InternetLink"/>
            <w:rFonts w:ascii="Times New Roman;serif" w:hAnsi="Times New Roman;serif"/>
            <w:b w:val="false"/>
            <w:color w:val="0000FF"/>
            <w:sz w:val="18"/>
            <w:u w:val="single"/>
          </w:rPr>
          <w:t>Item 7.</w:t>
        </w:r>
      </w:hyperlink>
      <w:r>
        <w:rPr>
          <w:color w:val="000000"/>
        </w:rPr>
        <w:t xml:space="preserve"> “</w:t>
      </w:r>
      <w:r>
        <w:rPr>
          <w:rFonts w:ascii="Times New Roman;serif" w:hAnsi="Times New Roman;serif"/>
          <w:b w:val="false"/>
          <w:color w:val="000000"/>
          <w:sz w:val="18"/>
        </w:rPr>
        <w:t>Management’s Discussion and Analysis of Financial Condition and Results of Operations - Summary of Financial Condition, Liquidity and Capital Resources,” for discussion of our capital resources and recent activities.</w:t>
      </w:r>
    </w:p>
    <w:p>
      <w:pPr>
        <w:pStyle w:val="TextBody"/>
        <w:bidi w:val="0"/>
        <w:spacing w:lineRule="auto" w:line="288" w:before="120" w:after="120"/>
        <w:ind w:left="0" w:right="0" w:firstLine="720"/>
        <w:jc w:val="both"/>
        <w:rPr/>
      </w:pPr>
      <w:r>
        <w:rPr>
          <w:rFonts w:ascii="Times New Roman;serif" w:hAnsi="Times New Roman;serif"/>
          <w:b/>
          <w:i/>
          <w:color w:val="000000"/>
          <w:sz w:val="18"/>
        </w:rPr>
        <w:t>Leverage Core Performance and Expertise through Strategic Acquisitions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 xml:space="preserve">We pursue selected acquisitions, investments and strategic arrangements that allow us to expand our operations, service offerings, customer base or geographic reach. We have diversified our business and expanded our service offerings and geographic footprint in recent years, both organically and through acquisitions. For discussion of our recent acquisitions, see </w:t>
      </w:r>
      <w:hyperlink w:anchor="if4b0bf616dbc41b2b15400916ea5db26_46">
        <w:r>
          <w:rPr>
            <w:rStyle w:val="InternetLink"/>
            <w:rFonts w:ascii="Times New Roman;serif" w:hAnsi="Times New Roman;serif"/>
            <w:b w:val="false"/>
            <w:color w:val="0000FF"/>
            <w:sz w:val="18"/>
            <w:u w:val="single"/>
          </w:rPr>
          <w:t>Item 7.</w:t>
        </w:r>
      </w:hyperlink>
      <w:r>
        <w:rPr>
          <w:color w:val="000000"/>
        </w:rPr>
        <w:t xml:space="preserve"> “</w:t>
      </w:r>
      <w:r>
        <w:rPr>
          <w:rFonts w:ascii="Times New Roman;serif" w:hAnsi="Times New Roman;serif"/>
          <w:b w:val="false"/>
          <w:color w:val="000000"/>
          <w:sz w:val="18"/>
        </w:rPr>
        <w:t>Management’s Discussion and Analysis of Financial Condition and Results of Operations - Business.” In our efforts to maximize the potential of the businesses we acquire, we work to integrate them into our operations and internal control environment in a timely and efficient manner. We evaluate our business and operations on a regular basis, and from time to time, we may divest certain businesses or assets or curtail selected business activities or operations that do not produce adequate revenue or margin or those that no longer fit within our long-term business strategy.</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Services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core services are the engineering, building, installation, maintenance and upgrade of infrastructure, primarily for providers of communications, utility, power (including renewable and other energy generation sources), civil and transportation infrastructure. We also provide certain other services. The services we provide to our customers primarily encompass the following:</w:t>
      </w:r>
    </w:p>
    <w:p>
      <w:pPr>
        <w:pStyle w:val="TextBody"/>
        <w:bidi w:val="0"/>
        <w:spacing w:lineRule="auto" w:line="288" w:before="120" w:after="120"/>
        <w:ind w:left="0" w:right="0" w:firstLine="720"/>
        <w:jc w:val="both"/>
        <w:rPr/>
      </w:pPr>
      <w:r>
        <w:rPr>
          <w:rFonts w:ascii="Times New Roman;serif" w:hAnsi="Times New Roman;serif"/>
          <w:b/>
          <w:i/>
          <w:color w:val="000000"/>
          <w:sz w:val="18"/>
        </w:rPr>
        <w:t>Build</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We build infrastructure for customers across a range of industries. We specialize in building infrastructure for wireless and wireline/fiber communications; clean energy infrastructure, including for renewable energy power generation; pipeline infrastructure, including for natural gas, water, carbon capture sequestration and other product transport; power delivery services, including electrical and gas transmission and distribution systems; industrial and heavy civil infrastructure, including roads, bridges and rail; and water infrastructure.</w:t>
      </w:r>
    </w:p>
    <w:p>
      <w:pPr>
        <w:pStyle w:val="TextBody"/>
        <w:bidi w:val="0"/>
        <w:spacing w:lineRule="auto" w:line="288" w:before="120" w:after="120"/>
        <w:ind w:left="0" w:right="0" w:firstLine="720"/>
        <w:jc w:val="both"/>
        <w:rPr/>
      </w:pPr>
      <w:r>
        <w:rPr>
          <w:rFonts w:ascii="Times New Roman;serif" w:hAnsi="Times New Roman;serif"/>
          <w:b/>
          <w:i/>
          <w:color w:val="000000"/>
          <w:sz w:val="18"/>
        </w:rPr>
        <w:t>Install</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We install electrical and gas distribution and transmission systems, power generation, civil and industrial facilities, pipelines, fiber optic and other cables, and provide various install-to-the-home services in a variety of environments for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07645"/>
                <wp:effectExtent l="0" t="0" r="0" b="0"/>
                <wp:wrapNone/>
                <wp:docPr id="14" name="Frame1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pPr>
      <w:r>
        <w:rPr>
          <w:rFonts w:ascii="Times New Roman;serif" w:hAnsi="Times New Roman;serif"/>
          <w:b/>
          <w:i/>
          <w:color w:val="000000"/>
          <w:sz w:val="18"/>
        </w:rPr>
        <w:t>Maintain, Upgrade and Other Services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We offer 24 hour/365 days-a-year maintenance and upgrade support to our customers. Our comprehensive service offerings include the regular maintenance of our customers’ distribution facilities, networks and infrastructure, including communications, power generation, pipeline, electrical distribution and transmission and civil and industrial infrastructure. We also provide emergency restoration services following natural disasters and accidents, and we perform environmental planning, compliance and remediation. Our upgrade work ranges from routine replacements and upgrades to major overhauls.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Customers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longstanding relationships with many customers, and often provide services under master service and other service agreements, which are generally multi-year agreements. Our master service agreements are typically exclusive up to a specified dollar amount per work order for each defined geographic area, but do not obligate our customers to undertake any infrastructure projects or other work with us. Work performed under master service and other service agreements is usually generated through work orders, each of which is performed for a fixed fee. Services provided under these agreements range from construction, installation, maintenance and upgrade services to project management and engineering services. Master service and other service agreements are frequently awarded on a competitive bidding basis, although customers are sometimes willing to negotiate contract extensions beyond their original terms without re-bidding. Our master service and other service agreements have various terms, depending upon the nature of the services provided, and typically provide for termination on short or no advance notice. For the years ended December 31, 2025, 2024 and 2023, revenue derived from projects performed under master service and other service agreements totaled 44%, 41% and 40%, respectively, of consolidated revenue.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remainder of our work is generated pursuant to contracts for specific projects or jobs requiring the construction and installation of an entire infrastructure system or specified units within an entire infrastructure system. Customers are billed with varying frequency, the timing of which is generally dependent upon advance billing terms, milestone billings based on completion of certain phases of the work, or when services are provided. Under the typical payment terms of master and other service agreements and contracts for specific projects, the customer makes progress payments based on quantifiable measures of performance as defined in the agreements. Some of our contracts include retainage provisions, under which a portion of the contract amount (generally, from 5% to 10% of billings) can be retained by the customer until final contract settlement.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believe that our industry experience, technical expertise, broad service capabilities, operational scalability, geographic reach, financial stability and reputation for reliability, efficiency and customer service, as well as the relationships developed between our customers and our senior management and project management teams are important to our being selected and retained by our customers. See Note 14 - Segments and Related Information and Note 15 - Commitments and Contingencies in the notes to the audited consolidated financial statements, which are incorporated by reference, for customer concentration information.</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Backlog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74% of our estimated year-end 2025 backlog in 2026. The following table presents 18-month estimated backlog by reportable segment as of the dates indicated:</w:t>
      </w:r>
    </w:p>
    <w:tbl>
      <w:tblPr>
        <w:tblW w:w="8197" w:type="dxa"/>
        <w:jc w:val="center"/>
        <w:tblInd w:w="0" w:type="dxa"/>
        <w:tblLayout w:type="fixed"/>
        <w:tblCellMar>
          <w:top w:w="28" w:type="dxa"/>
          <w:left w:w="28" w:type="dxa"/>
          <w:bottom w:w="28" w:type="dxa"/>
          <w:right w:w="28" w:type="dxa"/>
        </w:tblCellMar>
      </w:tblPr>
      <w:tblGrid>
        <w:gridCol w:w="955"/>
        <w:gridCol w:w="841"/>
        <w:gridCol w:w="844"/>
        <w:gridCol w:w="318"/>
        <w:gridCol w:w="1050"/>
        <w:gridCol w:w="177"/>
        <w:gridCol w:w="109"/>
        <w:gridCol w:w="109"/>
        <w:gridCol w:w="109"/>
        <w:gridCol w:w="330"/>
        <w:gridCol w:w="1090"/>
        <w:gridCol w:w="184"/>
        <w:gridCol w:w="109"/>
        <w:gridCol w:w="109"/>
        <w:gridCol w:w="109"/>
        <w:gridCol w:w="344"/>
        <w:gridCol w:w="1138"/>
        <w:gridCol w:w="272"/>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Reportable Segment </w:t>
            </w:r>
            <w:r>
              <w:rPr>
                <w:rFonts w:ascii="Times New Roman;serif" w:hAnsi="Times New Roman;serif"/>
                <w:b/>
                <w:color w:val="000000"/>
                <w:sz w:val="16"/>
              </w:rPr>
              <w:t>(in millions)</w:t>
            </w:r>
            <w:r>
              <w:rPr>
                <w:rFonts w:ascii="Times New Roman;serif" w:hAnsi="Times New Roman;serif"/>
                <w:b/>
                <w:color w:val="000000"/>
                <w:sz w:val="18"/>
              </w:rPr>
              <w:t>:</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December 31, 2024 </w:t>
            </w:r>
            <w:r>
              <w:rPr>
                <w:rFonts w:ascii="Times New Roman;serif" w:hAnsi="Times New Roman;serif"/>
                <w:b/>
                <w:color w:val="000000"/>
                <w:sz w:val="10"/>
              </w:rPr>
              <w:t>(a)</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4,571 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18-month backlog</w:t>
            </w:r>
          </w:p>
        </w:tc>
        <w:tc>
          <w:tcPr>
            <w:tcW w:w="3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18,963 </w:t>
            </w:r>
          </w:p>
        </w:tc>
        <w:tc>
          <w:tcPr>
            <w:tcW w:w="1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16,780 </w:t>
            </w:r>
          </w:p>
        </w:tc>
        <w:tc>
          <w:tcPr>
            <w:tcW w:w="1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14,298 </w:t>
            </w:r>
          </w:p>
        </w:tc>
        <w:tc>
          <w:tcPr>
            <w:tcW w:w="2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Recast to reflect 2025 segment changes. See Note 14 - Segments and Related Information in the notes to the consolidated financial statements, which is incorporated by reference, for additional information.</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As of December 31, 2025, 47%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factors discussed in </w:t>
      </w:r>
      <w:hyperlink w:anchor="if4b0bf616dbc41b2b15400916ea5db26_46">
        <w:r>
          <w:rPr>
            <w:rStyle w:val="InternetLink"/>
            <w:rFonts w:ascii="Times New Roman;serif" w:hAnsi="Times New Roman;serif"/>
            <w:b w:val="false"/>
            <w:color w:val="0000FF"/>
            <w:sz w:val="18"/>
            <w:u w:val="single"/>
          </w:rPr>
          <w:t>Item 7.</w:t>
        </w:r>
      </w:hyperlink>
      <w:r>
        <w:rPr>
          <w:color w:val="000000"/>
        </w:rPr>
        <w:t xml:space="preserve"> “</w:t>
      </w:r>
      <w:r>
        <w:rPr>
          <w:rFonts w:ascii="Times New Roman;serif" w:hAnsi="Times New Roman;serif"/>
          <w:b w:val="false"/>
          <w:color w:val="000000"/>
          <w:sz w:val="18"/>
        </w:rPr>
        <w:t>Management’s Discussion and Analysis of Financial Condition and Results of Operations - General Economic, Market and Regulatory Conditions.” These effects, among others, could cause estimated revenue to be realized in periods later than originally expected, or not at all. We occasionally experience postponements, cancellations and reductions in expected future work due to these effects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audited consolidated financial statements, which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07645"/>
                <wp:effectExtent l="0" t="0" r="0" b="0"/>
                <wp:wrapNone/>
                <wp:docPr id="15" name="Frame14"/>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incorporated by reference. As of December 31, 2025, total 18-month backlog differed from the amount of our remaining performance obligations due primarily to the inclusion of $8.3 billion of estimated future revenue under master service and other service agreements within our backlog estimates, as described above, and the exclusion of approximately $4.0 billion of remaining performance obligations and estimated future revenue under master service and other service agreements in excess of 18 months, which amount is not included in the backlog estimates above. Backlog expected to be realized in 2026 differs from the amount of remaining performance obligations expected to be recognized for the same period due primarily to the inclusion of approximately $4.8 billion of estimated future revenue under master service and other service agreements included within our backlog estimate, which is not included within our remaining performance obligations for the same period.</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Sales and Marketing </w:t>
      </w:r>
    </w:p>
    <w:p>
      <w:pPr>
        <w:pStyle w:val="TextBody"/>
        <w:bidi w:val="0"/>
        <w:spacing w:lineRule="auto" w:line="288" w:before="120" w:after="120"/>
        <w:ind w:left="0" w:right="0" w:firstLine="720"/>
        <w:jc w:val="both"/>
        <w:rPr/>
      </w:pPr>
      <w:r>
        <w:rPr>
          <w:rFonts w:ascii="Times New Roman;serif" w:hAnsi="Times New Roman;serif"/>
          <w:b w:val="false"/>
          <w:color w:val="000000"/>
          <w:sz w:val="18"/>
        </w:rPr>
        <w:t>Our customers increasingly require resources from multiple disciplines. Therefore, our subsidiary services companies market their services not only individually, but also in combination with other companies, including other MasTec companies and independent companies, to provide what we believe are the most efficient and effective solutions to meet our customers’ demands. Through our unified MasTec</w:t>
      </w:r>
      <w:r>
        <w:rPr>
          <w:rFonts w:ascii="Times New Roman;serif" w:hAnsi="Times New Roman;serif"/>
          <w:b w:val="false"/>
          <w:color w:val="000000"/>
          <w:sz w:val="12"/>
        </w:rPr>
        <w:t>®</w:t>
      </w:r>
      <w:r>
        <w:rPr>
          <w:color w:val="000000"/>
        </w:rPr>
        <w:t xml:space="preserve"> </w:t>
      </w:r>
      <w:r>
        <w:rPr>
          <w:rFonts w:ascii="Times New Roman;serif" w:hAnsi="Times New Roman;serif"/>
          <w:b w:val="false"/>
          <w:color w:val="000000"/>
          <w:sz w:val="18"/>
        </w:rPr>
        <w:t>brand and an integrated organizational structure designed to permit rapid deployment of our services, we are able to quickly and efficiently allocate resources to meet customer needs. We offer services that are branded under the MasTec</w:t>
      </w:r>
      <w:r>
        <w:rPr>
          <w:rFonts w:ascii="Times New Roman;serif" w:hAnsi="Times New Roman;serif"/>
          <w:b w:val="false"/>
          <w:color w:val="000000"/>
          <w:sz w:val="12"/>
        </w:rPr>
        <w:t>®</w:t>
      </w:r>
      <w:r>
        <w:rPr>
          <w:color w:val="000000"/>
        </w:rPr>
        <w:t xml:space="preserve"> </w:t>
      </w:r>
      <w:r>
        <w:rPr>
          <w:rFonts w:ascii="Times New Roman;serif" w:hAnsi="Times New Roman;serif"/>
          <w:b w:val="false"/>
          <w:color w:val="000000"/>
          <w:sz w:val="18"/>
        </w:rPr>
        <w:t>service mark and other service marks.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We have a business development and marketing plan emphasizing the MasTec</w:t>
      </w:r>
      <w:r>
        <w:rPr>
          <w:rFonts w:ascii="Times New Roman;serif" w:hAnsi="Times New Roman;serif"/>
          <w:b w:val="false"/>
          <w:color w:val="000000"/>
          <w:sz w:val="12"/>
        </w:rPr>
        <w:t>®</w:t>
      </w:r>
      <w:r>
        <w:rPr>
          <w:color w:val="000000"/>
        </w:rPr>
        <w:t xml:space="preserve"> </w:t>
      </w:r>
      <w:r>
        <w:rPr>
          <w:rFonts w:ascii="Times New Roman;serif" w:hAnsi="Times New Roman;serif"/>
          <w:b w:val="false"/>
          <w:color w:val="000000"/>
          <w:sz w:val="18"/>
        </w:rPr>
        <w:t>registered service mark and trade names of certain acquired companies, as well as an integrated service offering to position ourselves as a provider of a full range of service solutions, providing services including installation as well as sophisticated engineering, design and integration. We believe that our longstanding relationships with our customers, industry expertise and our reputation for reliability, efficiency and customer service facilitate our potential and recurring business relationships. Our marketing efforts are principally carried out by the management of our business units and project groups in coordination with our corporate business development organization. Our management team has many years of industry experience, both at the service provider level, and in some cases, with the customers we serve. Our business unit and project group managers market directly to existing and potential customers for new contracts and also seek our inclusion on lists of vendors invited to submit proposals for service agreements and individual projects. We also market our services in conjunction with certain business partners, strategic investments and other arrangements. Our executive management team supplements these efforts at the national level.</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Safety and Insurance/Risk Management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a proactive safety culture and we strive to instill and enforce safe work habits in our employees. Our employees are required to participate in training programs relevant to their employment, including all those required by law. We actively train our workforce in everyday safety practices and provide detailed guidelines that are required to be followed as work tasks are contemplated and completed. Training programs are tailored to an employee’s job function, responsibilities and level of experience and are designed in accordance with industry best practices and standards. We evaluate employees in part based upon their safety records and the safety records of the employees they supervise. Team members are responsible for preventing incidents, injuries and occupational illnesses, and our project leadership team is tasked with ensuring that projects are accomplished in a safe, productive, environmentally and quality-focused manner. Our business units have established robust safety programs to monitor and improve compliance with safety procedures and regulations, and through our risk management programs, we educate our staff, subcontractors and suppliers on safety matters. We strive continuously to assess and improve our safety programs and performance. We also provide training for other workplace and risk management programs, including for cybersecurity, discrimination and harassment, human trafficking awareness, emergency preparedness and other workplace hazards, among others.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business involves the use of heavy equipment and exposure to potentially dangerous workplace conditions. While we are committed to operating safely and prudently, we are subject to claims by employees, customers and third parties for property damage and personal injuries that occur in connection with our work. Our insurance policies are subject to high deductibles and we are self-insured up to the amount of the deductible. We maintain insurance policies for workers’ compensation, general liability and automobile liability that are subject to per claim deductibles. In addition, we maintain excess umbrella coverage and an insurance policy with respect to employee group medical claims, which is subject to annual per employee maximum losses. We also manage certain of our insurance liabilities indirectly through our wholly-owned captive insurance company, which reimburses claims up to the applicable insurance limits. We are required to post collateral to certain of our insurance carriers, generally in the form of letters of credit, surety bonds and cash. See Note 15 - Commitments and Contingencies in the notes to the audited consolidated financial statements, which is incorporated by reference.</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Adverse climate and weather events, including drought conditions and high winds, have increased operational and legal risks in certain locations for us and other contractors. In particular, wildfire risks associated with electrical power and other infrastructure have increased the potential for liabilities and related costs (particularly as these events can be started by electrical power and other infrastructure on which we have performed services), which could adversely affect our financial results and position. We procure insurance from the commercial insurance market to cover a portion of such risks; however, limited capacity and high costs in insurance markets have increased our reliance on self-insurance for these exposures with respect to certain geographic areas.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Suppliers, Materials and Working Capital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Under many of our contracts, our customers provide the necessary materials and supplies for projects and we are responsible for the installation of, but not the cost or warranty of, those materials. Under certain other projects, we purchase the necessary materials and supplies on behalf of our customers from third-party providers. We are not dependent on any one vendor for project-related materials or supplies required for the projects we manage. We also depend on the availability of certain equipment to perform our services. We operate a diverse fleet of on-road and off-road equipment. Substantially all of our equipment is obtained from third-party vendors, and we are not dependent upon any single vendor for our equipment requirements. We also utilize independent contractors to assist on projects and to help us manage our work flow. Our independent contractors typically provide their own vehicles, tools and insurance coverage. We are not dependent on any single independent contractor. A number of factors that we may not be able to accurately predict or control could result in increased costs for, or delays in delivery of, materials and equipment, including supply chain disruptions.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07645"/>
                <wp:effectExtent l="0" t="0" r="0" b="0"/>
                <wp:wrapNone/>
                <wp:docPr id="16" name="Frame15"/>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 recent years, our industry was impacted by market-related supply chain disruptions, most notably constraints and delays affecting certain materials for our clean energy customers. While these supply chain disruptions have eased, our operations could be negatively affected in the future if such disruptions were to recur, or if geopolitical tensions exacerbate global supply constraints. For example, during the year ended December 31, 2025, the U.S. government announced or imposed a variety of tariff or other trade actions, in response to which many countries have announced retaliatory trade actions, including tariffs on U.S. exports or bans by foreign countries on certain of their exports. These actions have increased the cost of importing certain construction materials into the U.S., including steel, concrete, copper and solar panels, and have caused disruption and uncertainty to both international trade and supply chains. More recently, on February 20, 2026, the U.S. Supreme Court ruled that certain trade tariffs imposed by the U.S. federal government under the International Emergency Economic Powers Act (“IEEPA”) were unconstitutional. Following the U.S. Supreme Court’s decision, the U.S. presidential administration announced its intention to invoke other laws to collect tariffs and announced new tariffs on imports from all countries, in addition to any existing non-IEEPA tariffs. Significant uncertainty remains regarding the status of existing and newly announced tariffs, potential changes or pauses to such tariffs, tariff levels, and whether further additional tariffs or other retaliatory actions may be imposed, modified, or suspended. While the duration, extent and effects of these tariffs and trade actions cannot be predicted with certainty, these policy changes could impact our ability to execute projects and have a material adverse effect on our business, financial condition, and results of operations.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We need working capital to support seasonal variations in our business, including the effects of weather and other conditions on outdoor construction and maintenance work, the spending patterns of our customers and the effects of regulatory and market factors, all of which can influence the timing of spending to support related customer demand. See </w:t>
      </w:r>
      <w:hyperlink w:anchor="if4b0bf616dbc41b2b15400916ea5db26_46">
        <w:r>
          <w:rPr>
            <w:rStyle w:val="InternetLink"/>
            <w:rFonts w:ascii="Times New Roman;serif" w:hAnsi="Times New Roman;serif"/>
            <w:b w:val="false"/>
            <w:color w:val="0000FF"/>
            <w:sz w:val="18"/>
            <w:u w:val="single"/>
          </w:rPr>
          <w:t>Item 7.</w:t>
        </w:r>
      </w:hyperlink>
      <w:r>
        <w:rPr>
          <w:color w:val="000000"/>
        </w:rPr>
        <w:t xml:space="preserve"> “</w:t>
      </w:r>
      <w:r>
        <w:rPr>
          <w:rFonts w:ascii="Times New Roman;serif" w:hAnsi="Times New Roman;serif"/>
          <w:b w:val="false"/>
          <w:color w:val="000000"/>
          <w:sz w:val="18"/>
        </w:rPr>
        <w:t>Management’s Discussion and Analysis of Financial Condition and Results of Operations - Financial Condition, Liquidity and Capital Resources - Working Capital,” which is incorporated by reference.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Competition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industry is highly competitive and highly fragmented. We compete with a number of companies in the markets in which we operate, primarily large national firms, as well as small local independent companies. Certain barriers to entry exist in the markets in which we operate, including adequate financial resources, technical expertise, high safety ratings, established customer relationships and a proven track record of operational success. Some of our customers employ their own personnel to perform infrastructure services of the type we provide. We compete based upon our industry experience, technical expertise, financial and operational resources, geographic presence, industry reputation, safety record and reputation for customer service. While we believe that our customers consider a number of factors when selecting a service provider, they award most of their work through a bid process, and price is often a principal factor in determining which service provider is selected.</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Regulation and Environmental Matters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subject to state and federal laws that apply to businesses generally, including laws and regulations related to labor relations, wages, worker safety and environmental protection. While many of our customers operate in regulated industries, for example, utilities regulated by the public service commission or communications companies regulated by the Federal Communications Commission (“FCC”), we are generally not subject to such regulation and oversight. Our operations are, however, subject to numerous laws and regulations, among them:</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environmental laws and regulations;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regulations related to worker safety and health, including those established by the Occupational Safety and Health Administration (“OSHA”), Mine Safety and Health Administration (MSHA), and other local and state equivalents;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 xml:space="preserve">regulation relating to employment, including wage and hour regulations (e.g., Fair Labor Standards Act), I-9 regulations and regulations associated with our collective bargaining agreements and unionized workforce; </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regulations related to vehicle registrations, including those of the states and the U.S. Department of Transportation (“DOT”);</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contractor licensing requirements;</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permitting and inspection requirements;</w:t>
      </w:r>
    </w:p>
    <w:p>
      <w:pPr>
        <w:pStyle w:val="TextBody"/>
        <w:bidi w:val="0"/>
        <w:spacing w:lineRule="auto" w:line="288" w:before="120" w:after="120"/>
        <w:ind w:left="0" w:right="0" w:hanging="270"/>
        <w:jc w:val="both"/>
        <w:rPr>
          <w:color w:val="000000"/>
        </w:rPr>
      </w:pPr>
      <w:r>
        <w:rPr>
          <w:color w:val="000000"/>
        </w:rPr>
        <w:t>•    </w:t>
      </w:r>
      <w:r>
        <w:rPr>
          <w:rFonts w:ascii="Times New Roman;serif" w:hAnsi="Times New Roman;serif"/>
          <w:b w:val="false"/>
          <w:color w:val="000000"/>
          <w:sz w:val="18"/>
        </w:rPr>
        <w:t xml:space="preserve">building and electrical codes; </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cyber and other data protection and security requirements; and</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applicable U.S. and non-U.S. anti-corruption regulations.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subject to numerous environmental laws, regulations and programs, including with respect to the handling, transportation and disposal of non-hazardous and hazardous substances and wastes, laws governing emissions and discharges into the environment, including discharges into air, surface water, groundwater and soil, and programs related to the protection of endangered species and critical habitats. Our operations require careful adherence to environmental regulations because they could have impacts on groundwater, surface waters and other environmentally sensitive areas. Similarly, certain of our construction operations often require us to operate in remote areas involving environmentally sensitive habitats as well as areas that are subject to risk of wildfire.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a substantial investment in construction equipment that utilizes fuel. Any changes in laws requiring us to use equipment that runs on alternative power sources could require a significant investment, which could have a material adverse effect on our results of operations, cash flows and liquidity. We also are subject to laws and regulations that impose liability and cleanup responsibility for releases of hazardous substances into the environment. Under certain of these laws and regulations, liabilities can be imposed for cleanup of properties, regardless of whether we directly caused the contamination or violated any law at the time of discharge or disposal. The presence of contamination from such substances or wastes could interfere with ongoing operations or adversely affect our business.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we could be held liable for significant penalties and damages under certain environmental laws and regulations. Our contracts with customers may also impose liabilities on us regarding environmental issues that arise through the performance of our services. In addition,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07645"/>
                <wp:effectExtent l="0" t="0" r="0" b="0"/>
                <wp:wrapNone/>
                <wp:docPr id="17" name="Frame16"/>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could be subject to liability for legacy environmental matters arising from our recently acquired businesses. From time to time, we may incur unanticipated and substantial costs and obligations related to environmental compliance and/or remediation matters. We believe we have all material licenses and permits needed to conduct operations and that we are in material compliance with all applicable regulatory and environmental requirements. We could, however, incur significant liabilities if we fail to comply with such requirements.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there are environmental regulations under consideration to address climate change, regulate and report on emissions of GHG and encourage the use of clean energy technologies. We regularly monitor proposed regulations and legislation and have processes in place to adapt our business and operations, as necessary, to meet any such new requirements.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Financial Information About Geographic Areas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operate primarily in the United States and Canada. See Note 14 - Segments and Related Information in the notes to the audited consolidated financial statements, which is incorporated by reference.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Human Capital Management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At MasTec, our employees are an integral part of our growth and success. MasTec began as a family business, and every member of the MasTec team is considered part of the MasTec family. The safety, health and welfare of our employees is at the heart of our operations. We are committed to fairness and respect in the workplace and value the diverse and varied perspectives and experiences of our employees. We believe that our commitment to our employees, together with our team culture, fosters an environment of strong employee engagement. We are most productive when our employees are safe, healthy and engaged. We believe that our employees and our customers benefit from the collective and well-coordinated efforts that result from effective employee engagement, teamwork and collaboration, which, in turn, allows us to deliver the highest level of excellence to our stakeholders.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December 31, 2025, we had approximately 36,000 employees, of which approximately 9,000 were represented by unions or subject to collective bargaining agreements. Approximately 97% of our employees are located in the United States.</w:t>
      </w:r>
    </w:p>
    <w:p>
      <w:pPr>
        <w:pStyle w:val="TextBody"/>
        <w:bidi w:val="0"/>
        <w:spacing w:lineRule="auto" w:line="288" w:before="120" w:after="120"/>
        <w:ind w:left="0" w:right="0" w:firstLine="720"/>
        <w:jc w:val="both"/>
        <w:rPr/>
      </w:pPr>
      <w:r>
        <w:rPr>
          <w:rFonts w:ascii="Times New Roman;serif" w:hAnsi="Times New Roman;serif"/>
          <w:b/>
          <w:i/>
          <w:color w:val="000000"/>
          <w:sz w:val="18"/>
        </w:rPr>
        <w:t>Safety.</w:t>
      </w:r>
      <w:r>
        <w:rPr>
          <w:color w:val="000000"/>
        </w:rPr>
        <w:t xml:space="preserve"> </w:t>
      </w:r>
      <w:r>
        <w:rPr>
          <w:rFonts w:ascii="Times New Roman;serif" w:hAnsi="Times New Roman;serif"/>
          <w:b w:val="false"/>
          <w:color w:val="000000"/>
          <w:sz w:val="18"/>
        </w:rPr>
        <w:t>Safety is a core value at MasTec. It is a mindset that permeates all aspects of our operations, and an attitude that our employees exhibit, strongly and openly. We recognize the need of our workforce to have a safe workplace and are committed to maintaining a strong and sustainable safety culture within our organization. We continually evaluate our safety programs to protect our most important asset – our team members.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a proactive safety culture, and our safety leadership structure is designed to create accountability within each of our businesses and at the corporate level, with reporting to our executive management team. Our safety management process includes continuously monitoring, reporting and addressing our key safety performance indicators. Our “Zero Harm” culture is fundamental to our goal of world class safety performance, and we work to instill safety values in every team member, such that safe behavior becomes instinctive and automatic. We are driven by our commitment to safety and our “Zero Harm” culture to develop and implement safety programs and processes with safety excellence as our goal. We strive continuously to assess and improve our safety programs and performance and provide regular safety training and skill-level improvement programs, including: safety orientation for new employees, safety leadership training for our front-line leaders, OSHA construction outreach training, defensive driving and DOT training, operator qualification and electric worker training, excavation and ground penetration safety training, among others. We have adopted numerous safety initiatives throughout our organization, including fleet telematics applications.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Through our risk management programs and other safety initiatives, we educate our staff, subcontractors and suppliers on safety matters. The high standards of safety, incident prevention and hazard control that we expect within our operations are also expected of our subcontractors and suppliers. We have memberships and participate in numerous safety and other organizations that promote industry safety. Our safety performance is periodically recognized by our customers as well as by safety organizations.</w:t>
      </w:r>
    </w:p>
    <w:p>
      <w:pPr>
        <w:pStyle w:val="TextBody"/>
        <w:bidi w:val="0"/>
        <w:spacing w:lineRule="auto" w:line="288" w:before="120" w:after="120"/>
        <w:ind w:left="0" w:right="0" w:firstLine="720"/>
        <w:jc w:val="both"/>
        <w:rPr/>
      </w:pPr>
      <w:r>
        <w:rPr>
          <w:rFonts w:ascii="Times New Roman;serif" w:hAnsi="Times New Roman;serif"/>
          <w:b/>
          <w:i/>
          <w:color w:val="000000"/>
          <w:sz w:val="18"/>
        </w:rPr>
        <w:t>Health and Wellness.</w:t>
      </w:r>
      <w:r>
        <w:rPr>
          <w:color w:val="000000"/>
        </w:rPr>
        <w:t xml:space="preserve"> </w:t>
      </w:r>
      <w:r>
        <w:rPr>
          <w:rFonts w:ascii="Times New Roman;serif" w:hAnsi="Times New Roman;serif"/>
          <w:b w:val="false"/>
          <w:color w:val="000000"/>
          <w:sz w:val="18"/>
        </w:rPr>
        <w:t>Encouraging good health and following a healthy lifestyle is a MasTec philosophy. We encourage all our employees to take an active role in living a healthy lifestyle and offer wellness tools and resources to help achieve and maintain good health. We offer a comprehensive and flexible benefits program, including medical, dental, vision and prescription insurance, as well as access to telehealth services to assist employees with medical and mental health matters. In addition, to help our employees build a financially secure future, we offer a 401(k) plan with matching benefits, an employee stock purchase plan, life and disability insurance plans and a flexible spending account to help employees cover medical expenses. We also offer employees support for personal and work-life issues, including health, legal and financial matters.</w:t>
      </w:r>
    </w:p>
    <w:p>
      <w:pPr>
        <w:pStyle w:val="TextBody"/>
        <w:bidi w:val="0"/>
        <w:spacing w:lineRule="auto" w:line="288" w:before="120" w:after="120"/>
        <w:ind w:left="0" w:right="0" w:firstLine="720"/>
        <w:jc w:val="both"/>
        <w:rPr/>
      </w:pPr>
      <w:r>
        <w:rPr>
          <w:rFonts w:ascii="Times New Roman;serif" w:hAnsi="Times New Roman;serif"/>
          <w:b/>
          <w:color w:val="000000"/>
          <w:sz w:val="18"/>
        </w:rPr>
        <w:t>P</w:t>
      </w:r>
      <w:r>
        <w:rPr>
          <w:rFonts w:ascii="Times New Roman;serif" w:hAnsi="Times New Roman;serif"/>
          <w:b/>
          <w:i/>
          <w:color w:val="000000"/>
          <w:sz w:val="18"/>
        </w:rPr>
        <w:t>rofessional and Career Development.</w:t>
      </w:r>
      <w:r>
        <w:rPr>
          <w:color w:val="000000"/>
        </w:rPr>
        <w:t xml:space="preserve"> </w:t>
      </w:r>
      <w:r>
        <w:rPr>
          <w:rFonts w:ascii="Times New Roman;serif" w:hAnsi="Times New Roman;serif"/>
          <w:b w:val="false"/>
          <w:color w:val="000000"/>
          <w:sz w:val="18"/>
        </w:rPr>
        <w:t>We believe that professional development is essential to the success of our business, as it drives employee engagement and ensures that our team members have the requisite skills and training to deliver the highest level of excellence to our customers. Our employees’ career development begins with the onboarding process and continues throughout their careers. Ongoing training is designed to develop our employees’ technical, professional and leadership skills and is customized to meet the qualifications and requirements necessary for them to succeed in their positions. We invest significant resources in education, certification, training programs and other professional development opportunities, including apprenticeship- and leadership-oriented training programs, tuition reimbursement for qualified training programs, sponsored attendance at industry conferences, departmental and divisional leadership conferences, employee training centers and advancement opportunities within and across businesses and divisions. We seek to develop and cultivate current and future leaders, and design our training programs to create high performing teams, improve productivity, positively affect employee motivation and retention and further enhance career development opportunities. We believe that our team culture, along with competitive salary and benefits packages and our focus on employee training and career development, including opportunities for promotion and mobility within our organization, helps us to attract and retain a diverse, qualified and experienced workforce.</w:t>
      </w:r>
    </w:p>
    <w:p>
      <w:pPr>
        <w:pStyle w:val="TextBody"/>
        <w:bidi w:val="0"/>
        <w:spacing w:lineRule="auto" w:line="288" w:before="120" w:after="120"/>
        <w:ind w:left="0" w:right="0" w:firstLine="720"/>
        <w:jc w:val="both"/>
        <w:rPr/>
      </w:pPr>
      <w:r>
        <w:rPr>
          <w:rFonts w:ascii="Times New Roman;serif" w:hAnsi="Times New Roman;serif"/>
          <w:b/>
          <w:i/>
          <w:color w:val="000000"/>
          <w:sz w:val="18"/>
        </w:rPr>
        <w:t>Team Culture.</w:t>
      </w:r>
      <w:r>
        <w:rPr>
          <w:color w:val="000000"/>
        </w:rPr>
        <w:t xml:space="preserve"> </w:t>
      </w:r>
      <w:r>
        <w:rPr>
          <w:rFonts w:ascii="Times New Roman;serif" w:hAnsi="Times New Roman;serif"/>
          <w:b w:val="false"/>
          <w:color w:val="000000"/>
          <w:sz w:val="18"/>
        </w:rPr>
        <w:t xml:space="preserve">Our success depends upon the success of our team, which requires us to have exceptional team members, as well as an exceptional team. Teamwork is part of our culture and is one of our core values. We believe that our employees and our customers benefit from the collective and well-coordinated efforts that result from effective employee engagement, teamwork and collaboration. We seek to foster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07645"/>
                <wp:effectExtent l="0" t="0" r="0" b="0"/>
                <wp:wrapNone/>
                <wp:docPr id="18" name="Frame17"/>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environment of strong employee engagement through our commitment to our employees and our team culture. Our strong team culture, together with effective processes and people, allows us to consistently meet the needs of our customers and stakeholders.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committed to fostering an environment that offers fairness, respect and merit-based growth opportunities, where our employees can freely bring individual perspectives and varied experiences to work. We seek to attract the best talent and foster a culture of inclusion, teamwork, support and empowerment where all talented individuals have access to opportunities and can achieve success. Our commitment to fostering such an environment, together with our culture of belonging allows us to recruit and retain highly talented employees so that we are able to deliver exceptional results to our customers.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Available Information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 copy of this Form 10-K, as well as our Quarterly Reports on Form 10-Q, Current Reports on Form 8-K and any amendments to those reports filed or furnished pursuant to Section 13(a) or 15(d) of the Securities Exchange Act of 1934 are available free of charge on our website, www.mastec.com, as soon as reasonably practicable after we electronically file these reports with, or furnish these reports to, the Securities and Exchange Commission (the “SEC”). Copies of our Board of Directors Governance Principles and Code of Business Conduct and Ethics, which applies to all of our directors, officers, including our principal executive, financial and accounting officers, and employees and includes additional criteria that are applicable to our Chief Executive Officer, Chief Operating Officer, Chief Financial Officer and senior financial and other officers, and the charters for each of our Audit, Compensation, Finance and Mergers and Acquisitions, and Nominating, Sustainability and Corporate Governance Committees are also available on our website in the Investors section under the tab “Corporate Governance,” or may be obtained by contacting our Vice President of Investor Relations by phone at (305) 507-7304, or by email at investor.relations@mastec.com. We intend to provide any amendments or waivers to our Code of Business Conduct and Ethics for any of our directors and senior officers on our website within four business days of any such amendment or waiver. The reference to our website address does not constitute incorporation by reference of the information contained on the website and such information is not part of this report. Our reports filed with the SEC may be accessed at the SEC’s website at www.sec.gov.</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Use of our Website to Distribute Material Company Information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use our website as a channel of distribution for important Company information. We routinely post on our website important information, including press releases, investor presentations and financial information, which may be accessed by clicking on the Investors section of www.mastec.com. We also use our website to expedite public access to time-critical information regarding our Company in advance of or in lieu of distributing a press release or a filing with the SEC disclosing the same information. Therefore, investors should look to the Investors section of our website for important and time-critical information. Visitors to our website can also register to receive automatic e-mail and other notifications alerting them when new information is made available on the Investors section of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lineRule="auto" w:line="288" w:before="120" w:after="12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Our business is subject to a variety of risks and uncertainties, including, but not limited to, the risks and uncertainties described below. Additional risks and uncertainties not known to us or not described below could also negatively affect our operations. If any of the risks described below or other risks that are unknown to us were to occur, our business, financial condition, results of operations and cash flows could suffer, and/or the trading price of our common stock could decline. We also may not be able to achieve our goals or expectations. You should carefully consider the risks described below, together with all of the other information in this Form 10-K, including our Cautionary Statement Regarding Forward-Looking Statements above.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Risks Related to the Industries We Serve</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 xml:space="preserve">Changes to laws, governmental regulations and policies, including those pertaining to governmental permitting, tax incentives, government funding programs and spending policies, as well as advances in artificial intelligence, could affect demand for our services, or cause delays or cancellations of projects. Additionally, demand for construction services depends on industry activity and expenditure levels, which can be affected by a variety of political, macro-economic and market factors. Our inability or failure to adjust to such changes or factors could adversely affect our results of operations, cash flows and liquidity. </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industries we serve are subject to effects of new or changing governmental regulation, including for climate-related matters, governmental permitting, environmental approval processes, stricter enforcement of existing laws and regulations, climate change litigation, and political or social activism, any of which could result in reduced demand for our services, delays in the timing of projects, or cancellations of current or planned future projects. Many of our customers face stringent regulatory and environmental requirements and permitting processes, including governmental regulations and policies. Most of our communications customers are regulated by the FCC, and our energy customers are regulated by the Federal Energy Regulatory Commission, among others. In addition, our utility customers are regulated by state public utility commissions. These agencies or governments could change their interpretation of current regulations and/or may impose additional regulations, or change government funding programs or spending policies, including the potential for reduced support for renewable energy projects. Our customers could be adversely affected by regulatory initiatives or additional requirements, restrictions or legislation imposed by federal, state, local, or foreign governments, including from climate-related matters and/or any related changes in end-customer demand. The current U.S. administration has implemented various policies and actions that could inhibit wind or renewable energy development activity and, although to date these have been overturned by the courts, or are the subject of ongoing litigation, these policies and actions could create uncertainty that could cause customers to reduce the scope of, delay or cancel renewable energy projects. Additionally, the current U.S. administration has established initiatives to reform federal government processes and reduce expenditures. Implementation of these initiatives, along with pressures on and uncertainty surrounding the federal budget and budgetary priorities, could adversely affect funding and, as a result, demand for our services. These factors, as well as potential disruptions related to artificial intelligence in the industries we serve, could have an adverse effect on our customers and reduce demand for our services and adversely affect our results of operations, cash flows and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07645"/>
                <wp:effectExtent l="0" t="0" r="0" b="0"/>
                <wp:wrapNone/>
                <wp:docPr id="19" name="Frame18"/>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build renewable energy and other infrastructure for which the development may be partially dependent upon federal tax credits, including from the IIJA and IRA, and for renewable infrastructure, existing renewable portfolio standards and other federal or state tax incentives. The IIJA and IRA provide funding in many of the markets in which we operate. Delays and uncertainty related to the implementation and pace of spending, or to project permitting or other matters under the IIJA, IRA and/or other programs, has caused, and could continue to cause, uncertainty related to the timing of our current and future project work expectations. Additionally, elimination of, reduction of, or changes to the IIJA, IRA, existing renewable portfolio standards, environmental policies, tax incentives and/or similar programs could negatively affect demand for our services. In July 2025, OBBBA was signed into law, and while it extended many provisions of the Tax Cuts and Jobs Act of 2017 (“TCJA”), it also accelerated the phaseout of certain clean energy tax credits established under the IRA, including the clean electricity investment and clean energy production credits for solar and wind projects, which may reduce longer term demand for such projects. We cannot predict, however, whether, when, or to what extent these changes in governmental programs and spending policies will impact the industries in which we operate in the long term.</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All of the above factors could result in fewer projects than anticipated or a delay in the timing of these projects, which could negatively affect demand for our services and have a material adverse effect on our results of operations, cash flows and liquidity.</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Tariff and trade actions by the United States and other countries could have a material adverse effect on our business, financial condition, and results of operations.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year ended December 31, 2025, the U.S. government announced significant trade policy and tariff actions on imports from a broad set of countries, including Canada, Mexico, European Union member states, Japan, Germany and China, in response to which many countries announced retaliatory trade actions, including tariffs on U.S. exports or bans by foreign countries on certain of their exports. These actions have increased the cost of importing certain construction materials into the U.S., including steel, concrete and solar panels, and have caused disruption and uncertainty to both international trade and supply chains. More recently, on February 20, 2026, the U.S. Supreme Court ruled that certain trade tariffs imposed by the U.S. federal government under the IEEPA were unconstitutional. Following the U.S. Supreme Court’s decision, the U.S. presidential administration announced its intention to invoke other laws to collect tariffs and announced new tariffs on imports from all countries, in addition to any existing non-IEEPA tariffs. Significant uncertainty remains regarding the status of existing and newly announced tariffs, potential changes or pauses to such tariffs, tariff levels, and whether further additional tariffs or other retaliatory actions may be imposed, modified, or suspended.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duration, extent and effects of these tariffs and trade actions cannot be predicted with certainty but these and other trade policies could increase costs of key construction equipment and components thereof, as well as materials required for our customers’ projects (including steel, concrete, copper and solar panels), which could cause our customers to reconsider or reduce their capital expenditures, or could affect our customers’ capital spending plans and demand for our services. Accordingly, these trade actions and the widespread uncertainty and international tensions resulting therefrom, including, without limitation, effects on interest rates and on the value of the U.S. dollar relative to other currencies, could materially and adversely affect our business, financial condition and results of operations.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Unfavorable market conditions, including elevated levels of inflation and/or interest rates, supply chain disruptions, political regulatory or market uncertainty, including economic downturns and heightened geopolitical tensions and conflicts, could reduce capital expenditures in the industries we serve or could adversely affect our customers and result in decreased demand for our services.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Demand for our services has been, and will likely continue to be, cyclical in nature and vulnerable to unfavorable market conditions and/or downturns in the economy. Unfavorable market conditions, including elevated levels of inflation and/or interest rates, supply chain disruptions, political, regulatory or market uncertainty or public health matters could have a negative effect on demand for, or the profitability of, our customers’ services, which could have a material adverse effect on our business, financial condition and results of operations. We have been subject to, and may continue to be subject to, the general effect of elevated market interest rates and inflationary market pressures on our business, particularly with respect to labor, materials and fuel costs. Although the Federal Reserve lowered short-term interest rates in 2025, interest rates, particularly long-term rates, remain elevated. Additionally, inflationary conditions and general labor shortages over the past several years have resulted in wage inflation as well as increased competition for skilled labor. Inflation rates in the United States have increased significantly over the past several years and, while recent inflationary pressure has somewhat abated, we expect our labor, materials and fuel costs, in particular, to remain elevated if we continue to expand our operations and volume of work. We have not been, and may not be able to, fully adjust our contract pricing to compensate for these cost increases, which has affected, and may continue to affect, our profitability and cash flows. Inflationary pressures and the related elevated levels of market interest rates have caused, and could continue to cause, uncertainty for our customers, which has negatively affected, and could continue to negatively affect, their capital expenditure and maintenance budgets.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Should inflation persist or increase, interest rates could remain at elevated levels or increase, which, together with inflation, could have a significant negative effect on the economy in general, and on the construction industry in particular, as well as create volatility in the capital markets, which could adversely affect demand for our services, as well as our profitability, liquidity, cash flows and/or financial condition. We continually monitor general economic conditions and the market conditions of the industries our customers serve and their relative health compared to the economy as a whole. Uncertain or adverse economic or political conditions, the lack of availability of debt or equity financing and/or higher interest rates could cause our customers to reduce their capital spending or seek more favorable pricing and other contract terms and/or cause project cancellations or deferrals.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operations and/or our customers could be negatively affected by market-related supply chain disruptions caused by delays, shortages of, and increased costs for, the materials necessary to perform projects. While constraints and delays for certain materials, most notably, for certain of our clean energy customers, have eased, if such delays were to recur, it could affect our ability to perform these projects.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oil and gas markets have historically been and are likely to continue to be volatile. Demand for pipeline construction services is sensitive to levels of activity in the oil and gas industry, as well as industrial and utility customer demand and regulatory constraints. Oil and gas prices are subject to large fluctuations in response to changes in supply and demand, including from: production and export/import volatility, climate change policies, and demand for alternative energy sources; disruptions in global economic activity, including from global sanctions and blockades;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07645"/>
                <wp:effectExtent l="0" t="0" r="0" b="0"/>
                <wp:wrapNone/>
                <wp:docPr id="20" name="Frame19"/>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legislative and regulatory changes; and a variety of other factors that are beyond our control. Such market volatility can affect our customers’ investment decisions and subject us to project cancellations, deferrals or unexpected changes in the timing of project work.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addition, our operations and/or our customers, particularly in the Pipeline Infrastructure segment, could be negatively affected by market and political uncertainty, including from unrest and/or military actions involving oil-producing nations; and a variety of other factors that are beyond our control. Such market volatility can affect our customer’s investment decisions and subject us to project cancellations, deferrals or unexpected changes in the timing of project work. In particular, a reduction in the price of oil resulting from expanded oil supplies could reduce oil exploration activities that could adversely affect our Pipeline Infrastructure segment.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may face risks related to health epidemics and pandemics or other outbreaks of communicable diseases. For example, the COVID-19 pandemic created significant volatility, uncertainty and economic disruption, including significant volatility in the U.S. economy and financial markets for several years, and negatively affected our operations during that period. A public health epidemic or pandemic poses the risk that we or our employees, customers and/or business partners may be prevented from conducting ordinary course business activities for an indefinite period of time, or that the health crises and their related impacts may otherwise interrupt or affect business activities, or cause us to incur incremental operational costs or experience lower levels of overhead absorption from a reduction in revenue, which could negatively affect our margins and profitability. </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The industries we serve are highly competitive and subject to rapid technological and regulatory changes, as well as customer consolidation, any of which could result in decreased demand for our services and adversely affect our results of operations, cash flows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industry is highly fragmented, and we compete with a number of companies in the markets in which we operate, including large national firms that service regional and national markets, as well as small independent companies that service local markets. We also face competition from existing and prospective customers that employ in-house personnel to perform some of the services we provide. There are relatively few barriers to entry into certain of the markets in which we operate and, as a result, any organization that has adequate financial resources and access to technical expertise and skilled personnel may become a competitor. Most of our customers’ work is awarded through bid processes, and our project bids may not be successful. Our results of operations, cash flows and liquidity could be materially and adversely affected if we are unsuccessful in bidding for projects or renewing our master service agreements, or if our ability to win such projects or agreements requires that we accept lower margins.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derive a substantial portion of our revenue from customers in industries that are subject to rapid changes in technology, governmental regulation, changing consumer demands and consolidation. Technological advances in the markets we serve, including from climate-related initiatives, could render existing projects or technologies uncompetitive or obsolete, cause longer-term changes in consumer behavior, and/or alter our customers’ existing operating models. Our failure to rapidly adopt emerging technologies or adapt to changing customer requirements could adversely affect demand for our services and/or our profitability. If we lack the operational expertise or scale to adapt to emerging technologies, or if we face shortages of labor skilled in such technologies, we could experience project inefficiencies, an increase in wage costs or a decrease in revenue. Additionally, consolidation among our customers could result in the loss of customer revenue or could negatively affect customer demand, which could have a material adverse effect on our results of operations, cash flows and liquidity.</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An impairment of the financial condition of one or more of our customers due to adverse market or other conditions could hinder their ability to pay us on a timely basis.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An impairment of the financial condition of one or more of our customers due to adverse market, industry or other conditions, as described above, could hinder our customers’ ability to pay us on a timely basis. In the past, we have incurred significant losses from customers who filed for bankruptcy or experienced financial difficulties, including from market or industry conditions, or following a general economic downturn, for which certain industry factors worsened the effect of the overall economic downturn on those customers. In difficult economic times, some of our customers may find it difficult to pay for our services on a timely basis, increasing the risk that our accounts receivable could become uncollectible and ultimately be written off. In certain cases, our clients are project-specific entities that do not have significant assets other than their interests in the project. From time to time, it may be difficult for us to collect payments owed to us by these clients. Delays in customer payments may require us to make a working capital investment, which could negatively affect our cash flows and liquidity. Our results of operations, cash flows and liquidity could be materially and adversely affected if a customer fails to pay us on a timely basis or defaults in making payments on a project for which we have devoted significant resources.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Risks Related to Our Business and Operations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Our failure to properly manage projects, or project delays, including those resulting from difficult work sites and environments, permitting issues and the availability of materials or equipment could result in additional costs or claims, which could have a material adverse effect on our operating results, cash flows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Certain of our operations involve and are increasing their mix of large-scale, complex projects, which can occur over extended time periods. The quality of our performance on such projects depends in large part upon our ability to manage our client relationship and the project itself, such as the timely deployment of appropriate resources, including third-party contractors and our own personnel. Our results of operations, cash flows and liquidity could be adversely affected on a larger scale if we miscalculate the resources or time needed to complete large-scale projects, in particular for projects with capped or fixed fees, or the resources or time needed to meet contractual milestones.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perform work under a variety of conditions, including, but not limited to, challenging and hard to reach terrain and other difficult site conditions. Performing work under such conditions can result in project delays or cancellations, potentially causing us to incur unanticipated costs, reductions in revenue or the payment of liquidated damages. In addition, some of our contracts require that we assume the risk should actual site conditions vary from those expected. Some of our projects involve challenging engineering, procurement and construction phases, which may occur over extended time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07645"/>
                <wp:effectExtent l="0" t="0" r="0" b="0"/>
                <wp:wrapNone/>
                <wp:docPr id="21" name="Frame20"/>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may encounter difficulties in engineering, delays in designs, or issues with the availability or receipt of materials or equipment provided by the customer or a third-party, certain of which have long lead-times. We may also encounter delays related to permitting and environmental approval processes; schedule changes; delays from failure of our customers to obtain rights-of-way in a timely manner; weather-related delays; delays by subcontractors in completing their portion of projects; and delays due to governmental, regulatory, market, political or other factors, some of which are beyond our control and could affect our ability to complete a project as originally scheduled. We could also encounter project delays due to political and social activism or local opposition, which could include injunctive actions or public protests related to the siting of our projects, and such delays could adversely affect our project margins. In some cases, delays and additional costs may be substantial, including from the substantial cost of certain of the materials and equipment necessary to complete projects, and/or if we are required to cancel or defer a project and/or compensate the customer for the delay or cancellation. We may not be able to recover any of such costs. Any such delays, cancellations, errors or other failures to meet customer expectations could result in damage claims substantially in excess of the revenue associated with a project. Delays, cancellations and/or project disputes could also negatively affect our reputation or relationships with our customers, which could adversely affect our ability to secure new contracts.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addition, some of our agreements require that we share in cost overages or pay liquidated damages if we do not meet project deadlines; therefore, any failure to properly estimate or manage costs, or delays in the completion of projects, could subject us to penalties, which could adversely affect our results of operations, cash flows and liquidity. Further, any defects or errors, or failures to meet our customers’ expectations, could result in large damage claims against us, which could substantially exceed the amount we can charge for our associated services.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Our business is seasonal and affected by the spending patterns of our customers, project schedules, weather conditions, climate-related events, regulatory matters, including timing of governmental permitting, and market conditions, all of which expose us to variations in quarterly results.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revenue and results of operations can be subject to seasonal and other variations. Typically, our revenue is lowest at the beginning of the calendar year and during the winter months because harsher weather such as cold, snowy or wet conditions can affect our ability to perform outdoor services in certain regions and delay projects. Natural catastrophes or other extreme weather events, such as hurricanes, wildfires, flooding or other severe weather, could also affect our ability to perform outdoor services or utilize equipment and crews in affected regions, causing project delays or cancellations. Timing of governmental permitting could also result in greater seasonal and cyclical volatility than would otherwise exist under normal conditions. These events, as well as fluctuations in end-user and/or customer demand, regulatory, global, market, economic and/or geopolitical conditions, among others, could create increased volatility in our results and/or adversely affect demand for our services and our results of operations, cash flows and liquidity.</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Our failure to recover adequately on claims against project owners, subcontractors or suppliers for payment or performance, or increases in warranty claims, could have a material adverse effect on our financial results.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occasionally bring claims against project owners for additional costs that exceed the contract price or for work not included in the original contract price. Similarly, from time to time, we present change orders and claims to our subcontractors and suppliers. We could incur reduced profits, cost overruns or project losses if we fail to properly document the nature of change orders or claims or are otherwise unsuccessful in negotiating an expected settlement. These types of claims can occur due to project owner-caused delays, changes from the initial project scope that result in additional costs, both direct and indirect, or from project or contract terminations, among other factors. From time to time, these claims can be the subject of lengthy and costly proceedings, and it is often difficult to accurately predict when these claims will be fully resolved. When these types of events occur and unresolved claims are pending, we may invest significant working capital pending the resolution of the relevant claims. A failure to recover, or to recover in a timely manner, on these types of claims could have a material adverse effect on our liquidity and financial results.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we generally provide warranty for the work we perform following substantial completion of a project. Warranty claims have historically not been material, but such claims could potentially increase. The costs associated with such warranties, including any warranty-related legal proceedings, could have a material adverse effect on our results of operations, cash flows and liquidity.</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We may not accurately estimate the costs associated with services provided under fixed price contracts, which could adversely affect our profitability, results of operations and cash flows.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derive a significant portion of our revenue from fixed price master service and other service agreements. Under these contracts, we typically set the price of our services on a per unit or aggregate basis and assume the risk that costs associated with our performance may be greater than what we estimated. We also enter into contracts for specific projects or jobs that require the installation or construction of an entire infrastructure system or specified units within an infrastructure system, many of which are priced on a fixed price or per unit basis. Our profitability would be reduced if actual costs to complete a project exceed our original estimates. Our profitability is therefore dependent upon our ability to accurately estimate the costs associated with our services and our ability to execute in accordance with our plans. A variety of factors could negatively affect these estimates or our ability to execute according to our plans, including changes in expected productivity levels, conditions at work sites differing materially from those anticipated at the time we bid on the contract, and higher than expected costs of labor and/or materials. These variations, along with other risks inherent in performing fixed price contracts, could cause actual project results to differ materially from our original estimates, which could result in lower margins than anticipated or losses, which could reduce our profitability, cash flows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we recognize revenue primarily over time under the “cost-to-cost” method of accounting, under which the percentage of revenue to be recognized in a given period is measured by the percentage of costs incurred to date on the contract to the total estimated costs for the contract. The cost-to-cost method, therefore, relies on estimates of total expected contract costs. Contract revenue and total contract cost estimates are reviewed and revised on an ongoing basis as the work progresses. Adjustments arising from changes in the estimates of contract revenue or costs are reflected in the fiscal period in which such estimates are revised, including the full amount of any expected project losses. Estimates are based on management’s reasonable assumptions, judgment and experience, but are subject to the risks inherent in estimates, including unanticipated delays or technical complications, changes in job performance, job conditions and management’s assessment of expected variable consideration. Variances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07645"/>
                <wp:effectExtent l="0" t="0" r="0" b="0"/>
                <wp:wrapNone/>
                <wp:docPr id="22" name="Frame21"/>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actual results from related estimates on a large project, or on several smaller projects, could be material. Any such adjustments could result in reduced profitability and negatively affect our results of operations.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Amounts included in our backlog may not result in actual revenue or translate into profits. Our backlog is subject to cancellation and unexpected adjustments and, therefore, is not necessarily an accurate representation of future operating results.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Our backlog consists of the estimated amount of revenue we expect to realize over the next 18 months from future work on uncompleted construction contracts, including new contracts under which work has not begun, as well as revenue from change orders and renewal options, amounts under master service and other service agreements, and our proportionate share of estimated revenue from proportionately consolidated non-controlled contractual joint ventures. A significant portion of our 18-month backlog is attributable to master service agreements and other service agreements, which do not require our customers to purchase a minimum amount of services and are cancelable on short or no advance notice. The balance of our backlog is our estimate of work to be completed under contracts for specific projects. Estimated backlog for work under master service and other service agreements is determined based on historical trends, anticipated seasonal impacts, experience from similar projects and estimates of customer demand based on communications with our customers, which estimates may prove inaccurate. Timing of revenue for construction and installation projects included in our backlog can be subject to change as a result of customer, regulatory or other delays or cancellations, including from permitting and other factors discussed in </w:t>
      </w:r>
      <w:hyperlink w:anchor="if4b0bf616dbc41b2b15400916ea5db26_46">
        <w:r>
          <w:rPr>
            <w:rStyle w:val="InternetLink"/>
            <w:rFonts w:ascii="Times New Roman;serif" w:hAnsi="Times New Roman;serif"/>
            <w:b w:val="false"/>
            <w:color w:val="0000FF"/>
            <w:sz w:val="18"/>
            <w:u w:val="single"/>
          </w:rPr>
          <w:t>Item 7.</w:t>
        </w:r>
      </w:hyperlink>
      <w:r>
        <w:rPr>
          <w:color w:val="000000"/>
        </w:rPr>
        <w:t xml:space="preserve"> “</w:t>
      </w:r>
      <w:r>
        <w:rPr>
          <w:rFonts w:ascii="Times New Roman;serif" w:hAnsi="Times New Roman;serif"/>
          <w:b w:val="false"/>
          <w:color w:val="000000"/>
          <w:sz w:val="18"/>
        </w:rPr>
        <w:t>Management’s Discussion and Analysis of Financial Condition and Results of Operations” under “General Economic, Market and Regulatory Conditions.” These effects, among others, could cause estimated revenue to be realized in periods later than originally expected, or not at all. From time to time, we experience postponements, cancellations and reductions in expected future work due to changes in our customers’ spending plans, market volatility, changes in governmental permitting, regulatory delays and/or other factors.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There can be no assurance as to our customers’ requirements or that actual results will be consistent with the estimates included in our forecasts. As a result, our backlog as of any particular date is an uncertain indicator of future revenue and earnings. In addition, contracts included in our backlog may not be profitable. If our backlog fails to materialize, or if amounts in our backlog are unprofitable, our results of operations, cash flows, liquidity and financial condition could be materially and adversely affected.</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We maintain a workforce based upon current and anticipated workloads, and could incur significant costs and reduced profitability from underutilization of our workforce if the level of services we provide is significantly reduced, or if contract awards are delayed or not received.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estimates of future performance and results of operations depend, among other factors, on whether and when we receive new contract awards, which can affect the extent to which we are able to utilize our workforce. The rate at which we are able to utilize our workforce is affected by a variety of factors, including our ability to forecast the need for our services, which allows us to maintain an appropriately sized workforce, our ability to transition employees from completed projects to new projects, our ability to manage attrition, and our need to devote resources to non-chargeable activities such as training or business development. While our estimates are based upon our good faith judgment, professional knowledge and experience, these estimates may not be accurate and can frequently change based on newly available information. In the case of large-scale or complex projects where timing is often uncertain, it is particularly difficult to predict whether and when we will receive a contract award, or when the project will begin. The uncertainty of contract award timing can present difficulties in matching the size of our workforce to our project needs, including due to uncertainty related to the implementation and pace of spending under governmental or other programs, and/or delays or uncertainty related to project permitting or other matters. If an expected contract award is delayed or not received, we could incur costs resulting from underutilization of our workforce, redundancy of facilities, or from efforts to right-size our workforce and/or operations, all of which could reduce our profitability and cash flows.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We derive a significant portion of our revenue from a few customers, and the loss of one or more of these customers, or a reduction in their demand for our services, could impair our financial performance. In addition, many of our contracts, including our service agreements, do not obligate our customers to undertake any infrastructure projects or other work with us, and most of our contracts may be canceled on short or no advance notice.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derive a significant portion of our revenue from a few customers. Additionally, a significant portion of our services are provided on a non-recurring, project-by-project basis. Our revenue could significantly decline if we were to lose one or more of our significant customers, or if one or more of our customers reduce the amount of business they provide to us. In addition, our results of operations, cash flows and liquidity could be negatively affected if we complete the required work on non-recurring projects and cannot replace them with similar projects. See Note 1 - Business, Basis of Presentation and Significant Accounting Policies, Note 14 - Segments and Related Information and Note 15 - Commitments and Contingencies in the notes to the audited consolidated financial statements, which are incorporated by reference, for revenue concentration information.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also derive a significant portion of our revenue from multi-year master service and other service agreements. Under these agreements, our customers have no obligation to undertake any infrastructure projects or other work with us. In addition, most of our contracts are cancelable on short or no advance notice, ranging from immediate cancellation to cancellation upon 180 days’ notice, even if we are not in default under the contract. This makes it difficult to estimate our customers’ demand for our services. A significant decline in the volume of work our customers request us to perform under these service agreements could negatively affect our results of operations, cash flows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Many of our contracts, including our service agreements, are periodically open to public bid. We may not be the successful bidder on existing contracts that are re-bid. We could experience a reduction in revenue, profitability and liquidity if we fail to win a significant number of existing contracts upon re-bid. Additionally, from time to time, we may enter into contracts that contain financing or other conditions that must be satisfied before we can begin work. Certain of these contracts may not result in revenue or profits if our customers are unable to obtain financing or to satisfy other conditions associated with such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07645"/>
                <wp:effectExtent l="0" t="0" r="0" b="0"/>
                <wp:wrapNone/>
                <wp:docPr id="23" name="Frame22"/>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If we are unable to attract and retain skilled and qualified employees and key personnel, we will be unable to operate efficiently, which could reduce our revenue, profitability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Our business is labor intensive, and some of our operations experience a high rate of employee turnover. In addition, given the nature of the highly specialized work we perform, many of our employees are trained in, and possess, specialized technical skills that are necessary to efficiently operate our business and maintain productivity and profitability. We may be unable to hire and retain a sufficiently skilled labor force to support our operating requirements and growth strategy. Our labor and training expenses could increase as a result of a shortage in the supply of skilled personnel, which could adversely affect our profitability. In times of low unemployment, such as the recent market environment, it can be difficult for us to find appropriately skilled and qualified personnel at affordable rates. Additionally, changes to U.S. immigration laws, regulations, or policies, could affect the availability of labor and the compensation of such labor.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also dependent upon retaining and recruiting qualified management to execute our business strategy. Our business is managed by a number of key executive and operational officers, many of whom have extensive industry experience. Additionally, as our business continues to expand and increase in complexity, we cannot be certain that our management structure will remain adequate and that we will be able to successfully attract, onboard, and retain qualified personnel. Lack of skilled labor, the loss of key personnel, labor shortages and/or increased turnover rates could negatively affect our ability to operate efficiently, and could lead to increased wage rates and overall employee costs to attract and retain appropriately skilled and qualified personnel, all of which could materially and adversely affect our results of operations, cash flows and liquidity.</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Our financial results are based, in part, upon estimates and assumptions that may differ from actual results.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preparing our consolidated financial statements in conformity with generally accepted accounting principles in the United States (“U.S. GAAP”), management makes a number of estimates and assumptions that affect the amounts reported in our consolidated financial statements and accompanying notes. These estimates and assumptions must be made because certain information used in the preparation of our consolidated financial statements is either dependent on future events or cannot be calculated with a high degree of precision from data available. In some cases, these estimates are particularly uncertain and we must exercise significant judgment. Actual results could differ materially from the estimates and assumptions that we use, which could have a material adverse effect on our results of operations, cash flows and liquidity.</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As acquisitions have been a component of our growth strategy, our balance sheet includes a significant amount of goodwill, other intangible assets, and long-lived assets, the value of which is dependent upon certain estimates and assumptions. Under U.S. GAAP, we are required to test goodwill for possible impairment annually, and whenever events occur that indicate impairment may exist. Impairment testing of goodwill involves qualitative assessments and quantitative tests to determine the fair value of our reporting units and is dependent upon estimates and assumptions. If we determine the fair value of a reporting unit with goodwill is less than its carrying value as a result of an annual or interim test, an impairment loss is recognized. We have recorded impairment losses in the past, and any future impairments to goodwill, other intangible assets, or long-lived assets could materially and adversely affect our results of operations and financial condition. See </w:t>
      </w:r>
      <w:hyperlink w:anchor="if4b0bf616dbc41b2b15400916ea5db26_46">
        <w:r>
          <w:rPr>
            <w:rStyle w:val="InternetLink"/>
            <w:rFonts w:ascii="Times New Roman;serif" w:hAnsi="Times New Roman;serif"/>
            <w:b w:val="false"/>
            <w:color w:val="0000FF"/>
            <w:sz w:val="18"/>
            <w:u w:val="single"/>
          </w:rPr>
          <w:t>Item 7.</w:t>
        </w:r>
      </w:hyperlink>
      <w:r>
        <w:rPr>
          <w:color w:val="000000"/>
        </w:rPr>
        <w:t xml:space="preserve"> </w:t>
      </w:r>
      <w:r>
        <w:rPr>
          <w:rFonts w:ascii="Times New Roman;serif" w:hAnsi="Times New Roman;serif"/>
          <w:b w:val="false"/>
          <w:color w:val="000000"/>
          <w:sz w:val="18"/>
        </w:rPr>
        <w:t>Management's Discussion and Analysis of Financial Condition - Critical Accounting Estimates and Note 1 - Business, Basis of Presentation and Significant Accounting Policies in the notes to the audited consolidated financial statements, which are incorporated by reference, for further information about our critical accounting estimates and significant accounting policies.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addition, accounting rules and regulations are subject to review and interpretation by the Financial Accounting Standards Board (the “FASB”), the SEC, and various other governing bodies. A change in accounting rules and regulations pursuant to FASB or SEC guidance could materially affect our reported financial results in a given period, and the adoption of new or revised accounting principles could require that we make significant changes to our systems, processes and controls, which could have an adverse effect on our results of operations, cash flows and liquidity.</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Our business is subject to operational risk, including from occupational health and/or safety incidents due to operational, physical and/or environmental hazards, which could result in substantial liabilities and weaken our financial condition.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business is subject to operational, physical and environmental hazards due to the nature of services we provide and the conditions in which we operate. These hazards could result in health and/or safety incidents from electricity, fires, explosions, mechanical failures and weather-related events, among others. In addition, certain of our customers operate in locations and environments that could increase the likelihood and/or severity of potential operational hazards from climate-related factors, including wildfires. While we invest substantial resources in occupational health and safety programs, there can be no assurance that we will be able to mitigate all such hazards or avoid significant liability. The construction projects that we undertake expose our employees to electrical lines, pipelines carrying potentially explosive or toxic materials, heavy equipment, transportation accidents, adverse weather conditions and the risk of damage to equipment and property. We also perform services in locations that are densely populated and have higher property and asset values, including in certain metropolitan and other geographic areas, which could potentially increase the effect of such hazards.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These risks and hazards, among others, can cause personal injuries and loss of life, severe damage to or destruction of property and equipment, harm to the environment and/or other consequential damages, and could lead to suspension of operations, large damage claims that could substantially exceed the amount we charge for the associated services, government enforcement actions or regulatory penalties, civil litigation or criminal prosecution. Claims and liabilities related to accidents and operational or other hazards can also arise through indemnification obligations to customers, our negligence, or otherwise, and such exposure could extend for years after we complete our services. Personal injury and other claims for damages, including for bodily injury or loss of life, could result in substantial costs and liabilities. Insurance coverage may not be available to us or may be insufficient to cover any of these liabilities and legal costs. Our insurance costs, including those related to our self-insurance programs, could increase if we incur liabilities associated with accidents and/or operational or other hazards. If we are not fully insured or indemnified against such liabilities and legal costs, or if a counterparty fails to meet its indemnification obligations to us in connection with such matters, it could materially and adversely affect our financial condition, results of operations or cash flows.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if serious accidents or fatalities were to occur, or if our safety records were to deteriorate, we could be restricted from bidding on certain work or from obtaining new contracts, and certain existing contracts could be terminated. Our safety processes and procedures are monitored by various agencies and ratings bureaus. The occurrence of accidents in the course of our business could result in significant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07645"/>
                <wp:effectExtent l="0" t="0" r="0" b="0"/>
                <wp:wrapNone/>
                <wp:docPr id="24" name="Frame2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employee turnover or an increase in the costs of our projects, or could harm our ability to perform under our contracts, and/or our reputation and ability to enter into new customer contracts, all of which could materially and adversely affect our revenue, profitability and liquidity.</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We are self-insured against several potential liabilities.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maintain insurance policies with respect to automobile liability, general liability, employer’s liability, workers’ compensation and other types of coverages. We also manage certain of our insurance liabilities indirectly through our wholly-owned captive insurance company, which reimburses claims up to the applicable insurance limits. Our insurance policies are subject to high deductibles or self-insured retention amounts. We are effectively self-insured for substantially all claims because most claims against us do not exceed the deductibles under our insurance policies, and there can be no assurance that our insurance coverages will be sufficient or effective under all circumstances, or against all claims or liabilities to which we may be subject. In addition, insurance liabilities are difficult to assess and estimate due to many factors, the effects of which are often unknown or difficult to estimate, including the severity of an injury or an incident, the determination of our liability in proportion to other parties’ liability, the number of incidents not reported and the effectiveness of our safety programs. Any of these factors could expose us to significant liabilities and materially and adversely affect our business, financial condition, results of operations and cash flows.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renew our insurance policies on an annual basis; therefore, the deductibles and levels of insurance coverage applicable to our policies may change in future periods. In addition, in the future, insurers could cancel or exclude certain items from our coverage, or we may elect not to obtain certain types of insurance coverage based on our assessment of the potential benefits of such coverage relative to its cost. Additionally, we cannot guarantee that future insurance coverage will be available to us at reasonable and competitive rates, or at all. For example, in recent years, due to the increased occurrence and potential future risk of wildfires in certain areas, insurers have reduced coverage availability and have increased the cost of insurance coverage for such events, which has resulted in a reduction of our level of coverage for wildfire events and has increased our reliance upon self-insurance. Any of these factors could increase our risk exposure and/or our cost of insurance coverage in the future, which could negatively affect our business, financial condition, results of operations and cash flows.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If our insurance costs exceed our estimates of insurance liabilities or if our insurance claims or our cost of coverage increase, or if our insurance coverage proves to be inadequate or becomes unavailable, we could experience increased exposure to risk and/or a decline in profitability, liquidity and cash flows.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In the ordinary course of our business, we are subject to lawsuits, indemnity or other claims, which could materially and adversely affect our business, results of operations and cash flows.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From time to time, we are subject to various claims, lawsuits and other legal proceedings brought or threatened against us in the ordinary course of our business. These actions and proceedings may seek, among other things, compensation for alleged personal injury, workers’ compensation, employment discrimination and other employment-related damages, breach of contract, property damage, environmental liabilities, liquidated damages, consequential damages, punitive damages and civil penalties or other losses, or injunctive or declaratory relief. We could also be subject to litigation in the normal course of business from alleged violations of the Fair Labor Standards Act and state wage and hour laws. We may also become involved in customer disputes related to change orders and/or our entitlement to revenue in accordance with the terms of the applicable customer agreements. In addition, we generally indemnify our customers for claims related to the services we provide and actions we take under our contracts, and, in some instances, we may be allocated risk through our contract terms for actions by our joint venture partners, equity investments, customers or other third parties.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Claimants may seek large damage awards, and defending claims can involve significant costs. When appropriate, we establish accruals for litigation and other contingencies that we believe to be adequate based on factors such as current information, legal advice and our indemnity insurance coverages, and, when appropriate, we may recognize revenue in light of these factors. We reassess our potential liability for litigation and contingencies, as well as our expectations of the amount of revenue to be recognized, as additional information becomes available, and adjust these estimates as necessary. We could experience a reduction in our profitability, cash flows and liquidity if we do not properly estimate the amount of required accruals for litigation or contingencies, if we do not recognize the appropriate amount of revenue related to such matters, if our insurance coverage proves to be inadequate or becomes unavailable, or if our self-insurance liabilities are higher than expected. The outcome of litigation and other legal proceedings is difficult to assess or quantify, as such proceedings may involve very large or indeterminate amounts and the magnitude of the potential loss or recovery may remain unknown for substantial periods of time. Furthermore, because litigation and other legal proceedings are inherently uncertain, the ultimate resolution of any such claim, lawsuit or proceeding through settlement, mediation, or court judgment could have a material adverse effect on our business, financial condition or results of operations. In addition, claims, lawsuits and proceedings may harm our reputation, divert management’s attention, or divert resources away from operating our business and cause us to incur significant expenses, any of which could have a material adverse effect on our business, results of operations or financial condition.</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We rely on information, communications and data systems in our operations. Systems and information technology interruptions and/or data security breaches could adversely affect our ability to operate, our operating results, our data security or our reputation.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heavily reliant on information and communications technology, computers and other related systems in order to operate. We also rely, in part, on third-party software and information technology to run certain of our critical accounting, project management and financial information systems. We maintain certain information about our customers, vendors, subcontractors, employees and other parties, all of which expect that we will adequately protect such information. Our operations could be interrupted or delayed, or our data security could be breached, if we are unable to deploy software and hardware, gain access to, or effectively maintain and upgrade our systems and network infrastructure and/or take other steps to improve and otherwise protect our systems. In addition, our information technology and communications systems, including those associated with acquired businesses, and our operations could be damaged or interrupted by cyberattacks and/or physical security risks. These risks include natural disasters, power loss, telecommunications failures, intentional or inadvertent user misuse or error, failures of information technology solutions, computer viruses, phishing attacks, social engineering schemes, malicious code, ransomware attacks, data extortion, acts of terrorism and physical or electronic security breaches, including breaches by computer hackers, cyber-terrorists and/or unauthorized access to or disclosure of our and/or our employees’ or customers’ data. Furthermore, such unauthorized access or cyberattacks could go unnoticed for some period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07645"/>
                <wp:effectExtent l="0" t="0" r="0" b="0"/>
                <wp:wrapNone/>
                <wp:docPr id="25" name="Frame24"/>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These events, among others, could cause system interruptions, delays and/or the loss or release of critical or sensitive data, including the unintentional disclosure of customer, employee, or company information, and could delay or prevent operations, including the processing of transactions and reporting of financial results or cause processing inefficiency or downtime. In addition, the rapid evolution and increased adoption of artificial intelligence technologies may intensify our cybersecurity risks. Similar risks could affect our customers, subcontractors or suppliers, indirectly affecting us. While we have security, internal control and technology measures in place to protect our systems and network, if these measures fail as a result of a cyberattack, other third-party action, employee error, malfeasance or other security failure, and someone obtains unauthorized access to our or our employees’ or customers’ information, our reputation could be damaged, our business may suffer, and we could incur significant liability, or, in some cases, we may lose access to our business data, all of which could result in significant costs, fines or litigation and have a material adverse effect on our business, results of operations and financial condition.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we and third-parties on whose systems we rely have been targeted by malicious cyberattacks, although our systems have been sufficiently resilient to prevent disruption of our operations. However, while we have not experienced a material cybersecurity incident nor incurred material breach related expenses during the reporting period, because the techniques used to obtain unauthorized access or sabotage systems change frequently and are generally not identified until they are launched against a target, our current or future defenses may not be adequate to protect against new or revised techniques.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addition, the U.S. federal government has continued to raise concerns about the heightened potential for cyberattacks from nation-states and decentralized cybercriminal groups. As cyberattacks continue to evolve, we may be required to expend significant additional resources to continue to modify or enhance our protective measures to protect against the threat of system disruptions and security breaches, and to investigate and remediate any information security vulnerabilities and mitigate problems caused by any such disruptions and breaches. Any of these events could damage our reputation and have a material adverse effect on our business, results of operations, financial condition and cash flows. Furthermore, while we maintain insurance policies that we consider to be adequate, our coverage may not specifically cover all types of losses or claims that may arise.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regularly evaluate the need to upgrade, enhance and/or replace our systems and network infrastructure to protect our information technology environment, to stay current on vendor supported products and to improve the efficiency and scope of our systems and information technology capabilities, including due to the rapid evolution and increased adoption of artificial intelligence and machine learning technologies, as well as considerations related to hybrid work models, under which employees can work and access the Company’s technology infrastructure remotely. The implementation of new systems and information technology could adversely impact our operations by requiring substantial capital expenditures, diverting management’s attention, and/or causing delays or difficulties in transitioning to new systems. In addition, the implementation of new systems may not result in productivity improvements at the levels anticipated. System implementation and/or any other information technology disruptions, if not anticipated and appropriately mitigated, could have an adverse effect on our business and remediation of any such disruptions could result in significant costs.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addition, the unauthorized disclosure of confidential information and current and future laws and regulations governing data privacy may pose complex compliance challenges and/or result in additional costs. The continuing and evolving threat of cyberattacks has also resulted in increased regulatory focus on risk management and prevention. Compliance with existing and emerging cyber-related regulations or other requirements, including regulations adopted by the SEC, could require significant additional resources and/or cause us to incur significant costs. In addition, these regulations could require us to disclose information about a cybersecurity incident before it has been completely investigated or remediated in full or even in part. Failure to comply with such laws and regulations could result in penalties, fines, regulatory actions and/or legal liabilities and/or harm our reputation, which could have an adverse effect on our results of operations, cash flows and financial condition.</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Our subcontractors and suppliers may fail or be unable to satisfy their obligations to us or other parties, or we may be unable to maintain these relationships, either of which could have a material adverse effect on our results of operations, cash flows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depend on subcontractors to perform work for some of our projects. There is a risk that we could have disputes with subcontractors arising from, among other things, the quality and timeliness of the work they perform, customer concerns, or our failure to issue work orders under a subcontracting arrangement. Our ability to fulfill our obligations as a prime contractor could be jeopardized if any of our subcontractors fail to perform the agreed-upon services on a timely basis and/or deliver the agreed-upon supplies. In addition, the absence of qualified subcontractors with whom we have satisfactory relationships could adversely affect our ability to perform under some of our contracts, or the quality of the services we provide. Additionally, in some cases, we pay our subcontractors before our customers pay us for the related services. We could experience a material decrease in profitability and liquidity if we pay our subcontractors for work performed for customers that fail to or delay paying us for the related work. Any of these factors could have a material adverse effect on our results of operations, cash flows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also rely on suppliers, equipment manufacturers and lessors to obtain or provide the materials and equipment we require to conduct our operations. Any substantial limitation on the availability of suppliers or equipment, including from economic, regulatory or market conditions, such as supply chain disruptions or other factors, could negatively affect, and in the past have negatively affected, our operations and financial results. Climate impacts causing supply shortages, supply chain disruptions or new requirements affecting our suppliers, such as shortages of or restrictions on the use of water, raw materials or energy, or changing waste disposal requirements, could result in operational inefficiencies, impair our ability to complete projects, or cause our operating costs to increase if we are unable to pass such cost increases through to our customers. Additionally, in an environment of elevated or sustained levels of inflation, it can be difficult to find appropriately skilled and qualified subcontractors and suppliers at affordable rates, which has caused our costs to increase. Our costs may continue to increase due to such supply shortages and any related increases in subcontractor and supplier costs if we are unable to pass any such cost increases through to our customers. Any of these factors could have an adverse effect on our results of operations, cash flows and/or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07645"/>
                <wp:effectExtent l="0" t="0" r="0" b="0"/>
                <wp:wrapNone/>
                <wp:docPr id="26" name="Frame25"/>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The use of a unionized workforce and any related obligations could subject us to liabilities that could adversely affect our liquidity, cash flows and results of operations.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Certain of our employees are represented by labor unions and collective bargaining agreements. Although all such collective bargaining agreements prohibit strikes and work stoppages, we cannot be certain that strikes or work stoppages will not occur despite the terms of these agreements. Strikes or work stoppages could adversely affect our relationships with our customers and cause us to lose business. Additionally, as current agreements expire, the labor unions may not be able to negotiate extensions or replacements on terms favorable to their members, or at all, or avoid strikes, lockouts or other labor actions that could affect their members. Therefore, we cannot assure you that new agreements will be reached with employee labor unions as existing contracts expire, or on desirable terms. Any action against us relating to the union workforce we employ could have a material adverse effect on our business operations, financial results, liquidity and cash flows.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Substantially all of our union and collective bargaining agreements require us to participate with other companies in multiemployer pension plans. We may be subject to substantial liabilities in the event of a complete or partial withdrawal from, or upon termination of, an underfunded U.S.-registered multiemployer pension plan, which are governed by the Employee Retirement Income Security Act ("ERISA"), as amended. Under such circumstances, the current laws pertaining to multiemployer plans would require participating employers to make payments to the plan for their proportionate share of the multiemployer plan’s unfunded vested liabilities, including an allocable share of the unfunded vested benefits of the plan for all plan participants. As a result, participating employers may bear a higher proportion of liability for unfunded vested benefits if the other participating employers cease to contribute to, or withdraw from, the plan. The allocable portion of liability of participating employers could be disproportionately greater if employers that have withdrawn from the plan are insolvent, or if they otherwise fail to pay their proportionate share of the withdrawal liability. In addition, the Pension Protection Act of 2006, as amended, requires underfunded pension plans to improve their funding ratios within prescribed intervals, under which benefit reductions may apply and/or participating employers could be required to make additional contributions. In addition, if a multiemployer defined benefit plan fails to satisfy certain minimum funding requirements, the Internal Revenue Service can impose on the employers contributing to such plans a non-deductible excise tax of 5% of the amount of the accumulated funding deficiency.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Based upon the information available to us from plan administrators as of December 31, 2025, several of the multiemployer pension plans in which we participate are underfunded and, as a result, we could have potential liability associated with a voluntary or involuntary withdrawal from, or termination of, these plans, or we could be required to increase our contributions. The amount we may be obligated to pay or contribute in the future cannot be estimated, as these amounts are based on future levels of work of the union employees covered by these plans, investment returns and the level of underfunding of such plans. Although we do not have current plans to withdraw from any of the multiemployer pension plans in which we participate and are not aware of circumstances that would reasonably lead to material claims against us in connection with these plans, we could be assessed withdrawal liabilities, or we could be required to pay increased contributions and/or excise taxes in the future, any of which could adversely affect our cash flows, liquidity and results of operations.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We may have additional tax liabilities associated with our operations.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subject to income taxes in the United States and certain foreign jurisdictions. Management must exercise significant judgment in determining our provision for income taxes due to lack of clear and concise tax laws and regulations in certain jurisdictions. Tax laws are dynamic and subject to change as new laws are passed and new interpretations of laws are issued or applied, and such changes could materially affect our tax provisions, and could have a material adverse effect on our results of operations, cash flows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addition, we are audited by various U.S. and foreign tax authorities, and in the ordinary course of our business, there are many transactions and calculations for which the ultimate tax determination may be uncertain. The final outcome of income tax examinations could be materially different from our expectations and the estimates that are reflected in our consolidated financial statements, which could have a material adverse effect on our results of operations, cash flows and liquidity.</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A failure of our internal control over financial reporting could materially affect our business.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Our management is responsible for establishing and maintaining adequate internal control over financial reporting, including with respect to integration of the significant acquisition activity we have completed over the past few years. An internal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Internal control over financial reporting may not prevent or detect misstatements due to inherent limitations in internal control systems. Any failure to maintain an effective system of internal control over financial reporting could limit our ability to report our financial results accurately and timely or to detect and prevent fraud, and could expose us to litigation, harm our reputation, and/or adversely affect the market price of our common stock. See </w:t>
      </w:r>
      <w:hyperlink w:anchor="if4b0bf616dbc41b2b15400916ea5db26_172">
        <w:r>
          <w:rPr>
            <w:rStyle w:val="InternetLink"/>
            <w:rFonts w:ascii="Times New Roman;serif" w:hAnsi="Times New Roman;serif"/>
            <w:b w:val="false"/>
            <w:color w:val="0000FF"/>
            <w:sz w:val="18"/>
            <w:u w:val="single"/>
          </w:rPr>
          <w:t>Item 9A.</w:t>
        </w:r>
      </w:hyperlink>
      <w:r>
        <w:rPr>
          <w:color w:val="000000"/>
        </w:rPr>
        <w:t xml:space="preserve"> “</w:t>
      </w:r>
      <w:r>
        <w:rPr>
          <w:rFonts w:ascii="Times New Roman;serif" w:hAnsi="Times New Roman;serif"/>
          <w:b w:val="false"/>
          <w:color w:val="000000"/>
          <w:sz w:val="18"/>
        </w:rPr>
        <w:t>Controls and Procedures,” for related discussion.</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Risks Related to Strategic Transactions and Foreign Operations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Acquisitions and strategic investments involve risks, including from integration of acquired businesses into our operations, which, if unsuccessful, could negatively affect our operating results, cash flows and liquidity and may not enhance shareholder value.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have made, and may continue to make, strategic acquisitions and investments that may expose us to operational challenges and risks, including: (i) the ability to profitably manage the acquired business or successfully integrate the operations, internal controls, procedures, financial reporting and accounting systems of the businesses we acquire into our business operations; (ii) the ability to realize the anticipated benefits from successful integration of the acquired businesses; (iii) increased indebtedness, contingent earn-out obligations and/or other liabilities; (iv) the ability to fund cash flow shortages that may occur if anticipated revenue, profits and/or cash flows are not realized or are delayed, whether by general economic or market conditions, or other unforeseen difficulties; (v) the expense of integrating acquired businesses; (vi) the ability to retain or hire the personnel required for the successful operation of the acquired business and expanded business operations, in general; (vii) the ability to maintain business relationships and institutional knowledge by retaining, or effectively transitioning, key leadership roles and management teams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07645"/>
                <wp:effectExtent l="0" t="0" r="0" b="0"/>
                <wp:wrapNone/>
                <wp:docPr id="27" name="Frame26"/>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acquired business; (viii) diversion of management’s attention; and (ix) the availability of funding sufficient to meet increased capital needs, among others.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Acquired companies may have liabilities that we failed, or were unable to discover in the course of performing due diligence reviews. We cannot assure you that the indemnifications granted to us by sellers of acquired companies will be sufficient in amount, scope or duration to fully offset potential liabilities associated with acquired businesses. Additionally, purchase agreements for certain acquisitions may not contain indemnification provisions, which would fully expose us to legacy liabilities of the related acquired business. We may learn additional information about the businesses we have acquired that could materially and adversely affect us, such as unknown or contingent liabilities, unprofitable projects, litigation-related liabilities and liabilities related to compliance with applicable laws. Any such liabilities, individually or in the aggregate, could have a material adverse effect on our business. We generally require that key management and former principals of the businesses we acquire enter into non-competition agreements in our favor. If we are unable, or the courts refuse, to enforce the non-competition agreement entered into by such person or persons, we might be subject to increased competition. Failure to successfully manage the operational challenges and risks associated with, or resulting from, our acquisitions could adversely affect our results of operations, cash flows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may pay for acquisitions or strategic investments with increased borrowings under our credit facility or through the issuance of debt instruments, which could result in higher levels of indebtedness and negatively affect our ability to service our debt within the scheduled repayment terms, or our ability to remain in compliance with our debt covenants and to maintain our investment grade credit rating. Additionally, from time to time, we may pay for acquisitions with shares of our common stock, which could dilute the ownership interests of our common shareholders. In addition, in connection with most of our acquisitions, we agree to substantial future earn-out arrangements. To the extent we defer payment of an acquisition’s purchase price through a cash earn-out arrangement, it will reduce our cash flows in subsequent periods. We may decide to pursue acquisitions with which our investors may not agree. In addition, we may not be able to identify suitable acquisition or strategic investment opportunities or may be unable to obtain the required consent of our lenders and therefore, may not be able to complete such acquisitions or strategic investments. We have incurred substantial expenses in connection with the integration of the operations, practices, policies and procedures of past acquisitions that required significant acquisition and integration efforts, which negatively affected our results of operations, cash flows and liquidity. Our results of operations and cash flows could be negatively affected in the future if we continue to acquire additional businesses requiring significant acquisition and integration efforts.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Our participation in strategic arrangements, including joint ventures and equity investments, exposes us to numerous risks.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certain strategic arrangements, including joint ventures and equity investments, which provide us the opportunity to combine our skills and resources with those of others to allow for the performance of projects for which we do not control the day-to-day operations. The success of these arrangements depends, in large part, on whether our partners satisfy their contractual and performance obligations. In certain of these arrangements, we and our partners are jointly and severally liable for liabilities and obligations of the entity or joint venture. If one of our partners fails to perform or is financially unable to bear its portion of required capital contributions or other obligations, including liabilities stemming from claims or lawsuits, we could be required to make additional investments, provide additional services or pay more than our proportionate share of a liability to make up for our partner’s shortfall. Additionally, the structure of these arrangements can create inherent conflicts of interest regarding commercial terms, such as the pricing of construction services, the approval of change orders, and the resolution of claims. While we seek to minimize these conflicts of interest through the terms set in the agreements for these investments, as well as processes in place to manage these relationships, any failure to adequately manage a potential conflict of interest, or the perception of a conflict, could damage our relationships with investment partners, result in litigation, or harm our professional reputation.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Further, if our partners do not meet their performance obligations on projects, and we are unable to adequately address such performance issues on the part of our partners, the projects could be terminated, which could result in legal liability, harm our reputation and/or impair our ability to participate in future investment and project opportunities, all of which could adversely affect our results of operations, cash flows and liquidity. We also could be subject to a write-down of a portion or all of the net investment related to such arrangements. Market or other conditions, such as the inability of our investees to complete certain transactions, could subject us to a loss of some or all of the value of our investment. See Note 4 - Fair Value of Financial Instruments and Note 15 - Commitments and Contingencies in the notes to the audited consolidated financial statements, which are incorporated by reference, for additional information.</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Our operations in international markets, or future efforts to expand into additional international markets, may not be successful and could expose us to risks, including failure to comply with the U.S. Foreign Corrupt Practices Act and/or similar anti-bribery laws, which could harm our business and prospects.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We derive a small portion of our revenue from international markets. In the future, we could further expand the volume of international services we provide, as well as the foreign geographic territories in which we operate. See </w:t>
      </w:r>
      <w:r>
        <w:rPr>
          <w:rFonts w:ascii="Times New Roman;serif" w:hAnsi="Times New Roman;serif"/>
          <w:b w:val="false"/>
          <w:color w:val="000000"/>
          <w:sz w:val="18"/>
          <w:shd w:fill="FFFFFF" w:val="clear"/>
        </w:rPr>
        <w:t>Note 14 - Segments and Related Information</w:t>
      </w:r>
      <w:r>
        <w:rPr>
          <w:color w:val="000000"/>
        </w:rPr>
        <w:t xml:space="preserve"> </w:t>
      </w:r>
      <w:r>
        <w:rPr>
          <w:rFonts w:ascii="Times New Roman;serif" w:hAnsi="Times New Roman;serif"/>
          <w:b w:val="false"/>
          <w:color w:val="000000"/>
          <w:sz w:val="18"/>
        </w:rPr>
        <w:t>in the notes to the audited consolidated financial statements, which is incorporated by reference, for foreign revenue information. Our foreign operations are presently conducted primarily in Canada, but we have performed work in various other foreign countries in the past and may expand our foreign operations in the future. Economic conditions, including those resulting from geopolitical shifts, civil unrest, acts of terrorism, wars and other conflicts, public health matters or volatility in the global markets could adversely affect our foreign customers, their demand for our services and/or their ability to pay for our services. In addition, there are numerous risks inherent in conducting business internationally, including, but not limited to, potential instability in international markets, changes in regulatory requirements applicable to international operations, including evolving consumer protection and data use and security standards, foreign currency fluctuations, exchange controls and other limits on our ability to repatriate and reinvest earnings, political, economic and social conditions in foreign countries, tariffs and duties, and complex U.S. and foreign laws and treaties, including taxation laws and the U.S. Foreign Corrupt Practices Act (the “FCPA”). These risks could restrict our ability to provide services to foreign customers or to operate our international businesses profitably, and our overall business and results of operations could be negatively affected by such foreign activities.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FCPA and similar anti-bribery laws in other jurisdictions prohibit U.S.-based companies and their intermediaries from making improper payments for the purpose of obtaining or retaining business. We pursue opportunities in certain parts of the world that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07645"/>
                <wp:effectExtent l="0" t="0" r="0" b="0"/>
                <wp:wrapNone/>
                <wp:docPr id="28" name="Frame27"/>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corruption to some degree, and, in certain circumstances, compliance with anti-bribery laws may conflict with local customs and practices. Our policies mandate compliance with these anti-bribery laws, and our subcontractors, agents and others who work for us or on our behalf are expected to comply with the FCPA and other anti-bribery laws. There is no assurance that our employees and agents will comply with the FCPA, or that anti-bribery laws will protect us against liability under the FCPA or other laws for actions taken by our agents, employees and/or intermediaries. In addition, detecting, investigating and resolving actual or alleged FCPA violations is expensive and can consume significant time and attention of our senior management. We could incur severe criminal or civil penalties or other sanctions if we are found to be liable for FCPA violations, either due to our own acts or our inadvertence, or due to the acts or inadvertence of others, which could adversely affect our reputation, business, results of operations and cash flows.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Risks Related to Regulation and Compliance</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A failure to comply with environmental laws could result in significant liabilities or harm our reputation, and new environmental laws or regulations could adversely affect our business.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Some of the work we perform is in underground environments. If the field location maps supplied to us are not accurate, or if objects are present in the soil that are not indicated on the field location maps, our underground work could strike objects in the soil containing pollutants and result in a rupture and discharge of pollutants. In such a case, we could incur significant costs, including clean-up costs, we may be liable for significant fines and damages, and we could suffer reputational harm. Additionally, we sometimes perform directional drilling operations below certain environmentally sensitive terrains and water bodies. Due to the inconsistent nature of terrain and water bodies, it is possible that such directional drilling could cause a surface fracture releasing subsurface materials or drilling fluid. These releases alone or, in combination with releases that may contain contaminants in excess of amounts permitted by law, could potentially expose us to significant clean-up and remediation costs, damages, fines and reputational harm, which could have a material adverse effect on our results of operations, cash flows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New environmental laws and regulations, stricter enforcement of existing laws and regulations, the discovery of previously unknown contamination or leaks, or the imposition of new clean-up requirements could require us to incur significant costs or could result in new or increased liabilities that could have a material adverse effect on our results of operations, cash flows and liquidity. We may incur work stoppages to avoid violating these laws and regulations, or we may risk fines or other sanctions if we inadvertently violate these laws and regulations, which could adversely affect our business.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Our operations could affect the environment or cause exposure to hazardous substances. In addition, our properties could have environmental contamination, which could result in material liabilities.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operations are subject to various environmental laws and regulations, including those dealing with the handling and disposal of waste products, polychlorinated biphenyls, fuel storage, air quality and the protection of endangered species. Certain of our current and historical construction operations have used hazardous materials and, to the extent that such materials are not properly stored, contained or recycled, they could become hazardous waste. Additionally, some of our contracts require that we assume the environmental risk of site conditions and indemnify our customers for any damages, including environmental damages, incurred in connection with our projects. We may be subject to claims under various environmental laws and regulations, federal and state statutes and/or common law doctrines for toxic torts and other damages, as well as for natural resource damages and the investigation and clean-up of soil, surface water, groundwater, and other media under laws such as the Comprehensive Environmental Response, Compensation and Liability Act. Such claims may arise, for example, out of current or former conditions at project sites, including legacy matters from acquired businesses, current or former properties owned or leased by us, or contaminated sites that have always been owned or operated by third parties. For example, we own and lease several facilities at which we store our equipment. Some of these facilities contain fuel storage tanks that may be above or below ground. If these tanks were to leak, we could be responsible for the cost of remediation as well as potential fines. Liability may be imposed without regard to fault and may be strict and joint and several, such that we may be held responsible for more than our share of any contamination or other damages, or even for the entire share, and we may be unable to obtain reimbursement from the parties that caused the contamination. The obligations, liabilities, fines and costs or reputational harm associated with these and other events could be material and could have a material adverse impact on our business, financial condition, results of operations and cash flows.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Our failure to comply with federal, state and local agencies that oversee compliance with safety and transportation regulations could reduce our revenue, profitability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OSHA establishes certain employer responsibilities, including maintenance of a workplace free of recognized hazards likely to cause death or serious injury, compliance with standards promulgated by OSHA and various recordkeeping, and disclosure and procedural requirements. Various standards, including standards for notices of hazards and safety in excavation and demolition work, may apply to our operations. We incur capital and operating expenditures and other costs in the ordinary course of business in complying with OSHA and other state and local laws and regulations, and could incur penalties and fines in the future from violations of health and safety regulations, including, in extreme cases, criminal sanctions. We could suffer reputational harm and our customers could cancel existing contracts and not award future business to us if we were in violation of these regulations. From time to time, we have received notice from the DOT that our motor carrier operations will be monitored and that the failure to improve our safety performance could result in suspension or revocation of vehicle registration privileges. Our ability to service our customers could be damaged if we were not able to successfully resolve such issues, which could lead to a material adverse effect on our results of operations, cash flows and liquidity.</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We are subject to climate-related risks and risks associated with rapidly evolving regulatory and stakeholder focus and any related reporting obligations with respect to sustainability matters.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Regulatory requirements and stakeholder expectations with respect to sustainability matters, including matters relating to a changing climate, are rapidly evolving. While the potential effects of climate change are highly uncertain, climate change and climate-related events could result in, among other things, an increase in extreme weather events, such as floods, hurricanes and wildfires, as well as changes in rainfall patterns, storm patterns and intensities and temperature levels, rising sea levels and limitations on water availability and quality. Our operating results are significantly influenced by weather; therefore, major changes in weather patterns could have a significant effect on our future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07645"/>
                <wp:effectExtent l="0" t="0" r="0" b="0"/>
                <wp:wrapNone/>
                <wp:docPr id="29" name="Frame28"/>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Natural catastrophes or other extreme weather events could cause supply chain disruptions, resulting in shortages of construction or other materials, or limit the availability of resources, which could impair our ability to complete projects, increase the costs of our projects, reduce productivity, or could cause projects to be delayed or canceled. Severe weather events could also damage ongoing construction projects and lead to increased costs. We could experience project cancellations, reduced demand or reduced productivity if climate change results in a significant increase in adverse weather conditions in a given period, or from potential market-related or macroeconomic effects of climate-related factors that affect our business, which could negatively affect our revenue and profitability.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could also be exposed to increased risk of liability in locations potentially affected by climate-related risks, for example, in areas where the risk of wildfires is increased. The risks associated with the physical effects of climate change have affected, and could continue to negatively affect, our insurance costs or the amount of coverage that insurers are willing to make available under our insurance policies. An increase in severe weather events and changes in climate patterns could cause insurers to increase our premiums, limit our coverage or add exclusions to policies, including for wildfire, hurricane or other climate-related risks. Any of these factors could increase our risk exposure and our cost of insurance coverage in the future, which could negatively affect our business and cause us to incur additional expenses, or could require us to increase our reliance on self-insurance.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Climate impacts could negatively affect our or our customers’ operations from damage to properties, assets or locations associated with projects in backlog, causing projects to be delayed or canceled. Climate impacts could also result in decreased availability of, or limitations on access to, clean water or other natural resources in the communities where we conduct our operations, which could disrupt our or our customers’ operations and result in work stoppages, project delays, reduced productivity and increased costs. All of the above climate-related factors could negatively affect our business, financial condition and results of operations.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Climate-related factors could also affect the projects our customers award. Concerns about climate change could result in new regulations, regulatory actions or requirements related to energy efficiency or reductions in GHG emissions, any of which could negatively affect our customers, or decrease the number, scope or types of projects they award, which could decrease demand for our services. Demand for power projects, underground pipelines or other projects could be negatively affected by significant changes in weather or by climate-related legislation or regulations. Changing customer preferences, including changes in demand for hydrocarbon or clean energy-related products and services, or negative effects from social or political activism, including public protests or local opposition to projects, could cause project delays or cancellations, increase our costs, or negatively affect demand for our services. Additionally, a transition of existing service offerings to alternative, lower carbon offerings could result in lower revenue and/or reduced levels of profitability.</w:t>
      </w:r>
    </w:p>
    <w:p>
      <w:pPr>
        <w:pStyle w:val="TextBody"/>
        <w:bidi w:val="0"/>
        <w:spacing w:lineRule="auto" w:line="288" w:before="120" w:after="120"/>
        <w:ind w:left="0" w:right="0" w:firstLine="720"/>
        <w:jc w:val="both"/>
        <w:rPr/>
      </w:pPr>
      <w:r>
        <w:rPr>
          <w:rFonts w:ascii="Times New Roman;serif" w:hAnsi="Times New Roman;serif"/>
          <w:b w:val="false"/>
          <w:color w:val="000000"/>
          <w:sz w:val="18"/>
        </w:rPr>
        <w:t>Legislative and/or regulatory responses related to climate change could also affect the availability of goods, increase our costs or otherwise negatively affect our operations. In addition, demand for our services could be negatively affected by market and consumer response to climate-related matters, new or changing compliance obligations of our customers, changes in technology</w:t>
      </w:r>
      <w:r>
        <w:rPr>
          <w:rFonts w:ascii="Times New Roman;serif" w:hAnsi="Times New Roman;serif"/>
          <w:b w:val="false"/>
          <w:color w:val="000000"/>
          <w:sz w:val="18"/>
          <w:shd w:fill="FFFFFF" w:val="clear"/>
        </w:rPr>
        <w:t xml:space="preserve">, and changes in our customers’ expectations and/or requirements for companies in their supply chains, which have affected, and could continue to affect, their selection of service providers or require those in their supply chain to meet certain climate and/or sustainability-related goals or disclosure requirements, which could also increase our costs. </w:t>
      </w:r>
      <w:r>
        <w:rPr>
          <w:rFonts w:ascii="Times New Roman;serif" w:hAnsi="Times New Roman;serif"/>
          <w:b w:val="false"/>
          <w:color w:val="000000"/>
          <w:sz w:val="18"/>
        </w:rPr>
        <w:t>Our ability to compete could also be affected by labor shortages resulting from lack of available skilled labor for new or emerging climate-related technologies. Additionally, if our stakeholders, including our customers, do not have a favorable view of our values and practices with respect to climate and/or sustainability-related matters, we could suffer reputational risk and reduced demand for our services, or an increase in our cost of, or a reduction in the availability of, capital.</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U.S. and international regulators, investors and other stakeholders have been focused on sustainability matters in recent years. For example, certain domestic and international laws and regulations relating to sustainability matters, including environmental sustainability, climate change, human rights and human capital management have been adopted or are under consideration, some of which include specific, target-driven disclosure requirements or obligations. Sustainability-related reporting and compliance requirements have increased our costs, including from increased investment in technology, expertise and implementation of new reporting processes. The above described effects of such regulations, as well as exposure to the risk of non-compliance and potential diversion of operational and/or management attention, could increase our costs and negatively affect our business, results of operations and cash flows. Environmental regulations and policies to encourage the use of clean energy technologies and regulate emissions of GHG to address climate change could cause uncertainty for our customers and our operations. In addition, the current presidential administration, combined with Republican Party majorities in both the U.S. House of Representatives and Senate, has created regulatory uncertainty with respect to climate change policy. For example, on January 20, 2025, President Trump signed an executive order to withdraw the United States from United Nations Framework Convention on Climate Change, marking a significant shift in U.S. climate policy, and effective as of January 27, 2026, the United States has withdrawn from the Paris Agreement. Such shift in U.S. climate policy continued during fiscal year 2025 and is expected to continue under current leadership. It remains unclear what further actions the federal government may take with respect to domestic and international regulations, programs and initiatives that could affect demand for or the economic viability of renewable energy infrastructure.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cannot predict future changes to environmental regulations and policies, nor can we predict the effects that any such changes would have on our business. The establishment of rules limiting GHG emissions or mandating lower carbon infrastructure could affect overall customer demand, reduce the need for certain of our services and/or affect our ability to perform construction services or to perform these services at current levels of profitability. For example, if new regulations were adopted regulating GHG emissions, or if we were otherwise required to undertake carbon emission reduction efforts, we could experience a significant increase in environmental compliance costs considering our large fleet and the amount of construction machinery we own. New regulations requiring us to acquire different equipment or change processes could result in an impairment of our current fleet or other equipment assets. Additionally, such new equipment may not be available, or we may not be able to purchase or rent this equipment in a cost-effective manner. Required investment in new technologies or adoption of new practices and processes to reduce our carbon emissions could increase our costs and reduce our profitability.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Compliance with any new laws or regulations relating to the reduction of GHG could result in significant required changes to our operations and a significant increase in the cost of conducting our business. In addition, our reputation could suffer and/or we could experience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07645"/>
                <wp:effectExtent l="0" t="0" r="0" b="0"/>
                <wp:wrapNone/>
                <wp:docPr id="30" name="Frame29"/>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reduction in the amount of future work we are awarded if our operations are perceived to result in high levels of GHG emissions or to otherwise pose environmental risks. Reductions in project awards, project deferrals, delays or cancellations, or increases in costs related to the effects of climate change, climate change initiatives or climate change regulations could have a material adverse effect on our results of operations, cash flows and liquidity.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Stakeholder expectations with respect to sustainability matters have been rapidly evolving and expanding. If we do not adapt to or comply with stakeholder expectations and standards as they continue to evolve, or if we are perceived to have not responded appropriately or quickly enough to growing concerns related to sustainability and climate-related matters, regardless of whether there is a regulatory or legal requirement to do so, we could experience a loss of business and be unable to attract and retain customers and talented personnel, or we could face an increase in sustainability or climate-related litigation and suffer reputational damage, all of which could adversely affect our business, results of operations and financial condition, and could result in an increase in our cost of capital and/or a decline in the price per share of our common stock.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from time to time, we establish strategies and expectations relative to sustainability matters. Our ability to achieve any such strategies or expectations is subject to numerous factors and conditions, many of which are outside of our control. Failures or delays in achieving our strategies or expectations, whether actual or perceived, could adversely affect our business, operations and reputation, and could increase our risk of litigation.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addition, our continuing efforts to research, establish, accomplish and accurately report on our sustainability strategy and efforts may create operational risks, increase our expenses and expose us to reputational, legal and other risks. Some of the statements in our voluntary disclosures regarding sustainability matters may be based on hypothetical expectations and assumptions that may or may not be representative of current or actual risks or events or forecasts of expected risks or events, including the costs associated therewith. Such expectations and assumptions are uncertain and could be inaccurate or subject to misinterpretation given the nature of the disclosures and commitments and the difficulty in identifying, measuring and reporting on such sustainability matters.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Risks Related to Financing Our Business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We have a significant amount of debt, including variable rate indebtedness, which could adversely affect our business, financial condition and results of operations, and our ability to access capital markets in the future. In addition, our debt contains restrictive covenants that may prevent us from engaging in transactions that might benefit us.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outstanding debt and debt service requirements could have significant consequences on our future operations, including: making it more difficult for us to meet our debt-related payment and other obligations; an event of default if we fail to comply with the financial and other restrictive covenants contained in our debt agreements, which could result in all of our debt becoming immediately due and payable; reducing the availability of our cash flows to fund working capital, capital expenditures, acquisitions or strategic investments, and limiting our ability to obtain additional financing for these purposes; limiting our flexibility in planning for, or reacting to, changes in our business, the industries in which we operate, and the general economy; and placing us at a competitive disadvantage compared to our competitors that have less debt or are less leveraged.</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Additionally, our variable rate indebtedness subjects us to interest rate risk. Although the Federal Reserve lowered short-term interest rates in 2025, interest rate volatility, particularly increases to interest rates, will increase our debt service obligations even if the principal amount borrowed remains the same, which would negatively affect our results of operations, cash flows and liquidity. See </w:t>
      </w:r>
      <w:hyperlink w:anchor="if4b0bf616dbc41b2b15400916ea5db26_79">
        <w:r>
          <w:rPr>
            <w:rStyle w:val="InternetLink"/>
            <w:rFonts w:ascii="Times New Roman;serif" w:hAnsi="Times New Roman;serif"/>
            <w:b w:val="false"/>
            <w:color w:val="0000FF"/>
            <w:sz w:val="18"/>
            <w:u w:val="single"/>
          </w:rPr>
          <w:t>Item 7A</w:t>
        </w:r>
      </w:hyperlink>
      <w:r>
        <w:rPr>
          <w:rFonts w:ascii="Times New Roman;serif" w:hAnsi="Times New Roman;serif"/>
          <w:b w:val="false"/>
          <w:color w:val="000000"/>
          <w:sz w:val="18"/>
        </w:rPr>
        <w:t>. “Quantitative and Qualitative Disclosures About Market Risk - Interest Rate Risk,” which is incorporated by reference, for further information about our debt subject to variable interest rates. Furthermore, if our credit rating is downgraded, it could increase borrowing costs on our variable rate indebtedness, and/or increase the cost of renewing or obtaining new debt financing or make it more difficult to renew, obtain or issue new debt financing in the future. The terms of our indebtedness contain customary events of default and covenants that prohibit us from taking certain actions without satisfying certain financial tests or obtaining the consent of the lenders. Should we be unable to comply with the terms and covenants of our indebtedness, including our credit facility, we would be required to obtain consents from our lenders, modify our credit facility or other debt instruments, or secure another source of financing to continue to operate our business, none of which may be available to us on reasonable terms or at all. A default could also result in the acceleration of our obligations. In addition, these covenants may prevent us from engaging in transactions that benefit us, including responding to changing business and economic conditions or securing additional financing, if needed.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ability to meet our payment and other obligations under our debt instruments depends on our ability to generate significant cash flow in the future, which can be subject to many factors, some of which are beyond our control. We cannot assure you that our business will generate future cash flow from operations, or that future borrowings will be available to us in an amount sufficient to enable us to meet our payment obligations and fund other liquidity needs. Our business is capital intensive, and if we are not able to generate sufficient cash flow to service our debt obligations, we may need to refinance or restructure our debt, sell assets, reduce or delay capital investments, or seek to raise additional capital, and some of these activities could have terms that are unfavorable or could be highly dilutive. Our ability to obtain additional financing or to refinance our existing indebtedness will depend on the capital markets and our financial condition at such time. Any of the above factors could adversely affect our results of operations, cash flows and liquidity.</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We may be unable to obtain sufficient bonding capacity to support certain service offerings, and the need for performance and surety bonds could reduce availability under our credit facility.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Some of our contracts require performance and payment bonds. If we are not able to renew or obtain a sufficient level of bonding capacity in the future, we may be precluded from being able to bid for certain contracts or successfully contract with certain customers. In addition, even if we are able to successfully renew or obtain performance or payment bonds, we may be required to post letters of credit in connection with the bonds, which would reduce availability under our credit facility. Furthermore, under standard terms in the surety market, sureties issue bonds on a project-by-project basis or for individual self-insurance programs and can decline to issue bonds at any time or require the posting of additional collateral as a condition to issuing or renewing any bonds. If we were to experience an interruption or reduction in the availability of bonding capacity, we may be unable to compete for or work on projects that require bonding.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07645"/>
                <wp:effectExtent l="0" t="0" r="0" b="0"/>
                <wp:wrapNone/>
                <wp:docPr id="31" name="Frame30"/>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Risks Related to Our Common Stock</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There may be future sales of our common stock or other dilution of our equity that could adversely affect the market price of our common stock and could dilute the ownership interests of our shareholders and/or lead to volatility in our common stock price.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not restricted from issuing additional common stock. Our Amended and Restated Articles of Incorporation provide that we may issue up to a total of 145.0 million shares of common stock, of which approximately 78.9 million shares were outstanding as of December 31, 2025. We grow our business organically as well as through acquisition. Occasionally, we may issue shares of stock as consideration in our acquisitions, and, typically, we have the option to issue shares of our common stock as consideration for future earn-out obligations. The issuance of additional shares of our common stock in connection with future acquisitions, financing transactions, share-based payment awards or other issuances of our common stock would dilute the ownership interest of our common shareholders. Sales of a substantial number of shares of our common stock or other equity-related securities in the public market could depress the market price of our common stock and impair our ability to raise capital through the sale of additional equity or equity-linked securities. We cannot predict the effect that future sales of our common stock or other equity-related securities would have on the market price of our common stock.</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The market price of our common stock has been, and may continue to be, highly volatile.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market price of our common stock on the New York Stock Exchange has been volatile in recent years. We may continue to experience significant volatility in the market price of our common stock. Numerous factors could have a significant effect on the price of our common stock, including: announcements of fluctuations in our operating results, our expectations of future operating results, or the operating results of our competitors; market conditions in our customers' industries, including the capital spending plans of our significant customers; announcements of new or terminated customers or contracts; announcements of acquisitions by us or our competitors; volatility in energy and fuel prices; changes in recommendations or earnings estimates by securities analysts; announcements of share repurchase programs, or activity under existing repurchase programs; and issuances of our common stock or other securities, including in connection with acquisition or financing transactions. In addition, the stock market continues to experience significant volatility, which can sometimes be unrelated or disproportionate to operating performance. Volatility in the market price of our common stock could cause shareholders to lose some or all of their investment in our common stock.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we have repurchased shares of our common stock in the past, including for the year ended December 31, 2025, and may continue to do so in the future. We cannot provide assurance that any stock repurchases will enhance shareholder value because the market price of our common stock may decline below the levels at which we repurchased such shares.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A small number of our existing shareholders have the ability to influence major corporate decisions.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Jorge Mas, our Chairman, and José R. Mas, our Chief Executive Officer, beneficially owned approximately 23% of the outstanding shares of our common stock as of December 31, 2025. Accordingly, they are in a position to influence the vote of most matters submitted to our shareholders, including any merger, consolidation or sale of all or substantially all of our assets, the nomination of individuals to our Board of Directors, and a change in our control. These factors could discourage, delay or prevent a takeover attempt that shareholders might consider in their best interests or that might result in shareholders receiving a premium for their common stock.</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Our articles of incorporation and certain provisions of Florida law contain anti-takeover provisions that may make it more difficult to effect a change in our control.</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Certain provisions of our articles of incorporation, by-laws and the Florida Business Corporation Act could delay or prevent an acquisition or change in control and the replacement of our incumbent directors and management, even if doing so might be beneficial to our shareholders by providing them with the opportunity to sell their shares at a premium over the then market price of our common stock. For example, our Board of Directors is divided into three classes. At any annual meeting of our shareholders, our shareholders only have the right to appoint approximately one-third of the directors on our Board of Directors. Consequently, it would take at least two annual shareholder meetings to effect a change in control of our Board of Directors, which could discourage hostile takeover bids. In addition, our articles of incorporation authorize our Board of Directors, without further shareholder approval, to issue preferred stock. The issuance of preferred stock could dilute the voting power of holders of our common stock, including the granting of voting control to others, which could delay or prevent an acquisition or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1440"/>
        <w:jc w:val="both"/>
        <w:rPr>
          <w:rFonts w:ascii="Times New Roman;serif" w:hAnsi="Times New Roman;serif"/>
          <w:b/>
          <w:color w:val="000000"/>
          <w:sz w:val="18"/>
        </w:rPr>
      </w:pPr>
      <w:r>
        <w:rPr>
          <w:rFonts w:ascii="Times New Roman;serif" w:hAnsi="Times New Roman;serif"/>
          <w:b/>
          <w:color w:val="000000"/>
          <w:sz w:val="18"/>
        </w:rPr>
        <w:t xml:space="preserve">ITEM 1B.    UNRESOLVED STAFF COMMENTS </w:t>
      </w:r>
    </w:p>
    <w:p>
      <w:pPr>
        <w:pStyle w:val="TextBody"/>
        <w:bidi w:val="0"/>
        <w:spacing w:lineRule="auto" w:line="288" w:before="18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1440"/>
        <w:jc w:val="both"/>
        <w:rPr>
          <w:rFonts w:ascii="Times New Roman;serif" w:hAnsi="Times New Roman;serif"/>
          <w:b/>
          <w:color w:val="000000"/>
          <w:sz w:val="18"/>
        </w:rPr>
      </w:pPr>
      <w:r>
        <w:rPr>
          <w:rFonts w:ascii="Times New Roman;serif" w:hAnsi="Times New Roman;serif"/>
          <w:b/>
          <w:color w:val="000000"/>
          <w:sz w:val="18"/>
        </w:rPr>
        <w:t>ITEM 1C.    CYBERSECURITY</w:t>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Risk Management and Strategy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Cybersecurity risk management is an important part of MasTec's overall risk management efforts. We maintain a comprehensive enterprise-wide information security program that comprises policies and controls designed to identify, safeguard against, detect, respond to, mitigate and manage reasonably foreseeable cybersecurity risks and threats. Our approach utilizes diverse security tools to prevent, identify, investigate, resolve and recover from vulnerabilities and security incidents. These include, but are not limited to, internal reporting, monitoring and detection tools.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use a collaborative, enterprise-wide strategy to address cybersecurity risks and allocate significant resources to our cybersecurity and risk management processes, which efforts are intended to adapt to the evolving cybersecurity landscape and promptly address emerging threats. Our cybersecurity risk management program aligns with the National Institute of Standards and Technology framework and is organized into five key functions: identification, protection, detection, response and recovery. We regularly assess the threat landscape and employ a layered cybersecurity strategy to prevent, detect and mitigate threats.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07645"/>
                <wp:effectExtent l="0" t="0" r="0" b="0"/>
                <wp:wrapNone/>
                <wp:docPr id="32" name="Frame31"/>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regularly collect data on cybersecurity threats and risk areas and conduct periodic external penetration and other tests to assess the effectiveness of our processes and procedures. We assess risks associated with third-party providers as part of our overall cybersecurity risk management framework by reviewing system and organization controls reports, when available, and other independent reports. We also generally require third parties to, among other things, maintain security controls to protect our confidential information and to promptly notify us of material breaches that may impact our data.</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engage third-party industry cybersecurity experts to evaluate and review our cybersecurity programs. Our cybersecurity risk management program encompasses such items as simulations, drills, assessments, and tabletop exercises with management's participation and incorporates third-party industry cybersecurity experts and advisors as appropriate. These simulations, drills and assessments are conducted to test our defenses from both a technical and an operational perspective. In addition, all employees with access to our information technology systems undergo security awareness training, with regular testing through simulated phishing emails. Certain employee positions require additional role-based, specialized security awareness or other cybersecurity training, as applicable. We also maintain a security operations center, which is staffed 24/7, to strengthen our monitoring and alerting efforts.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We face cybersecurity threats in the ordinary course of our business and have experienced cybersecurity threats and breach attempts in the past. Such threats and breach attempts have not materially affected our business, strategy, results of operations or financial condition. At any given time, however, we may face known or unknown cybersecurity risks and threats that cannot be fully prevented or mitigated, and we may discover vulnerabilities in our cybersecurity programs. Therefore, we may not be successful in preventing or mitigating a cybersecurity incident that could have a material adverse effect on us. For more information on the cybersecurity risks we face, please refer to </w:t>
      </w:r>
      <w:r>
        <w:rPr>
          <w:color w:val="000000"/>
        </w:rPr>
        <w:t>“</w:t>
      </w:r>
      <w:r>
        <w:rPr>
          <w:rFonts w:ascii="Times New Roman;serif" w:hAnsi="Times New Roman;serif"/>
          <w:b w:val="false"/>
          <w:i/>
          <w:color w:val="000000"/>
          <w:sz w:val="18"/>
        </w:rPr>
        <w:t>We rely on information, communications and data systems in our operations. Systems and information technology interruptions and/or data security breaches could adversely affect our ability to operate, our operating results, our data security or our reputation.”</w:t>
      </w:r>
      <w:r>
        <w:rPr>
          <w:color w:val="000000"/>
        </w:rPr>
        <w:t xml:space="preserve"> </w:t>
      </w:r>
      <w:r>
        <w:rPr>
          <w:rFonts w:ascii="Times New Roman;serif" w:hAnsi="Times New Roman;serif"/>
          <w:b w:val="false"/>
          <w:color w:val="000000"/>
          <w:sz w:val="18"/>
        </w:rPr>
        <w:t xml:space="preserve">in </w:t>
      </w:r>
      <w:hyperlink w:anchor="if4b0bf616dbc41b2b15400916ea5db26_19">
        <w:r>
          <w:rPr>
            <w:rStyle w:val="InternetLink"/>
            <w:rFonts w:ascii="Times New Roman;serif" w:hAnsi="Times New Roman;serif"/>
            <w:b w:val="false"/>
            <w:color w:val="0000FF"/>
            <w:sz w:val="18"/>
            <w:u w:val="single"/>
          </w:rPr>
          <w:t xml:space="preserve">Item 1A. </w:t>
        </w:r>
      </w:hyperlink>
      <w:r>
        <w:rPr>
          <w:color w:val="000000"/>
        </w:rPr>
        <w:t>“</w:t>
      </w:r>
      <w:r>
        <w:rPr>
          <w:rFonts w:ascii="Times New Roman;serif" w:hAnsi="Times New Roman;serif"/>
          <w:b w:val="false"/>
          <w:color w:val="000000"/>
          <w:sz w:val="18"/>
        </w:rPr>
        <w:t>Risk Factors.”</w:t>
      </w:r>
    </w:p>
    <w:p>
      <w:pPr>
        <w:pStyle w:val="TextBody"/>
        <w:bidi w:val="0"/>
        <w:spacing w:lineRule="auto" w:line="288" w:before="0" w:after="60"/>
        <w:jc w:val="both"/>
        <w:rPr>
          <w:rFonts w:ascii="Times New Roman;serif" w:hAnsi="Times New Roman;serif"/>
          <w:b/>
          <w:i/>
          <w:color w:val="000000"/>
          <w:sz w:val="18"/>
        </w:rPr>
      </w:pPr>
      <w:r>
        <w:rPr>
          <w:rFonts w:ascii="Times New Roman;serif" w:hAnsi="Times New Roman;serif"/>
          <w:b/>
          <w:i/>
          <w:color w:val="000000"/>
          <w:sz w:val="18"/>
        </w:rPr>
        <w:t>Governance</w:t>
      </w:r>
    </w:p>
    <w:p>
      <w:pPr>
        <w:pStyle w:val="TextBody"/>
        <w:bidi w:val="0"/>
        <w:spacing w:lineRule="auto" w:line="288" w:before="0" w:after="6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cybersecurity program is led by our Chief Information Security Officer (“CISO”), who reports to our Chief Information Officer (“CIO”). Our CISO is responsible for identifying, assessing and managing material cybersecurity risks, establishing processes to monitor such risks, putting appropriate mitigation measures in place, maintaining appropriate policies and procedures for our cybersecurity program and providing periodic updates to the Audit Committee of our Board of Directors. To this end, our cybersecurity team conducts annual reviews of enterprise-level cybersecurity risks. Additionally, we maintain company-wide policies and procedures concerning cybersecurity matters, which are subject to annual internal review, or more frequently, as warranted. MasTec's CISO oversees the development and implementation of our information security program and reports on cybersecurity matters to the Audit Committee. Our CISO has over 15 years of experience in cybersecurity oversight and holds industry-recognized information security certifications, such as the Certified Information Systems Security Professional (CISSP). The CISO is supported by our cybersecurity team composed of personnel with a broad range of professional cybersecurity experience and expertise, and also includes members with industry-recognized information security certifications.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CISO routinely informs our CIO, Chief Financial Officer and other members of management, as appropriate, about threats, including assessments of threat levels, trends, incidents and related remediation plans, including matters related to the prevention, detection and remediation of any incidents in accordance with our cybersecurity program.</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Board of Directors has oversight of our enterprise risk assessment and risk management processes, as well as the steps taken to mitigate these risks, including for cybersecurity matters. The Audit Committee of our Board of Directors has oversight of cybersecurity risk assessment and risk management policies as part of its risk management oversight responsibilities, and is responsible for ensuring that the Company has processes in place to identify, evaluate and manage cybersecurity risks, as well as appropriate processes and programs to mitigate cybersecurity incidents if they occur. The Audit Committee actively engages in cybersecurity risk discussions and receives periodic updates on the Company's cybersecurity program from our CISO, including updates on various cybersecurity matters such as risk assessments, threats, incidents, prevention, detection and remediation of incidents, mitigation strategies, areas of emerging risk and industry trends, among other topics. Significant cybersecurity matters, including those related to incidents, are escalated to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2.    PROPERTIES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operations are conducted from different locations, primarily within the United States and Canada, including our corporate headquarters located in Coral Gables, Florida. Substantially all of these properties, including our corporate headquarters, are leased facilities, none of which is material to our operations. We believe that our existing facilities are adequate for our current and planned levels of 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1440"/>
        <w:jc w:val="both"/>
        <w:rPr>
          <w:rFonts w:ascii="Times New Roman;serif" w:hAnsi="Times New Roman;serif"/>
          <w:b/>
          <w:color w:val="000000"/>
          <w:sz w:val="18"/>
        </w:rPr>
      </w:pPr>
      <w:r>
        <w:rPr>
          <w:rFonts w:ascii="Times New Roman;serif" w:hAnsi="Times New Roman;serif"/>
          <w:b/>
          <w:color w:val="000000"/>
          <w:sz w:val="18"/>
        </w:rPr>
        <w:t>ITEM 3.    LEGAL PROCEEDINGS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The information set forth in Note 15 - Commitments and Contingencies in the notes to the audited consolidated financial statements in </w:t>
      </w:r>
      <w:hyperlink w:anchor="if4b0bf616dbc41b2b15400916ea5db26_82">
        <w:r>
          <w:rPr>
            <w:rStyle w:val="InternetLink"/>
            <w:rFonts w:ascii="Times New Roman;serif" w:hAnsi="Times New Roman;serif"/>
            <w:b w:val="false"/>
            <w:color w:val="0000FF"/>
            <w:sz w:val="18"/>
            <w:u w:val="single"/>
          </w:rPr>
          <w:t>Item 8</w:t>
        </w:r>
      </w:hyperlink>
      <w:r>
        <w:rPr>
          <w:color w:val="000000"/>
        </w:rPr>
        <w:t xml:space="preserve"> </w:t>
      </w:r>
      <w:r>
        <w:rPr>
          <w:rFonts w:ascii="Times New Roman;serif" w:hAnsi="Times New Roman;serif"/>
          <w:b w:val="false"/>
          <w:color w:val="000000"/>
          <w:sz w:val="18"/>
        </w:rPr>
        <w:t>of this Form 10-K is incorporated by reference.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The information concerning mine safety violations or other regulatory matters required by Section 1503(a) of the Dodd-Frank Wall Street Reform and Consumer Protection Act and Item 104 of Regulation S-K is included in </w:t>
      </w:r>
      <w:hyperlink w:anchor="mtz12312510-kex951.htm">
        <w:r>
          <w:rPr>
            <w:rStyle w:val="InternetLink"/>
            <w:rFonts w:ascii="Times New Roman;serif" w:hAnsi="Times New Roman;serif"/>
            <w:b w:val="false"/>
            <w:color w:val="0000FF"/>
            <w:sz w:val="18"/>
            <w:u w:val="single"/>
          </w:rPr>
          <w:t>Exhibit 95.1</w:t>
        </w:r>
      </w:hyperlink>
      <w:r>
        <w:rPr>
          <w:color w:val="000000"/>
        </w:rPr>
        <w:t xml:space="preserve"> </w:t>
      </w:r>
      <w:r>
        <w:rPr>
          <w:rFonts w:ascii="Times New Roman;serif" w:hAnsi="Times New Roman;serif"/>
          <w:b w:val="false"/>
          <w:color w:val="000000"/>
          <w:sz w:val="18"/>
        </w:rPr>
        <w:t>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07645"/>
                <wp:effectExtent l="0" t="0" r="0" b="0"/>
                <wp:wrapNone/>
                <wp:docPr id="33" name="Frame32"/>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240" w:after="240"/>
        <w:jc w:val="center"/>
        <w:rPr>
          <w:rFonts w:ascii="Times New Roman;serif" w:hAnsi="Times New Roman;serif"/>
          <w:b/>
          <w:color w:val="000000"/>
          <w:sz w:val="18"/>
        </w:rPr>
      </w:pPr>
      <w:r>
        <w:rPr>
          <w:rFonts w:ascii="Times New Roman;serif" w:hAnsi="Times New Roman;serif"/>
          <w:b/>
          <w:color w:val="000000"/>
          <w:sz w:val="1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5.    MARKET FOR THE REGISTRANT’S COMMON EQUITY, RELATED SHAREHOLDER MATTERS AND ISSUER PURCHASES OF EQUITY SECURITIES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Market Information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common stock is listed on the New York Stock Exchange (“NYSE”) under the symbol “MTZ.”</w:t>
      </w:r>
    </w:p>
    <w:p>
      <w:pPr>
        <w:pStyle w:val="TextBody"/>
        <w:bidi w:val="0"/>
        <w:spacing w:lineRule="auto" w:line="288" w:before="120" w:after="120"/>
        <w:ind w:left="0" w:right="0" w:firstLine="720"/>
        <w:jc w:val="both"/>
        <w:rPr/>
      </w:pPr>
      <w:r>
        <w:rPr>
          <w:rFonts w:ascii="Times New Roman;serif" w:hAnsi="Times New Roman;serif"/>
          <w:b/>
          <w:i/>
          <w:color w:val="000000"/>
          <w:sz w:val="18"/>
        </w:rPr>
        <w:t>Holders.</w:t>
      </w:r>
      <w:r>
        <w:rPr>
          <w:color w:val="000000"/>
        </w:rPr>
        <w:t xml:space="preserve"> </w:t>
      </w:r>
      <w:r>
        <w:rPr>
          <w:rFonts w:ascii="Times New Roman;serif" w:hAnsi="Times New Roman;serif"/>
          <w:b w:val="false"/>
          <w:color w:val="000000"/>
          <w:sz w:val="18"/>
        </w:rPr>
        <w:t>As of February 23, 2026, there were 1,201 holders of record of our common stock. In calculating the number of shareholders, we consider clearing agencies and security position listings as one shareholder for each agency or listing.</w:t>
      </w:r>
    </w:p>
    <w:p>
      <w:pPr>
        <w:pStyle w:val="TextBody"/>
        <w:bidi w:val="0"/>
        <w:spacing w:lineRule="auto" w:line="288" w:before="120" w:after="120"/>
        <w:ind w:left="0" w:right="0" w:firstLine="720"/>
        <w:jc w:val="both"/>
        <w:rPr/>
      </w:pPr>
      <w:r>
        <w:rPr>
          <w:rFonts w:ascii="Times New Roman;serif" w:hAnsi="Times New Roman;serif"/>
          <w:b/>
          <w:i/>
          <w:color w:val="000000"/>
          <w:sz w:val="18"/>
        </w:rPr>
        <w:t>Dividends.</w:t>
      </w:r>
      <w:r>
        <w:rPr>
          <w:color w:val="000000"/>
        </w:rPr>
        <w:t xml:space="preserve"> </w:t>
      </w:r>
      <w:r>
        <w:rPr>
          <w:rFonts w:ascii="Times New Roman;serif" w:hAnsi="Times New Roman;serif"/>
          <w:b w:val="false"/>
          <w:color w:val="000000"/>
          <w:sz w:val="18"/>
        </w:rPr>
        <w:t>We have historically not paid cash dividends and do not currently anticipate paying a cash dividend. We intend to retain future earnings for reinvestment. Our Board of Directors will make any future determination as to the payment of dividends at its discretion, and this determination will depend upon our operating results, financial condition and capital requirements, general business conditions and such other factors that the Board of Directors considers relevant.</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Issuer Purchases of Equity Securities. </w:t>
      </w:r>
      <w:r>
        <w:rPr>
          <w:rFonts w:ascii="Times New Roman;serif" w:hAnsi="Times New Roman;serif"/>
          <w:b w:val="false"/>
          <w:color w:val="000000"/>
          <w:sz w:val="18"/>
        </w:rPr>
        <w:t>The Company’s share repurchase programs, under which it undertakes share repurchases for strategic purposes, including when (i) management believes that the market price of the Company’s stock is undervalued; (ii) such repurchases will enhance long-term shareholder value; (iii) the Company has adequate liquidity; and (iv) management believes that such repurchases are appropriate uses of capital, do not have an expiration date and may be modified or suspended at any time at the Company’s discretion. See Note 12 - Equity in the notes to the audited consolidated financial statements, which is incorporated by reference, for information pertaining to our share repurchase programs. For the year ended December 31, 2025, we repurchased a total of 702,533 shares of our common stock under our share repurchase programs.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information about repurchases of our common stock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554"/>
        <w:gridCol w:w="367"/>
        <w:gridCol w:w="368"/>
        <w:gridCol w:w="109"/>
        <w:gridCol w:w="109"/>
        <w:gridCol w:w="109"/>
        <w:gridCol w:w="499"/>
        <w:gridCol w:w="472"/>
        <w:gridCol w:w="473"/>
        <w:gridCol w:w="109"/>
        <w:gridCol w:w="109"/>
        <w:gridCol w:w="109"/>
        <w:gridCol w:w="264"/>
        <w:gridCol w:w="871"/>
        <w:gridCol w:w="147"/>
        <w:gridCol w:w="109"/>
        <w:gridCol w:w="109"/>
        <w:gridCol w:w="109"/>
        <w:gridCol w:w="726"/>
        <w:gridCol w:w="726"/>
        <w:gridCol w:w="729"/>
        <w:gridCol w:w="109"/>
        <w:gridCol w:w="109"/>
        <w:gridCol w:w="109"/>
        <w:gridCol w:w="376"/>
        <w:gridCol w:w="2021"/>
        <w:gridCol w:w="304"/>
      </w:tblGrid>
      <w:tr>
        <w:trPr/>
        <w:tc>
          <w:tcPr>
            <w:tcW w:w="5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Approximate Dollar Value of Shares that May Yet be Purchased under the Program </w:t>
            </w:r>
            <w:r>
              <w:rPr>
                <w:rFonts w:ascii="Times New Roman;serif" w:hAnsi="Times New Roman;serif"/>
                <w:b/>
                <w:color w:val="000000"/>
                <w:sz w:val="12"/>
              </w:rPr>
              <w:t>(b)</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1 through October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6,667 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left"/>
              <w:rPr/>
            </w:pPr>
            <w:r>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1 through November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1 through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16,318 </w:t>
            </w:r>
          </w:p>
        </w:tc>
        <w:tc>
          <w:tcPr>
            <w:tcW w:w="4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(a)Includes 6,667, 5,097, and 4,375 shares reacquired by the Company on the open market pursuant to the Amended ESPPs in October, November and December of 2025, respectively, and 179 shares withheld for income tax purposes in connection with shares issued under compensation and benefit programs in November of 2025.</w:t>
      </w:r>
    </w:p>
    <w:p>
      <w:pPr>
        <w:pStyle w:val="TextBody"/>
        <w:bidi w:val="0"/>
        <w:spacing w:lineRule="auto" w:line="288" w:before="6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(b)As of December 31, 2025, the full amount remains available for share repurchases under our May 2025 $250 million share repurchase program, which was publicly announced on May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07645"/>
                <wp:effectExtent l="0" t="0" r="0" b="0"/>
                <wp:wrapNone/>
                <wp:docPr id="34" name="Frame3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240" w:after="120"/>
        <w:jc w:val="left"/>
        <w:rPr>
          <w:rFonts w:ascii="Times New Roman;serif" w:hAnsi="Times New Roman;serif"/>
          <w:b/>
          <w:color w:val="000000"/>
          <w:sz w:val="18"/>
        </w:rPr>
      </w:pPr>
      <w:r>
        <w:rPr>
          <w:rFonts w:ascii="Times New Roman;serif" w:hAnsi="Times New Roman;serif"/>
          <w:b/>
          <w:color w:val="000000"/>
          <w:sz w:val="18"/>
        </w:rPr>
        <w:t>Performance Graph</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performance graph below compares the cumulative five year total return for our common stock with the cumulative total return (including reinvestment of dividends) of the Standard and Poor’s 500 Composite Stock Index (“S&amp;P 500”), and with that of the following members of a peer group consisting of Quanta Services, Inc., MYR Group, Inc., Dycom Industries, Inc. and Primoris Services Corporation. For the year ended December 31, 2025, we removed Jacobs Solutions Inc. from our peer group comparison due to dissimilarities with respect to the nature of its service offerings and end markets. The graph assumes that the value of the investment in our common stock, as well as that of the S&amp;P 500 and our peer group, was $100 on December 31, 2020 and tracks it through December 31, 2025. The comparisons in the graph are based upon historical data and are not intended to forecast or be indicative of possible future performance of our common stock.</w:t>
      </w:r>
    </w:p>
    <w:p>
      <w:pPr>
        <w:pStyle w:val="TextBody"/>
        <w:bidi w:val="0"/>
        <w:spacing w:lineRule="auto" w:line="288" w:before="120" w:after="12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The performance graph shall not be deemed incorporated by reference by any general statement incorporating by reference this Annual Report into any filing under the Securities Act of 1933 or the Securities Exchange Act of 1934, except to the extent we specifically incorporate this information by reference, and shall not otherwise be deemed filed under such acts.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COMPARISON OF 5 YEAR CUMULATIVE TOTAL RETURN*</w:t>
      </w:r>
    </w:p>
    <w:p>
      <w:pPr>
        <w:pStyle w:val="TextBody"/>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Among MasTec, Inc., the S&amp;P 500 Index, and MasTec’s 2024 and 2025 Peer Group</w:t>
      </w:r>
    </w:p>
    <w:p>
      <w:pPr>
        <w:pStyle w:val="TextBody"/>
        <w:bidi w:val="0"/>
        <w:spacing w:before="60" w:after="20"/>
        <w:jc w:val="center"/>
        <w:rPr/>
      </w:pPr>
      <w:r>
        <w:rPr/>
        <w:drawing>
          <wp:inline distT="0" distB="0" distL="0" distR="0">
            <wp:extent cx="4438650" cy="3171825"/>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4438650" cy="3171825"/>
                    </a:xfrm>
                    <a:prstGeom prst="rect">
                      <a:avLst/>
                    </a:prstGeom>
                  </pic:spPr>
                </pic:pic>
              </a:graphicData>
            </a:graphic>
          </wp:inline>
        </w:drawing>
      </w:r>
      <w:bookmarkStart w:id="1" w:name="i-2"/>
      <w:bookmarkEnd w:id="1"/>
    </w:p>
    <w:p>
      <w:pPr>
        <w:pStyle w:val="TextBody"/>
        <w:bidi w:val="0"/>
        <w:spacing w:lineRule="auto" w:line="288" w:before="120" w:after="60"/>
        <w:jc w:val="center"/>
        <w:rPr>
          <w:rFonts w:ascii="Times New Roman;serif" w:hAnsi="Times New Roman;serif"/>
          <w:b w:val="false"/>
          <w:color w:val="000000"/>
          <w:sz w:val="18"/>
        </w:rPr>
      </w:pPr>
      <w:r>
        <w:rPr>
          <w:rFonts w:ascii="Times New Roman;serif" w:hAnsi="Times New Roman;serif"/>
          <w:b w:val="false"/>
          <w:color w:val="000000"/>
          <w:sz w:val="18"/>
        </w:rPr>
        <w:t>*$100 invested on 12/31/20 in stock or index, including reinvestment of dividends.</w:t>
      </w:r>
    </w:p>
    <w:p>
      <w:pPr>
        <w:pStyle w:val="TextBody"/>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Fiscal year ending December 31.</w:t>
      </w:r>
    </w:p>
    <w:p>
      <w:pPr>
        <w:pStyle w:val="TextBody"/>
        <w:bidi w:val="0"/>
        <w:spacing w:lineRule="auto" w:line="288" w:before="60" w:after="120"/>
        <w:jc w:val="center"/>
        <w:rPr>
          <w:rFonts w:ascii="Times New Roman;serif" w:hAnsi="Times New Roman;serif"/>
          <w:b w:val="false"/>
          <w:color w:val="000000"/>
          <w:sz w:val="16"/>
        </w:rPr>
      </w:pPr>
      <w:r>
        <w:rPr>
          <w:rFonts w:ascii="Times New Roman;serif" w:hAnsi="Times New Roman;serif"/>
          <w:b w:val="false"/>
          <w:color w:val="000000"/>
          <w:sz w:val="16"/>
        </w:rPr>
        <w:t>Copyright© 2026 Standard &amp; Poor’s, a division of S&amp;P Global. All rights reserved.</w:t>
      </w:r>
    </w:p>
    <w:tbl>
      <w:tblPr>
        <w:tblW w:w="8990" w:type="dxa"/>
        <w:jc w:val="left"/>
        <w:tblInd w:w="0" w:type="dxa"/>
        <w:tblLayout w:type="fixed"/>
        <w:tblCellMar>
          <w:top w:w="28" w:type="dxa"/>
          <w:left w:w="28" w:type="dxa"/>
          <w:bottom w:w="28" w:type="dxa"/>
          <w:right w:w="28" w:type="dxa"/>
        </w:tblCellMar>
      </w:tblPr>
      <w:tblGrid>
        <w:gridCol w:w="581"/>
        <w:gridCol w:w="511"/>
        <w:gridCol w:w="512"/>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 of December 31,</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MasTec, Inc.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 500</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 Peer Group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Peer Group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ind w:left="0" w:right="0" w:hanging="1440"/>
        <w:jc w:val="both"/>
        <w:rPr>
          <w:rFonts w:ascii="Times New Roman;serif" w:hAnsi="Times New Roman;serif"/>
          <w:b/>
          <w:color w:val="000000"/>
          <w:sz w:val="18"/>
        </w:rPr>
      </w:pPr>
      <w:r>
        <w:rPr>
          <w:rFonts w:ascii="Times New Roman;serif" w:hAnsi="Times New Roman;serif"/>
          <w:b/>
          <w:color w:val="000000"/>
          <w:sz w:val="1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07645"/>
                <wp:effectExtent l="0" t="0" r="0" b="0"/>
                <wp:wrapNone/>
                <wp:docPr id="36" name="Frame34"/>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240" w:after="120"/>
        <w:ind w:left="0" w:right="0" w:hanging="1440"/>
        <w:jc w:val="left"/>
        <w:rPr>
          <w:rFonts w:ascii="Times New Roman;serif" w:hAnsi="Times New Roman;serif"/>
          <w:b/>
          <w:color w:val="000000"/>
          <w:sz w:val="18"/>
        </w:rPr>
      </w:pPr>
      <w:r>
        <w:rPr>
          <w:rFonts w:ascii="Times New Roman;serif" w:hAnsi="Times New Roman;serif"/>
          <w:b/>
          <w:color w:val="000000"/>
          <w:sz w:val="18"/>
        </w:rPr>
        <w:t>ITEM 7.     MANAGEMENT’S DISCUSSION AND ANALYSIS OF FINANCIAL CONDITION AND RESULTS OF OPERATIONS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The following discussion and analysis of our business, financial condition and results of operations should be read in conjunction with our audited consolidated financial statements and notes thereto in </w:t>
      </w:r>
      <w:hyperlink w:anchor="if4b0bf616dbc41b2b15400916ea5db26_82">
        <w:r>
          <w:rPr>
            <w:rStyle w:val="InternetLink"/>
            <w:rFonts w:ascii="Times New Roman;serif" w:hAnsi="Times New Roman;serif"/>
            <w:b w:val="false"/>
            <w:color w:val="0000FF"/>
            <w:sz w:val="18"/>
            <w:u w:val="single"/>
          </w:rPr>
          <w:t>Item 8</w:t>
        </w:r>
      </w:hyperlink>
      <w:r>
        <w:rPr>
          <w:color w:val="000000"/>
        </w:rPr>
        <w:t xml:space="preserve"> </w:t>
      </w:r>
      <w:r>
        <w:rPr>
          <w:rFonts w:ascii="Times New Roman;serif" w:hAnsi="Times New Roman;serif"/>
          <w:b w:val="false"/>
          <w:color w:val="000000"/>
          <w:sz w:val="18"/>
        </w:rPr>
        <w:t xml:space="preserve">of this Form 10-K. The discussion below contains forward-looking statements that are based upon our current expectations and is subject to uncertainty and changes in circumstances. Actual results may differ materially from these expectations due to inaccurate assumptions and known or unknown risks and uncertainties, including those identified in “Cautionary Statement Regarding Forward-Looking Statements” and </w:t>
      </w:r>
      <w:hyperlink w:anchor="if4b0bf616dbc41b2b15400916ea5db26_19">
        <w:r>
          <w:rPr>
            <w:rStyle w:val="InternetLink"/>
            <w:rFonts w:ascii="Times New Roman;serif" w:hAnsi="Times New Roman;serif"/>
            <w:b w:val="false"/>
            <w:color w:val="0000FF"/>
            <w:sz w:val="18"/>
            <w:u w:val="single"/>
          </w:rPr>
          <w:t>Item 1A.</w:t>
        </w:r>
      </w:hyperlink>
      <w:r>
        <w:rPr>
          <w:color w:val="000000"/>
        </w:rPr>
        <w:t xml:space="preserve"> “</w:t>
      </w:r>
      <w:r>
        <w:rPr>
          <w:rFonts w:ascii="Times New Roman;serif" w:hAnsi="Times New Roman;serif"/>
          <w:b w:val="false"/>
          <w:color w:val="000000"/>
          <w:sz w:val="18"/>
        </w:rPr>
        <w:t>Risk Factors.”</w:t>
      </w: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 xml:space="preserve">General Economic, Market and Regulatory Conditions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experienced, and may continue to experience, direct and indirect negative effects on our business and operations from economic, market and regulatory conditions, including the level of interest rates; inflationary effects on the costs of labor, materials and fuel; supply chain disruptions; uncertainty related to the implementation and pace of spending under governmental programs and initiatives related to infrastructure and other industrial investment, delays and uncertainty related to project permitting and/or other regulatory matters or uncertainty; climate, environmental and sustainability-related matters; changes in technology, tax and other incentives; potential market volatility that could negatively affect demand for future projects, and/or delay existing project timing or cause increased project costs; and public health matters. Additionally, the effects of ongoing geopolitical events that are outside of our control, could potentially increase volatility and uncertainty in the energy and capital markets, which could delay projects and/or negatively affect demand for future projects.</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year ended December 31, 2025, the U.S. government announced or imposed a variety of tariff or other trade actions, in response to which many countries have announced retaliatory trade actions, including tariffs on U.S. exports or bans by foreign countries on certain of their exports. These actions have increased the cost of importing certain construction materials into the U.S., including steel, concrete, copper and solar panels, and have caused disruption and uncertainty to both international trade and supply chains, in turn affecting project demand and timing. More recently, on February 20, 2026, the U.S. Supreme Court ruled that certain trade tariffs imposed by the U.S. federal government under the IEEPA were unconstitutional. Following the U.S. Supreme Court’s decision, the U.S. presidential administration announced its intention to invoke other laws to collect tariffs and announced new tariffs on imports from all countries, in addition to any existing non-IEEPA tariffs. Significant uncertainty remains regarding the status of existing and newly announced tariffs, potential changes or pauses to such tariffs, tariff levels, and whether further additional tariffs or other retaliatory actions may be imposed, modified, or suspended. While the duration, extent and effects of these tariffs and trade actions cannot be predicted with certainty, these policy changes could impact our ability to execute projects and have a material adverse effect on our business, financial condition, and results of operations.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Further, on July 4, 2025, OBBBA was signed into law in the United States increasing federal support for oil and gas production while reducing support for renewable energy and infrastructure. Notably, the OBBBA accelerates the phaseout of certain clean energy tax credits established under the IRA, including the clean electricity investment and clean energy production credits for solar and wind projects, which may reduce longer term demand for such projects. Under the new provisions, these credits will no longer be available for projects placed in service after December 31, 2027, unless construction begins on or before July 4, 2026, pursuant to a grandfathering rule. Projects that qualify under this rule must still meet continuity requirements to remain eligible. At the same time, the OBBBA contains other provisions to incentivize oil and gas development as well as to support energy infrastructure such as carbon capture and energy storage. The OBBBA, along with other evolving trade and immigration policies, may have both positive and negative effects on our business, including, but not limited to, shifts in the timing, type and scope of customer projects, fluctuations in demand for our services, and changes in capital and labor costs, including availability.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extent to which general economic, market, political and regulatory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believe that our financial position, cash flows and operational strengths will enable us to manage the current uncertainties resulting from general economic, market and regulatory conditions. We carefully manage our liquidity and monitor any potential effects from changing economic, market and regulatory conditions on our financial results, cash flows and/or working capital and will take appropriate actions in efforts to mitigate any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both"/>
        <w:rPr>
          <w:rFonts w:ascii="Times New Roman;serif" w:hAnsi="Times New Roman;serif"/>
          <w:b/>
          <w:color w:val="000000"/>
          <w:sz w:val="18"/>
        </w:rPr>
      </w:pPr>
      <w:r>
        <w:rPr>
          <w:rFonts w:ascii="Times New Roman;serif" w:hAnsi="Times New Roman;serif"/>
          <w:b/>
          <w:color w:val="000000"/>
          <w:sz w:val="18"/>
        </w:rPr>
        <w:t>Business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See </w:t>
      </w:r>
      <w:r>
        <w:rPr>
          <w:rFonts w:ascii="Times New Roman;serif" w:hAnsi="Times New Roman;serif"/>
          <w:b w:val="false"/>
          <w:color w:val="0000FF"/>
          <w:sz w:val="18"/>
          <w:u w:val="single"/>
        </w:rPr>
        <w:t>Item 1.</w:t>
      </w:r>
      <w:r>
        <w:rPr>
          <w:color w:val="000000"/>
        </w:rPr>
        <w:t xml:space="preserve"> “</w:t>
      </w:r>
      <w:r>
        <w:rPr>
          <w:rFonts w:ascii="Times New Roman;serif" w:hAnsi="Times New Roman;serif"/>
          <w:b w:val="false"/>
          <w:color w:val="000000"/>
          <w:sz w:val="18"/>
        </w:rPr>
        <w:t>Business” for discussion pertaining to our business and reportable segments.</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seek to grow and diversify our business both organically and through acquisitions and/or strategic arrangements in order to deepen our market presence and customer base, broaden our geographic reach and expand our service offerings. In 2021, we initiated a significant transformation of our end-market business operations to position us for expected future growth opportunities. This transformation included significant business combination activity, including expansion of our scale and capacity in renewable energy, power delivery, heavy civil and telecommunications services, which resulted in significant acquisition and integration costs in subsequent periods. Although acquisitions continue to be an element of our growth strategy, the integration activities related to the transformation-related acquisitions were completed in the fourth quarter of 2023. </w:t>
      </w:r>
    </w:p>
    <w:p>
      <w:pPr>
        <w:pStyle w:val="TextBody"/>
        <w:bidi w:val="0"/>
        <w:spacing w:lineRule="auto" w:line="288" w:before="120" w:after="120"/>
        <w:ind w:left="0" w:right="0" w:firstLine="720"/>
        <w:jc w:val="both"/>
        <w:rPr/>
      </w:pPr>
      <w:r>
        <w:rPr>
          <w:rFonts w:ascii="Times New Roman;serif" w:hAnsi="Times New Roman;serif"/>
          <w:b/>
          <w:i/>
          <w:color w:val="000000"/>
          <w:sz w:val="18"/>
        </w:rPr>
        <w:t>Recent acquisitions</w:t>
      </w:r>
      <w:r>
        <w:rPr>
          <w:rFonts w:ascii="Times New Roman;serif" w:hAnsi="Times New Roman;serif"/>
          <w:b w:val="false"/>
          <w:color w:val="000000"/>
          <w:sz w:val="18"/>
        </w:rPr>
        <w:t>. Subsequent to December 31, 2025, we completed one acquisition of an infrastructure services company that specializes in water and wastewater distribution networks in the south central region of the United States, which will be included within our Clean Energy and Infrastructure segment.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During 2025, we completed five acquisitions, which included all of the equity interests of the following: (i) within our Communications segment: a telecommunications construction company, which acquisition was effective in July; (ii) within our Pipeline Infrastructure segment: a construction company specializing in roadway infrastructure, which acquisition was effective in August; and (iii) within our Clean Energy and Infrastructure segment: a construction company specializing in construction management and design-build services, which acquisition was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07645"/>
                <wp:effectExtent l="0" t="0" r="0" b="0"/>
                <wp:wrapNone/>
                <wp:docPr id="37" name="Frame35"/>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in December. Additionally, we acquired certain operations and assets of a business specializing in install-to-the-home services included within our Communications segment, effective in November, and, effective in July, we acquired certain of the assets of an equipment company, which is included within our Pipeline Infrastructure segment.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2024, we completed three acquisitions, including, within our Power Delivery segment, all of the equity interests of a construction company focused on underground utility infrastructure for industrial and municipal projects, with expertise in data center utility systems; certain operations of a heavy civil contractor specializing in transportation projects, which acquisition was included within our Clean Energy and Infrastructure segment; and, within our Pipeline Infrastructure segment, the acquisition of the equity interests of a company focused on pipeline infrastructure and heavy civil projects. In connection with the acquisition within our Pipeline Infrastructure segment, we acquired 60% of the equity interest of the company in exchange for consideration transferred of cash and a 40% equity interest in a MasTec Canadian subsidiary.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2023, we completed four acquisitions including, within our Communications segment, certain of the assets of a telecommunications company specializing in wireless services; and a telecommunications construction company specializing in broadband and fiber-to-the-home initiatives in the New England area. Additionally, we acquired certain of the equity interests of two equipment companies, both of which are included within our Pipeline Infrastructure segment.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additional information, see Note 3 - Acquisitions, Goodwill and Other Intangible Assets, Net in the notes to the audited consolidated financial statements, which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 xml:space="preserve">Economic, Industry and Market Factors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closely monitor the effects of changes in economic, industry and market conditions on our customers, including the potential effects of the factors discussed above in “General Economic, Market and Regulatory Conditions,” which can affect demand for our customers’ products and services and can increase or decrease our customers’ planned capital and maintenance budgets in certain end-markets. Any of these factors and effects, as well as mergers and acquisitions or other business transactions among the customers we serve, could affect demand for our services, or the cost to provide such services and our profitability.</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Changes in demand in our customers’ businesses and fluctuations in market prices for energy sources, including oil and gas products, can affect demand for our services. In particular, such changes can affect the level of activity in energy generation projects, including from renewable energy sources, as well as pipeline construction and carbon capture projects. The availability of transportation and transmission capacity can also affect demand for our services, including energy generation, electric grid and pipeline construction projects. These factors, as well as the highly competitive nature of our industry, can result in changes in levels of activity, project mix, and/or the profitability of the services we provide. We strive to maintain our profit margins through productivity improvements, integration and cost reduction programs and/or business streamlining efforts when operating under conditions of increased pricing pressure or other market developments. Market factors, including elevated rates of interest and inflation and the related effects on labor, materials and fuel costs, have had, and could continue to have, a negative effect on our profitability, to the extent that we are not able to pass these costs through to our customers. While we actively monitor economic, industry and market factors that could affect our business, we cannot predict the effect that changes in such factors could have on our future results of operations, liquidity and cash flows, and we may be unable to fully mitigate, or benefit from, such changes. See </w:t>
      </w:r>
      <w:r>
        <w:rPr>
          <w:rFonts w:ascii="Times New Roman;serif" w:hAnsi="Times New Roman;serif"/>
          <w:b w:val="false"/>
          <w:color w:val="0000FF"/>
          <w:sz w:val="18"/>
          <w:u w:val="single"/>
        </w:rPr>
        <w:t>Item 1.</w:t>
      </w:r>
      <w:r>
        <w:rPr>
          <w:color w:val="000000"/>
        </w:rPr>
        <w:t xml:space="preserve"> “</w:t>
      </w:r>
      <w:r>
        <w:rPr>
          <w:rFonts w:ascii="Times New Roman;serif" w:hAnsi="Times New Roman;serif"/>
          <w:b w:val="false"/>
          <w:color w:val="000000"/>
          <w:sz w:val="18"/>
        </w:rPr>
        <w:t xml:space="preserve">Business” under “Industry Trends” and </w:t>
      </w:r>
      <w:hyperlink w:anchor="if4b0bf616dbc41b2b15400916ea5db26_19">
        <w:r>
          <w:rPr>
            <w:rStyle w:val="InternetLink"/>
            <w:rFonts w:ascii="Times New Roman;serif" w:hAnsi="Times New Roman;serif"/>
            <w:b w:val="false"/>
            <w:color w:val="0000FF"/>
            <w:sz w:val="18"/>
            <w:u w:val="single"/>
          </w:rPr>
          <w:t>Item 1A.</w:t>
        </w:r>
      </w:hyperlink>
      <w:r>
        <w:rPr>
          <w:color w:val="000000"/>
        </w:rPr>
        <w:t xml:space="preserve"> “</w:t>
      </w:r>
      <w:r>
        <w:rPr>
          <w:rFonts w:ascii="Times New Roman;serif" w:hAnsi="Times New Roman;serif"/>
          <w:b w:val="false"/>
          <w:color w:val="000000"/>
          <w:sz w:val="18"/>
        </w:rPr>
        <w:t>Risk Factors” under “</w:t>
      </w:r>
      <w:r>
        <w:rPr>
          <w:rFonts w:ascii="Times New Roman;serif" w:hAnsi="Times New Roman;serif"/>
          <w:b w:val="false"/>
          <w:i/>
          <w:color w:val="000000"/>
          <w:sz w:val="18"/>
        </w:rPr>
        <w:t>Unfavorable market conditions, including elevated levels of inflation and/or interest rates, supply chain disruptions, political regulatory or market uncertainty, including economic downturns and heightened geopolitical tensions and conflicts, could reduce capital expenditures in the industries we serve or could adversely affect our customers and result in decreased demand for our services.</w:t>
      </w:r>
      <w:r>
        <w:rPr>
          <w:color w:val="000000"/>
        </w:rPr>
        <w:t xml:space="preserve">” </w:t>
      </w:r>
      <w:r>
        <w:rPr>
          <w:rFonts w:ascii="Times New Roman;serif" w:hAnsi="Times New Roman;serif"/>
          <w:b w:val="false"/>
          <w:color w:val="000000"/>
          <w:sz w:val="18"/>
        </w:rPr>
        <w:t xml:space="preserve">for discussion pertaining to opportunities in the industries we serve and potential effects of market conditions. </w:t>
      </w: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 xml:space="preserve">Effect of Seasonality and Cyclical Nature of Business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revenue and results of operations can be subject to seasonal and other variations. These variations are influenced by customer spending patterns, bidding seasons, project schedules, weather and/or climate-related effects, holidays, regulatory matters and/or timing, in particular, for large non-recurring projects, and the effects of market uncertainty or disruptions, as described within “Economic, Industry and Market Factors,” above.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revenue is generally lower at the beginning of the year and during the winter months because harsher weather, such as cold, snowy or wet conditions, can delay projects. Revenue is generally higher during the summer and fall months due to increased demand for our services when favorable weather conditions exist in many of the regions in which we operate, but continued cold and wet weather can often affect second quarter project activity and/or productivity. In the fourth quarter, many projects tend to be completed by customers seeking to spend their capital budgets before the end of the year, which can have a positive effect on our revenue. Customers, however, could also curtail certain of their project activities toward the end of the year as they await capital budget allocations for the next year. The holiday season and inclement weather can cause delays, which can reduce revenue and increase costs on affected projects during the related period. Any quarter may be positively or negatively affected by adverse or unusual weather patterns and/or climate-related effects, including warm winter weather, excessive rainfall, flooding or natural catastrophes such as wildfires, hurricanes, excessive winds or other severe weather, making it difficult to predict quarterly revenue and margin variations.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our industry can be highly cyclical and may be adversely affected by industry declines, changes or delays in new projects, and/or changes in consumer or customer demand.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including from changes in end market customer demand, customer revenue mix, or project timing. The financial condition of our customers and their access to capital; variations in project margins; regional, national and global economic, political and market conditions; regulatory or environmental influences, including climate-related matters; and acquisitions, dispositions or strategic arrangements can also materially affect quarterly results in a given period. Accordingly, our operating results in any particular period may not be indicative of the results that can be expected for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07645"/>
                <wp:effectExtent l="0" t="0" r="0" b="0"/>
                <wp:wrapNone/>
                <wp:docPr id="38" name="Frame36"/>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 xml:space="preserve">Understanding Our Results of Operations </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Revenue. </w:t>
      </w:r>
      <w:r>
        <w:rPr>
          <w:rFonts w:ascii="Times New Roman;serif" w:hAnsi="Times New Roman;serif"/>
          <w:b w:val="false"/>
          <w:color w:val="000000"/>
          <w:sz w:val="18"/>
        </w:rPr>
        <w:t xml:space="preserve">We primarily provide engineering, building, installation, maintenance and upgrade services to our customers. We derive revenue from projects performed under master and other service agreements as well as from contracts for specific projects requiring the construction and installation of an entire infrastructure system or specified units within an infrastructure system. See </w:t>
      </w:r>
      <w:hyperlink w:anchor="if4b0bf616dbc41b2b15400916ea5db26_1913">
        <w:r>
          <w:rPr>
            <w:rStyle w:val="InternetLink"/>
            <w:rFonts w:ascii="Times New Roman;serif" w:hAnsi="Times New Roman;serif"/>
            <w:b w:val="false"/>
            <w:color w:val="0000FF"/>
            <w:sz w:val="18"/>
            <w:u w:val="single"/>
          </w:rPr>
          <w:t>Item 1.</w:t>
        </w:r>
      </w:hyperlink>
      <w:r>
        <w:rPr>
          <w:color w:val="000000"/>
        </w:rPr>
        <w:t xml:space="preserve"> “</w:t>
      </w:r>
      <w:r>
        <w:rPr>
          <w:rFonts w:ascii="Times New Roman;serif" w:hAnsi="Times New Roman;serif"/>
          <w:b w:val="false"/>
          <w:color w:val="000000"/>
          <w:sz w:val="18"/>
        </w:rPr>
        <w:t>Business” for discussion of our business and revenue-generating activities and “Comparison of Fiscal Year Results” below for revenue results by reportable segment.</w:t>
      </w:r>
    </w:p>
    <w:p>
      <w:pPr>
        <w:pStyle w:val="TextBody"/>
        <w:bidi w:val="0"/>
        <w:spacing w:lineRule="auto" w:line="288" w:before="120" w:after="120"/>
        <w:ind w:left="0" w:right="0" w:firstLine="720"/>
        <w:jc w:val="both"/>
        <w:rPr/>
      </w:pPr>
      <w:r>
        <w:rPr>
          <w:rFonts w:ascii="Times New Roman;serif" w:hAnsi="Times New Roman;serif"/>
          <w:b/>
          <w:i/>
          <w:color w:val="000000"/>
          <w:sz w:val="18"/>
        </w:rPr>
        <w:t>Costs of Revenue, Excluding Depreciation and Amortization.</w:t>
      </w:r>
      <w:r>
        <w:rPr>
          <w:color w:val="000000"/>
        </w:rPr>
        <w:t xml:space="preserve"> </w:t>
      </w:r>
      <w:r>
        <w:rPr>
          <w:rFonts w:ascii="Times New Roman;serif" w:hAnsi="Times New Roman;serif"/>
          <w:b w:val="false"/>
          <w:color w:val="000000"/>
          <w:sz w:val="18"/>
        </w:rPr>
        <w:t>Costs of revenue, excluding depreciation and amortization, consists principally of employee compensation, including salaries, employee benefits and incentive compensation; certain other employee expenses, including travel and training; subcontracted services; equipment and facility rentals; fuel and other equipment expenses; repairs and maintenance; materials and supplies; insurance expenses; certain legal and settlement matters; and certain other operating expenses. Project profit is calculated by subtracting a project’s costs of revenue, including project-related depreciation, from project revenue. Project profit and corresponding project margins will generally be reduced if actual costs to complete a project exceed our project cost estimates and we are unable to pass the increased costs to our customers. Estimated losses on contracts, or the excess of the total estimated costs to complete a contract over the contract’s total estimated contract transaction price, are recognized in the period in which such losses are determined. Factors impacting our costs of revenue, excluding depreciation and amortization, and project profit, include:</w:t>
      </w:r>
    </w:p>
    <w:p>
      <w:pPr>
        <w:pStyle w:val="TextBody"/>
        <w:bidi w:val="0"/>
        <w:spacing w:lineRule="auto" w:line="288" w:before="120" w:after="120"/>
        <w:ind w:left="0" w:right="0" w:firstLine="1080"/>
        <w:jc w:val="both"/>
        <w:rPr/>
      </w:pPr>
      <w:r>
        <w:rPr>
          <w:rFonts w:ascii="Times New Roman;serif" w:hAnsi="Times New Roman;serif"/>
          <w:b w:val="false"/>
          <w:i/>
          <w:color w:val="000000"/>
          <w:sz w:val="18"/>
        </w:rPr>
        <w:t xml:space="preserve">Project Mix. </w:t>
      </w:r>
      <w:r>
        <w:rPr>
          <w:rFonts w:ascii="Times New Roman;serif" w:hAnsi="Times New Roman;serif"/>
          <w:b w:val="false"/>
          <w:color w:val="000000"/>
          <w:sz w:val="18"/>
        </w:rPr>
        <w:t>Revenue mix impacts our overall project margins, as margin opportunities and/or risks can vary by project type, industry, and by segment over time. For example, installation work that is performed on a fixed price basis has a higher level of margin opportunity or risk than maintenance or upgrade work, including those under master service and other service arrangements, which is often performed under pre-established fixed price per unit or time and materials pricing arrangements. As a result, changes in project mix between installation work performed on a fixed price basis, and maintenance or upgrade services that are performed under pre-established fixed price per unit or time and materials pricing arrangements, can affect our project margins in a given period.</w:t>
      </w:r>
    </w:p>
    <w:p>
      <w:pPr>
        <w:pStyle w:val="TextBody"/>
        <w:bidi w:val="0"/>
        <w:spacing w:lineRule="auto" w:line="288" w:before="120" w:after="120"/>
        <w:ind w:left="0" w:right="0" w:firstLine="1080"/>
        <w:jc w:val="both"/>
        <w:rPr/>
      </w:pPr>
      <w:r>
        <w:rPr>
          <w:rFonts w:ascii="Times New Roman;serif" w:hAnsi="Times New Roman;serif"/>
          <w:b w:val="false"/>
          <w:i/>
          <w:color w:val="000000"/>
          <w:sz w:val="18"/>
        </w:rPr>
        <w:t xml:space="preserve">Seasonality, Weather and Geographic Mix. </w:t>
      </w:r>
      <w:r>
        <w:rPr>
          <w:rFonts w:ascii="Times New Roman;serif" w:hAnsi="Times New Roman;serif"/>
          <w:b w:val="false"/>
          <w:color w:val="000000"/>
          <w:sz w:val="18"/>
        </w:rPr>
        <w:t>Seasonal patterns, which can be affected by weather conditions, can have a significant effect on project margins. Adverse or favorable weather conditions can affect project margins in a given period. For example, extended periods of rain or snowfall can negatively affect revenue and project margins due to reduced productivity from projects being delayed or temporarily halted. Conversely, when weather remains dry and temperatures are accommodating, more work can be done, sometimes with less cost, which can favorably affect project margins. The level of demand for restoration and storm work, which, by its nature, is unpredictable, can also favorably or negatively affect our revenue composition and project margins in a given period. In addition, the mix of business conducted in different geographic areas can affect project margins due to the particular characteristics of the physical locations where work is being performed, such as mountainous or rocky terrain versus open terrain. Site conditions, including unforeseen underground conditions, can also affect project margins.</w:t>
      </w:r>
    </w:p>
    <w:p>
      <w:pPr>
        <w:pStyle w:val="TextBody"/>
        <w:bidi w:val="0"/>
        <w:spacing w:lineRule="auto" w:line="288" w:before="0" w:after="0"/>
        <w:ind w:left="0" w:right="0" w:firstLine="1080"/>
        <w:jc w:val="both"/>
        <w:rPr/>
      </w:pPr>
      <w:r>
        <w:rPr>
          <w:rFonts w:ascii="Times New Roman;serif" w:hAnsi="Times New Roman;serif"/>
          <w:b w:val="false"/>
          <w:i/>
          <w:color w:val="000000"/>
          <w:sz w:val="18"/>
        </w:rPr>
        <w:t>Price and Performance Risk</w:t>
      </w:r>
      <w:r>
        <w:rPr>
          <w:rFonts w:ascii="Times New Roman;serif" w:hAnsi="Times New Roman;serif"/>
          <w:b w:val="false"/>
          <w:color w:val="000000"/>
          <w:sz w:val="18"/>
        </w:rPr>
        <w:t>. Overall project margins may fluctuate due to project pricing and job conditions, changes in the cost of labor and materials, crew availability, job productivity and work volume. Job productivity can be affected by factors such as quality of the work crew and equipment, the quality of engineering specifications and designs, as well as unanticipated engineering or design challenges, availability of skilled labor, environmental or regulatory factors and customer decisions or delays. Job productivity can also be influenced by weather conditions, job conditions and job terrain, such as whether project work is in a right of way that is open or one that has physical obstructions, or environmental or legal encumbrances.</w:t>
      </w:r>
    </w:p>
    <w:p>
      <w:pPr>
        <w:pStyle w:val="TextBody"/>
        <w:bidi w:val="0"/>
        <w:spacing w:lineRule="auto" w:line="288" w:before="120" w:after="120"/>
        <w:ind w:left="0" w:right="0" w:firstLine="1080"/>
        <w:jc w:val="both"/>
        <w:rPr/>
      </w:pPr>
      <w:r>
        <w:rPr>
          <w:rFonts w:ascii="Times New Roman;serif" w:hAnsi="Times New Roman;serif"/>
          <w:b w:val="false"/>
          <w:i/>
          <w:color w:val="000000"/>
          <w:sz w:val="18"/>
        </w:rPr>
        <w:t>Subcontracted Resources</w:t>
      </w:r>
      <w:r>
        <w:rPr>
          <w:rFonts w:ascii="Times New Roman;serif" w:hAnsi="Times New Roman;serif"/>
          <w:b w:val="false"/>
          <w:color w:val="000000"/>
          <w:sz w:val="18"/>
        </w:rPr>
        <w:t>. Our use of subcontracted resources in a given period is dependent upon activity levels and the amount and location of existing in-house resources and capacity. Project margins on subcontracted work can vary from those on self-perform work. As a result, changes in the availability and mix of subcontracted resources versus self-perform work can affect our overall project margins.</w:t>
      </w:r>
    </w:p>
    <w:p>
      <w:pPr>
        <w:pStyle w:val="TextBody"/>
        <w:bidi w:val="0"/>
        <w:spacing w:lineRule="auto" w:line="288" w:before="120" w:after="120"/>
        <w:ind w:left="0" w:right="0" w:firstLine="1080"/>
        <w:jc w:val="both"/>
        <w:rPr/>
      </w:pPr>
      <w:r>
        <w:rPr>
          <w:rFonts w:ascii="Times New Roman;serif" w:hAnsi="Times New Roman;serif"/>
          <w:b w:val="false"/>
          <w:i/>
          <w:color w:val="000000"/>
          <w:sz w:val="18"/>
        </w:rPr>
        <w:t xml:space="preserve">Material versus Labor Costs. </w:t>
      </w:r>
      <w:r>
        <w:rPr>
          <w:rFonts w:ascii="Times New Roman;serif" w:hAnsi="Times New Roman;serif"/>
          <w:b w:val="false"/>
          <w:color w:val="000000"/>
          <w:sz w:val="18"/>
        </w:rPr>
        <w:t>In most cases, our customers are responsible for supplying their own materials on projects; however, under certain contracts, we may agree to provide all or part of the required materials. Project margins are typically lower on projects where we furnish a significant amount of materials due to the fact that margins on materials are generally lower than margins on labor costs. Therefore, changes in the mix of projects with significant materials requirements could affect our overall project margins.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General and Administrative Expense. </w:t>
      </w:r>
      <w:r>
        <w:rPr>
          <w:rFonts w:ascii="Times New Roman;serif" w:hAnsi="Times New Roman;serif"/>
          <w:b w:val="false"/>
          <w:color w:val="000000"/>
          <w:sz w:val="18"/>
        </w:rPr>
        <w:t>General and administrative expenses consist principally of employee compensation and benefits, travel expenses and related costs for our finance, treasury, benefits, insurance and risk management, legal, facilities, information technology and executive functions. General and administrative expenses also include non-cash stock-based compensation expense, external professional and accounting fees, certain legal and settlement matters, facilities costs, expenses associated with information technology used in administration of the business, gains or losses from the disposal of property and equipment, acquisition costs, including certain costs related to acquisition integration, business streamlining, and, from time to time, certain restructuring charges.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Interest Expense, Net. </w:t>
      </w:r>
      <w:r>
        <w:rPr>
          <w:rFonts w:ascii="Times New Roman;serif" w:hAnsi="Times New Roman;serif"/>
          <w:b w:val="false"/>
          <w:color w:val="000000"/>
          <w:sz w:val="18"/>
        </w:rPr>
        <w:t>Interest expense, net, consists of contractual interest expense on outstanding debt obligations, amortization of deferred financing costs and other interest expense, including interest expense related to financing arrangements. Interest expense is offset, in part, by interest earned on cash and other investments.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Other Income or Expense. </w:t>
      </w:r>
      <w:r>
        <w:rPr>
          <w:rFonts w:ascii="Times New Roman;serif" w:hAnsi="Times New Roman;serif"/>
          <w:b w:val="false"/>
          <w:color w:val="000000"/>
          <w:sz w:val="18"/>
        </w:rPr>
        <w:t>Other income or expense consists primarily of gains or losses from changes to estimated Earn-out accruals, certain legal and other settlements, certain acquisition-related adjustments, gains or losses from, or changes in estimated recoveries from, certain assets, including financial instruments, and certain liabilities, gains or losses arising from transactions not denominated in functional currencies, and certain acquisition and integration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07645"/>
                <wp:effectExtent l="0" t="0" r="0" b="0"/>
                <wp:wrapNone/>
                <wp:docPr id="39" name="Frame37"/>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 xml:space="preserve">Financial Performance Metrics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senior management team regularly reviews certain key financial performance metrics within our business, including:</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18"/>
        </w:rPr>
        <w:t>revenue and profitability on an overall basis, by reportable segment and for selected projects;</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18"/>
        </w:rPr>
        <w:t>revenue by customer and by contract type;</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18"/>
        </w:rPr>
        <w:t>costs of revenue, excluding depreciation and amortization; general and administrative expenses; depreciation; amortization; interest expense, net; other income or expense; and provision for income taxes;</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18"/>
        </w:rPr>
        <w:t>earnings before interest, taxes, depreciation and amortization (“EBITDA”) and adjusted EBITDA, as defined in our non-U.S. GAAP financial measures discussion following the “Comparison of Fiscal Year Results” section below;</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18"/>
        </w:rPr>
        <w:t>earnings per share and adjusted earnings per share, as defined in our non-U.S. GAAP financial measures discussion;</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18"/>
        </w:rPr>
        <w:t>days sales outstanding, net of contract liabilities (“DSO”), and days payable outstanding;</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18"/>
        </w:rPr>
        <w:t>capital expenditures, net of asset disposals, and investment activities;</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18"/>
        </w:rPr>
        <w:t>interest and debt service coverage ratios; and</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18"/>
        </w:rPr>
        <w:t>liquidity and cash flows.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Management’s analysis includes detailed discussions and review of its key performance indicators; proposed investments in property and equipment and new business opportunities; acquisition integration and productivity improvement efforts; strategic arrangement opportunities; and working capital and other capital management efforts, among others. Measuring its key performance indicators and other business metrics is an important tool used by management to make informed and timely operational decisions, which we believe can help us improve our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Critical Accounting Estimates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We base our estimates on historical experience and various other assumptions that we believe to be reasonable under the circumstances, including the potential future effects of macroeconomic trends and events, such as inflation and interest rate levels; uncertainty from potential market volatility; other market, industry and regulatory factors, including uncertainty related to the implementation and pace of spending under governmental programs and initiatives and project permitting issues, and other regulatory matters or uncertainty; supply chain disruptions; climate-related matters; and global events, such as geopolitical tensions and conflicts, as well as public health matters. These estimates form the basis for making judgments about our operating results and the carrying values of assets and liabilities that are not readily apparent from other sources. Given that management estimates, by their nature, involve judgments regarding future uncertainties, actual results could differ materially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believe that our accounting estimates pertaining to: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intangible assets and acquisition-related contingent consideration; self-insurance liabilities; income taxes;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Refer to Note 1 - Business, Basis of Presentation and Significant Accounting Policies in the notes to the audited consolidated financial statements, which is incorporated by reference, for a more detailed discussion of our significant accounting policies and critical accounting estimates.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Revenue Recognition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recognize revenue from contracts with customers when, or as, control of promised services and goods is transferred to customers. The amount of revenue recognized reflects the consideration to which we expect to be entitled in exchange for the services and goods transferred. We primarily recognize revenue over time utilizing the cost-to-cost measure of progress, which best depicts the continuous transfer of control of goods or services to the customer, and correspondingly, when performance obligations are satisfied for the related contracts.</w:t>
      </w:r>
    </w:p>
    <w:p>
      <w:pPr>
        <w:pStyle w:val="TextBody"/>
        <w:bidi w:val="0"/>
        <w:spacing w:lineRule="auto" w:line="288" w:before="120" w:after="120"/>
        <w:ind w:left="0" w:right="0" w:firstLine="720"/>
        <w:jc w:val="both"/>
        <w:rPr/>
      </w:pPr>
      <w:r>
        <w:rPr>
          <w:rFonts w:ascii="Times New Roman;serif" w:hAnsi="Times New Roman;serif"/>
          <w:b/>
          <w:i/>
          <w:color w:val="000000"/>
          <w:sz w:val="18"/>
        </w:rPr>
        <w:t>Contracts.</w:t>
      </w:r>
      <w:r>
        <w:rPr>
          <w:color w:val="000000"/>
        </w:rPr>
        <w:t xml:space="preserve"> </w:t>
      </w:r>
      <w:r>
        <w:rPr>
          <w:rFonts w:ascii="Times New Roman;serif" w:hAnsi="Times New Roman;serif"/>
          <w:b w:val="false"/>
          <w:color w:val="000000"/>
          <w:sz w:val="18"/>
        </w:rPr>
        <w:t>We derive revenue primarily from construction projects performed under: (i) master service and other service agreements, which generally 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models, including fixed price, unit price, time and materials, or cost plus a markup. Revenue derived from projects performed under master service and other service agreements totaled 44% of consolidated revenue for the year ended December 31, 2025.</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Cost estimation processes used for recognizing revenue over time under the cost-to-cost method require management to make significant assumptions and judgments. Total transaction price and cost estimation processes are based primarily on the professional knowledge and experience of our project managers, operational and financial professionals, and other professional expertise, as warranted. Management reviews estimates of total contract transaction price and costs on an ongoing basis. Changes in job performance, job conditions and management’s assessment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07645"/>
                <wp:effectExtent l="0" t="0" r="0" b="0"/>
                <wp:wrapNone/>
                <wp:docPr id="40" name="Frame38"/>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estimated amount and probability of variable consideration are factors that influence estimates of the total contract transaction price, total costs to complete those contracts and our profit recognition. Changes in these factors could result in revisions to the amount of revenue recognized in the period in which the revisions are determined, which revisions could materially affect our consolidated results of operations for that period. Provisions for losses on uncompleted contracts are recorded in the period in which such losses are estimated based on management’s experience and judgment. For the year ended December 31, 2025, project profit was affected by less than 5% as a result of changes in contract estimates included in projects that were in process as of December 31, 2024. Changes in recognized revenue, net, as a result of changes in total contract transaction price estimates, including from variable consideration, and/or changes in cost estimates, related to performance obligations satisfied or partially satisfied in prior periods, for the year ended December 31, 2025, positively affected revenue by approximately 0.8%.</w:t>
      </w:r>
    </w:p>
    <w:p>
      <w:pPr>
        <w:pStyle w:val="TextBody"/>
        <w:bidi w:val="0"/>
        <w:spacing w:lineRule="auto" w:line="288" w:before="120" w:after="120"/>
        <w:ind w:left="0" w:right="0" w:firstLine="720"/>
        <w:jc w:val="both"/>
        <w:rPr/>
      </w:pPr>
      <w:r>
        <w:rPr>
          <w:rFonts w:ascii="Times New Roman;serif" w:hAnsi="Times New Roman;serif"/>
          <w:b/>
          <w:i/>
          <w:color w:val="000000"/>
          <w:sz w:val="18"/>
        </w:rPr>
        <w:t>Performance Obligations.</w:t>
      </w:r>
      <w:r>
        <w:rPr>
          <w:color w:val="000000"/>
        </w:rPr>
        <w:t xml:space="preserve"> </w:t>
      </w:r>
      <w:r>
        <w:rPr>
          <w:rFonts w:ascii="Times New Roman;serif" w:hAnsi="Times New Roman;serif"/>
          <w:b w:val="false"/>
          <w:color w:val="000000"/>
          <w:sz w:val="18"/>
        </w:rPr>
        <w:t xml:space="preserve">A performance obligation is a contractual promise to transfer a distinct good or service to a customer. The transaction price of a contract is allocated to each distinct performance obligation and recognized as revenue when or as the performance obligation is satisfied. Our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When more than one contract is entered into with a customer on or close to the same date, management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specific contracts.</w:t>
      </w:r>
    </w:p>
    <w:p>
      <w:pPr>
        <w:pStyle w:val="TextBody"/>
        <w:bidi w:val="0"/>
        <w:spacing w:lineRule="auto" w:line="288" w:before="120" w:after="120"/>
        <w:ind w:left="0" w:right="0" w:firstLine="720"/>
        <w:jc w:val="both"/>
        <w:rPr/>
      </w:pPr>
      <w:r>
        <w:rPr>
          <w:rFonts w:ascii="Times New Roman;serif" w:hAnsi="Times New Roman;serif"/>
          <w:b/>
          <w:i/>
          <w:color w:val="000000"/>
          <w:sz w:val="18"/>
        </w:rPr>
        <w:t>Variable Consideration.</w:t>
      </w:r>
      <w:r>
        <w:rPr>
          <w:color w:val="000000"/>
        </w:rPr>
        <w:t xml:space="preserve"> </w:t>
      </w:r>
      <w:r>
        <w:rPr>
          <w:rFonts w:ascii="Times New Roman;serif" w:hAnsi="Times New Roman;serif"/>
          <w:b w:val="false"/>
          <w:color w:val="000000"/>
          <w:sz w:val="18"/>
        </w:rPr>
        <w:t>Transaction prices for our contracts may include variable consideration, which comprises items such as change orders, claims and incentives. Management estimates variable consideration for a performance obligation utilizing estimation methods that we believe best predict the amount of consideration to which we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discussions, correspondence or preliminary negotiations and past practices with the customer, engineering studies and legal advice and all other relevant information that is reasonably available at the time of the estimate. The effect of variable consideration on the transaction price of a performance obligation is recognized as an adjustment to revenue, typically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our favor, or to the extent incentives reflected in transaction prices are not earned, there could be reductions in, or reversals of, previously recognized revenue.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December 31, 2025, our contract transaction prices included approximately $229 million of change orders and/or claims for certain contracts that were in the process of being resolved in the ordinary course of our business, including through negotiation, arbitration and other proceedings. These transaction price adjustments, when earned, are included within contract assets or accounts receivable, net of allowance, as appropriate. As of December 31, 2025, these change orders and/or claims primarily related to certain projects in our Clean Energy and Infrastructure and Power Delivery segments. We actively engage with our customers to complete the final approval process for such amounts and generally expect these processes to be completed within one year. Amounts ultimately realized upon final agreement by customers could be higher or lower than such estimated amounts.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Business Combinations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determination of the fair value of net assets acquired in a business combination requires estimates and judgments of future cash flow expectations for the acquired business and the related identifiable tangible and intangible assets. Fair values of net assets acquired are calculated using expected cash flows and industry-standard valuation techniques. Consideration paid generally consists of cash and, from time to time, shares of our common stock, and potential future payments that are contingent upon the acquired business achieving certain levels of earnings in the future, also referred to as “acquisition-related contingent consideration” or “earn-outs.”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estimate the fair values of our earn-out liabilities using income approaches such as discounted cash flows or option pricing models, both of which incorporate significant inputs not observable in the market (Level 3 inputs), including management’s estimates and entity-specific assumptions, which inputs are evaluated on an ongoing basis. Key assumptions in estimating the fair values of our earn-out liabilities include the discount rate, which, as of December 31, 2025, ranged from 10.5% to 14.3%, with a weighted average rate of 11.1% based on the relative fair value of the respective Earn-out liabilities, and probability-weighted projections of EBITDA. Significant changes in any of these assumptions could result in significantly higher or lower estimated earn-out liabilities.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Due to the time required to gather and analyze the necessary data for each acquisition, U.S. GAAP provides a “measurement period” of up to one year from the date of acquisition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of, or an adjustment to the fair values of, acquisition-related assets and liabilities and/or consideration paid, and are referred to as measurement period adjustments. Measurement period adjustments are recorded to goodwill. Other changes to fair value estimates, including those relating to facts and circumstances that occur subsequent to the date of acquisition, are reflected as income or expense, as appropriate. See Note 3 - Acquisitions, Goodwill and Other Intangible Assets, Net in the notes to the audited consolidated financial statements, which is incorporated by reference, for information pertaining to acquisition-related fair value adjustments.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Significant changes in the assumptions or estimates for a particular acquisition or in the underlying acquisition-related valuations, including the expected profitability or cash flows of an acquired business or assumptions related to the existence or amount of the acquired assets or assumed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07645"/>
                <wp:effectExtent l="0" t="0" r="0" b="0"/>
                <wp:wrapNone/>
                <wp:docPr id="41" name="Frame39"/>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liabilities, could result in materially different estimates of the fair value of net assets acquired for the related acquisition, which could positively or negatively affect our financial results in future periods.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Goodwill and Other Intangible Assets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goodwill and other intangible assets that have been recorded in connection with our acquisitions of businesses. Goodwill is not amortized, but instead is tested for impairment at least annually. Other intangible assets are amortized over their useful lives, which are generally based on contractual or legal rights, in a manner consistent with the pattern in which the related benefits are expected to be consumed, or on a straight-line basis if that pattern cannot be reliably determined.</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perform our annual impairment test of goodwill during the fourth quarter of each year, or more frequently if events or circumstances arise which indicate that the fair value of a reporting unit with goodwill is below its carrying amount. Goodwill is required to be tested for impairment at the reporting unit level. A reporting unit is an operating segment, or one level below the operating segment, which is referred to as a component.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first quarter of 2025, certain reporting units within our Communications and Power Delivery operating segments were restructured to more closely align with the segments’ end markets and to better correspond with the operational management reporting structures of both segments. Under both the current and previous reporting unit structures, each of the components within the Communications and Power Delivery operating segments is a reporting unit. For additional details of the restructuring and the related assessment, refer to Note 1 - Business, Basis of Presentation and Significant Accounting Policies in the notes to the audited consolidated financial statements, which is incorporated by reference.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Following is a summary of goodwill and other intangible assets, net, by segment as of December 31, 2025:</w:t>
      </w:r>
    </w:p>
    <w:tbl>
      <w:tblPr>
        <w:tblW w:w="10205" w:type="dxa"/>
        <w:jc w:val="left"/>
        <w:tblInd w:w="0" w:type="dxa"/>
        <w:tblLayout w:type="fixed"/>
        <w:tblCellMar>
          <w:top w:w="28" w:type="dxa"/>
          <w:left w:w="28" w:type="dxa"/>
          <w:bottom w:w="28" w:type="dxa"/>
          <w:right w:w="28" w:type="dxa"/>
        </w:tblCellMar>
      </w:tblPr>
      <w:tblGrid>
        <w:gridCol w:w="741"/>
        <w:gridCol w:w="545"/>
        <w:gridCol w:w="550"/>
        <w:gridCol w:w="277"/>
        <w:gridCol w:w="786"/>
        <w:gridCol w:w="363"/>
        <w:gridCol w:w="109"/>
        <w:gridCol w:w="109"/>
        <w:gridCol w:w="109"/>
        <w:gridCol w:w="356"/>
        <w:gridCol w:w="1011"/>
        <w:gridCol w:w="467"/>
        <w:gridCol w:w="109"/>
        <w:gridCol w:w="109"/>
        <w:gridCol w:w="109"/>
        <w:gridCol w:w="217"/>
        <w:gridCol w:w="615"/>
        <w:gridCol w:w="283"/>
        <w:gridCol w:w="109"/>
        <w:gridCol w:w="109"/>
        <w:gridCol w:w="109"/>
        <w:gridCol w:w="289"/>
        <w:gridCol w:w="822"/>
        <w:gridCol w:w="380"/>
        <w:gridCol w:w="109"/>
        <w:gridCol w:w="109"/>
        <w:gridCol w:w="109"/>
        <w:gridCol w:w="196"/>
        <w:gridCol w:w="691"/>
        <w:gridCol w:w="308"/>
      </w:tblGrid>
      <w:tr>
        <w:trPr/>
        <w:tc>
          <w:tcPr>
            <w:tcW w:w="74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Clean Energy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Power Delivery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Pipeline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(in millions)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527.3 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Percentage of total</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(in millions)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Percentage of total</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part of our annual impairment test of goodwill, we perform a qualitative assessment of our reporting units by examining relevant events and circumstances that could have an effect on a reporting unit’s fair value, such as: macroeconomic trends and events, including levels of inflation, market interest rates and/or supply chain disruptions; industry and/or market conditions, including the potential effects of regulatory and other uncertainties, such as uncertainty related to the implementation and pace of spending under governmental infrastructure programs and initiatives and project permitting issues; financial, competitive and other conditions, including declines in the operating performance of our reporting units, and/or long-term changes in consumer behavior; entity-specific events; and other relevant factors or events that could affect earnings and cash flows.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If, after performing a qualitative assessment, we determine that it is more likely than not that the fair value of a reporting unit is less than its carrying amount, we then perform a quantitative impairment test for those reporting units. We estimate the fair value of a reporting unit using a combination of market and income approaches using Level 3 inputs. Under the market approach, the fair values are estimated using published market multiples for comparable companies and applying them to revenue and EBITDA. Under the income approach, a discounted cash flow methodology is used, considering: (i) management estimates, such as projections of revenue, operating costs and cash flows, taking into consideration historical and anticipated financial results; (ii) general economic, market and regulatory conditions; and (iii) the impact of planned business and operational strategies. Assumptions used in our quantitative goodwill impairment tests are reflective of the risks inherent in the business models of the applicable reporting units and within the units’ industry. Estimated discount rates are determined using the weighted average cost of capital for each reporting unit at the time of the analysis, taking into consideration the risks inherent within each reporting unit individually.</w:t>
      </w:r>
    </w:p>
    <w:p>
      <w:pPr>
        <w:pStyle w:val="TextBody"/>
        <w:bidi w:val="0"/>
        <w:spacing w:lineRule="auto" w:line="288" w:before="180" w:after="283"/>
        <w:ind w:left="0" w:right="0" w:firstLine="720"/>
        <w:jc w:val="both"/>
        <w:rPr/>
      </w:pPr>
      <w:r>
        <w:rPr>
          <w:rFonts w:ascii="Times New Roman;serif" w:hAnsi="Times New Roman;serif"/>
          <w:b w:val="false"/>
          <w:color w:val="000000"/>
          <w:sz w:val="18"/>
        </w:rPr>
        <w:t xml:space="preserve">For the year ended December 31, 2025, we completed our annual impairment test of goodwill as part of which we performed a qualitative assessment of all reporting units and concluded that it was more likely than not that the fair value of each reporting unit was greater than its carrying value. Accordingly, a quantitative goodwill impairment test was not required for any of our reporting units, and </w:t>
      </w:r>
      <w:r>
        <w:rPr>
          <w:rFonts w:ascii="Times New Roman;serif" w:hAnsi="Times New Roman;serif"/>
          <w:b w:val="false"/>
          <w:color w:val="000000"/>
          <w:sz w:val="18"/>
          <w:shd w:fill="FFFFFF" w:val="clear"/>
        </w:rPr>
        <w:t>no</w:t>
      </w:r>
      <w:r>
        <w:rPr>
          <w:color w:val="000000"/>
        </w:rPr>
        <w:t xml:space="preserve"> </w:t>
      </w:r>
      <w:r>
        <w:rPr>
          <w:rFonts w:ascii="Times New Roman;serif" w:hAnsi="Times New Roman;serif"/>
          <w:b w:val="false"/>
          <w:color w:val="000000"/>
          <w:sz w:val="18"/>
        </w:rPr>
        <w:t>goodwill impairment was recognized in 2025.</w:t>
      </w:r>
    </w:p>
    <w:p>
      <w:pPr>
        <w:pStyle w:val="TextBody"/>
        <w:bidi w:val="0"/>
        <w:spacing w:lineRule="auto" w:line="288" w:before="18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As of December 31, 2025, we believe that the recorded balances of goodwill and other intangible assets are recoverable; however, adverse changes in the assumptions or estimates used in our analyses, such as a reduction in profitability and/or cash flows, changes in market, regulatory or other conditions, including decreases in project activity levels and/or the effects of elevated levels of inflation, interest rates or other regulatory or market disruptions, including from geopolitical events and/or changes in asset characteristics, could result in non-cash goodwill and/or intangible asset impairment charges in future periods. See Note 1 - Business, Basis of Presentation and Significant Accounting Policies and Note 3 -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07645"/>
                <wp:effectExtent l="0" t="0" r="0" b="0"/>
                <wp:wrapNone/>
                <wp:docPr id="42" name="Frame40"/>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Acquisitions, Goodwill and Other Intangible Assets, Net in the notes to the audited consolidated financial statements, which are incorporated by reference, for additional discussion.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Self-Insurance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self-insured up to the amount of our deductible for our insurance policies. We also manage certain of our insurance liabilities indirectly through our wholly-owned captive insurance company, which reimburses claims up to the applicable insurance limits. Liabilities under our insurance programs are accrued based upon our estimate of the ultimate liability for claims, with assistance from third-party actuaries.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or an incident, the determination of our liability in proportion to other parties and the number of incidents not reported. Accruals are based upon known facts, historical trends and claims experience, loss development patterns and other actuarial assumptions. Although we believe such accruals are adequate, a change in experience or actuarial or management assumptions could materially affect our results of operations in a particular period. As of December 31, 2025, MasTec’s estimated gross liability for unpaid claims and associated expenses, including incurred but not reported losses related to these policies, totaled $306.8 million.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Income Taxes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provision for income taxes uses an effective tax rate based on annual pre-tax income, statutory tax rates, permanent tax differences and tax planning opportunities in the various jurisdictions in which we operate. Significant factors that can affect our annual effective tax rate include management’s assessment of certain tax matters, the location and amount of taxable earnings, changes in certain non-deductible expenses and expected credits. Although we believe our provision for income taxes is accurate and the related assumptions are reasonable, the final outcome of tax matters could be materially different from what we currently anticipate, which could result in significant costs or benefits to us. See Note 13 - Income Taxes in the notes to the audited consolidated financial statements, which is incorporated by reference, for additional discussion.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there is inherent uncertainty in quantifying income tax positions. We assess our income tax positions and record tax benefits for all years subject to examination based on our evaluation of the facts, circumstances and information available at the reporting date. For those tax positions where it is more likely than not that a tax benefit will be sustained, we have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our financial statements.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file income tax returns in numerous tax jurisdictions, including U.S. federal, most U.S. states and certain foreign jurisdictions. Although we believe our calculations for tax returns are accurate and the positions taken thereon are reasonable, the final outcome of income tax examinations could be materially different from our expectations and the estimates that are reflected in our consolidated financial statements, which could materially affect our results of operations, cash flows and liquidity in the related period.</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Litigation and Contingencies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Accruals for litigation and contingencies are based on our assessment, including advice of legal counsel, of the expected outcome of litigation or other dispute resolution proceedings and/or the expected resolution of contingencies. Significant judgment is required in both the determination of probability of loss and the determination as to whether the amount is reasonably estimable. Accruals are based on information available at the time of the assessment due to the uncertain nature of such matters. As additional information becomes available, we reassess potential liabilities related to pending claims and litigation and may revise our previous estimates, which could materially affect our results of operations in a given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2026 Outlook </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We believe that we are at the intersection of transformative trends and are well-positioned to benefit from significant market opportunities in each of our business segments. Please see </w:t>
      </w:r>
      <w:r>
        <w:rPr>
          <w:rFonts w:ascii="Times New Roman;serif" w:hAnsi="Times New Roman;serif"/>
          <w:b w:val="false"/>
          <w:color w:val="0000FF"/>
          <w:sz w:val="18"/>
          <w:u w:val="single"/>
        </w:rPr>
        <w:t>Item 1.</w:t>
      </w:r>
      <w:r>
        <w:rPr>
          <w:color w:val="000000"/>
        </w:rPr>
        <w:t xml:space="preserve"> “</w:t>
      </w:r>
      <w:r>
        <w:rPr>
          <w:rFonts w:ascii="Times New Roman;serif" w:hAnsi="Times New Roman;serif"/>
          <w:b w:val="false"/>
          <w:color w:val="000000"/>
          <w:sz w:val="18"/>
        </w:rPr>
        <w:t xml:space="preserve">Business - Industry Trends” for additional information on the outlook for the industries we serve and a detailed discussion of our market opportunities. Our future results could be adversely affected by the matters discussed in the “Cautionary Statement Regarding Forward-Looking Statements,” </w:t>
      </w:r>
      <w:hyperlink w:anchor="if4b0bf616dbc41b2b15400916ea5db26_19">
        <w:r>
          <w:rPr>
            <w:rStyle w:val="InternetLink"/>
            <w:rFonts w:ascii="Times New Roman;serif" w:hAnsi="Times New Roman;serif"/>
            <w:b w:val="false"/>
            <w:color w:val="0000FF"/>
            <w:sz w:val="18"/>
            <w:u w:val="single"/>
          </w:rPr>
          <w:t>Item 1A.</w:t>
        </w:r>
      </w:hyperlink>
      <w:r>
        <w:rPr>
          <w:color w:val="000000"/>
        </w:rPr>
        <w:t xml:space="preserve"> “</w:t>
      </w:r>
      <w:r>
        <w:rPr>
          <w:rFonts w:ascii="Times New Roman;serif" w:hAnsi="Times New Roman;serif"/>
          <w:b w:val="false"/>
          <w:color w:val="000000"/>
          <w:sz w:val="18"/>
        </w:rPr>
        <w:t xml:space="preserve">Risk Factors” and </w:t>
      </w:r>
      <w:hyperlink w:anchor="if4b0bf616dbc41b2b15400916ea5db26_31">
        <w:r>
          <w:rPr>
            <w:rStyle w:val="InternetLink"/>
            <w:rFonts w:ascii="Times New Roman;serif" w:hAnsi="Times New Roman;serif"/>
            <w:b w:val="false"/>
            <w:color w:val="0000FF"/>
            <w:sz w:val="18"/>
            <w:u w:val="single"/>
          </w:rPr>
          <w:t>Item 3.</w:t>
        </w:r>
      </w:hyperlink>
      <w:r>
        <w:rPr>
          <w:color w:val="000000"/>
        </w:rPr>
        <w:t xml:space="preserve"> “</w:t>
      </w:r>
      <w:r>
        <w:rPr>
          <w:rFonts w:ascii="Times New Roman;serif" w:hAnsi="Times New Roman;serif"/>
          <w:b w:val="false"/>
          <w:color w:val="000000"/>
          <w:sz w:val="18"/>
        </w:rPr>
        <w:t>Legal Proceedings”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07645"/>
                <wp:effectExtent l="0" t="0" r="0" b="0"/>
                <wp:wrapNone/>
                <wp:docPr id="43" name="Frame41"/>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 xml:space="preserve">Comparison of Fiscal Year Results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Unless otherwise stated, comparisons are for the years ended December 31, 2025 and 2024. </w:t>
      </w:r>
    </w:p>
    <w:tbl>
      <w:tblPr>
        <w:tblW w:w="10205" w:type="dxa"/>
        <w:jc w:val="left"/>
        <w:tblInd w:w="0" w:type="dxa"/>
        <w:tblLayout w:type="fixed"/>
        <w:tblCellMar>
          <w:top w:w="28" w:type="dxa"/>
          <w:left w:w="28" w:type="dxa"/>
          <w:bottom w:w="28" w:type="dxa"/>
          <w:right w:w="28" w:type="dxa"/>
        </w:tblCellMar>
      </w:tblPr>
      <w:tblGrid>
        <w:gridCol w:w="975"/>
        <w:gridCol w:w="742"/>
        <w:gridCol w:w="749"/>
        <w:gridCol w:w="196"/>
        <w:gridCol w:w="781"/>
        <w:gridCol w:w="109"/>
        <w:gridCol w:w="109"/>
        <w:gridCol w:w="109"/>
        <w:gridCol w:w="109"/>
        <w:gridCol w:w="278"/>
        <w:gridCol w:w="278"/>
        <w:gridCol w:w="256"/>
        <w:gridCol w:w="109"/>
        <w:gridCol w:w="109"/>
        <w:gridCol w:w="109"/>
        <w:gridCol w:w="196"/>
        <w:gridCol w:w="781"/>
        <w:gridCol w:w="109"/>
        <w:gridCol w:w="109"/>
        <w:gridCol w:w="109"/>
        <w:gridCol w:w="109"/>
        <w:gridCol w:w="278"/>
        <w:gridCol w:w="278"/>
        <w:gridCol w:w="256"/>
        <w:gridCol w:w="109"/>
        <w:gridCol w:w="109"/>
        <w:gridCol w:w="109"/>
        <w:gridCol w:w="109"/>
        <w:gridCol w:w="196"/>
        <w:gridCol w:w="109"/>
        <w:gridCol w:w="196"/>
        <w:gridCol w:w="691"/>
        <w:gridCol w:w="109"/>
        <w:gridCol w:w="109"/>
        <w:gridCol w:w="109"/>
        <w:gridCol w:w="109"/>
        <w:gridCol w:w="296"/>
        <w:gridCol w:w="299"/>
        <w:gridCol w:w="303"/>
      </w:tblGrid>
      <w:tr>
        <w:trPr/>
        <w:tc>
          <w:tcPr>
            <w:tcW w:w="97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225" w:type="dxa"/>
            <w:gridSpan w:val="6"/>
            <w:tcBorders/>
          </w:tcPr>
          <w:p>
            <w:pPr>
              <w:pStyle w:val="TableContents"/>
              <w:bidi w:val="0"/>
              <w:spacing w:before="0" w:after="283"/>
              <w:jc w:val="left"/>
              <w:rPr>
                <w:sz w:val="4"/>
                <w:szCs w:val="4"/>
              </w:rPr>
            </w:pPr>
            <w:r>
              <w:rPr>
                <w:sz w:val="4"/>
                <w:szCs w:val="4"/>
              </w:rPr>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MasTec, Inc.</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145.1 </w:t>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NM - Percentage is not meaningful</w:t>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Comparison of Years Ended December 31, 2025 and 2024</w:t>
      </w:r>
    </w:p>
    <w:p>
      <w:pPr>
        <w:pStyle w:val="TextBody"/>
        <w:bidi w:val="0"/>
        <w:spacing w:lineRule="auto" w:line="288" w:before="120" w:after="120"/>
        <w:ind w:left="0" w:right="0" w:firstLine="360"/>
        <w:jc w:val="both"/>
        <w:rPr/>
      </w:pPr>
      <w:r>
        <w:rPr>
          <w:rFonts w:ascii="Times New Roman;serif" w:hAnsi="Times New Roman;serif"/>
          <w:b/>
          <w:i/>
          <w:color w:val="000000"/>
          <w:sz w:val="18"/>
        </w:rPr>
        <w:t>Revenue</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 xml:space="preserve">On a consolidated basis, revenue increased by $1,996 million driven by our segment results as follows: revenue increased in our Communications segment by approximately $815 million, or 32%, in our Clean Energy and Infrastructure segment by approximately $607 million, or 15%, in our Power Delivery segment by approximately $563 million or 16%, and in our Pipeline Infrastructure segment by approximately $4 million, remaining generally flat as compared with the prior year. See </w:t>
      </w:r>
      <w:r>
        <w:rPr>
          <w:color w:val="000000"/>
        </w:rPr>
        <w:t>“</w:t>
      </w:r>
      <w:r>
        <w:rPr>
          <w:rFonts w:ascii="Times New Roman;serif" w:hAnsi="Times New Roman;serif"/>
          <w:b w:val="false"/>
          <w:i/>
          <w:color w:val="000000"/>
          <w:sz w:val="18"/>
        </w:rPr>
        <w:t xml:space="preserve">Analysis of Revenue and EBITDA by Segment” </w:t>
      </w:r>
      <w:r>
        <w:rPr>
          <w:rFonts w:ascii="Times New Roman;serif" w:hAnsi="Times New Roman;serif"/>
          <w:b w:val="false"/>
          <w:color w:val="000000"/>
          <w:sz w:val="18"/>
        </w:rPr>
        <w:t>below for additional information and discussion related to segment revenue.</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Costs of revenue, excluding depreciation and amortization. </w:t>
      </w:r>
      <w:r>
        <w:rPr>
          <w:rFonts w:ascii="Times New Roman;serif" w:hAnsi="Times New Roman;serif"/>
          <w:b w:val="false"/>
          <w:color w:val="000000"/>
          <w:sz w:val="18"/>
        </w:rPr>
        <w:t xml:space="preserve">Higher levels of revenue contributed an increase of $1,732 million in costs of revenue, excluding depreciation and amortization, and reduced productivity contributed an increase of approximately $99 million. Costs of revenue, excluding depreciation and amortization, as a percentage of revenue increased by approximately 70 basis points to 87.5% of revenue in 2025 compared to 86.8% of revenue in 2024. The basis point increase was due to a combination of reduced project efficiencies and project mix, primarily within our Pipeline Infrastructure and Power Delivery segments, offset, in part, by improved productivity and efficiencies within our Clean Energy and Infrastructure segment. See </w:t>
      </w:r>
      <w:r>
        <w:rPr>
          <w:color w:val="000000"/>
        </w:rPr>
        <w:t>“</w:t>
      </w:r>
      <w:r>
        <w:rPr>
          <w:rFonts w:ascii="Times New Roman;serif" w:hAnsi="Times New Roman;serif"/>
          <w:b w:val="false"/>
          <w:i/>
          <w:color w:val="000000"/>
          <w:sz w:val="18"/>
        </w:rPr>
        <w:t xml:space="preserve">Analysis of Revenue and EBITDA by Segment” </w:t>
      </w:r>
      <w:r>
        <w:rPr>
          <w:rFonts w:ascii="Times New Roman;serif" w:hAnsi="Times New Roman;serif"/>
          <w:b w:val="false"/>
          <w:color w:val="000000"/>
          <w:sz w:val="18"/>
        </w:rPr>
        <w:t>below for discussion of operating capacity effects by segment.</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Depreciation. </w:t>
      </w:r>
      <w:r>
        <w:rPr>
          <w:rFonts w:ascii="Times New Roman;serif" w:hAnsi="Times New Roman;serif"/>
          <w:b w:val="false"/>
          <w:color w:val="000000"/>
          <w:sz w:val="18"/>
        </w:rPr>
        <w:t>As a percentage of revenue, depreciation decreased by approximately 90 basis points, due primarily to a net reduction related to a change in the depreciable lives of certain machinery and equipment to better align the respective assets’ lives with their expected useful lives, offset, in part, by higher capital expenditures to support operational growth and the replacement of older machinery and equipment.</w:t>
      </w:r>
    </w:p>
    <w:p>
      <w:pPr>
        <w:pStyle w:val="TextBody"/>
        <w:bidi w:val="0"/>
        <w:spacing w:lineRule="auto" w:line="288" w:before="120" w:after="120"/>
        <w:ind w:left="0" w:right="0" w:firstLine="360"/>
        <w:jc w:val="both"/>
        <w:rPr/>
      </w:pPr>
      <w:r>
        <w:rPr>
          <w:rFonts w:ascii="Times New Roman;serif" w:hAnsi="Times New Roman;serif"/>
          <w:b/>
          <w:i/>
          <w:color w:val="000000"/>
          <w:sz w:val="18"/>
        </w:rPr>
        <w:t>Amortization of intangible assets.</w:t>
      </w:r>
      <w:r>
        <w:rPr>
          <w:color w:val="000000"/>
        </w:rPr>
        <w:t xml:space="preserve"> </w:t>
      </w:r>
      <w:r>
        <w:rPr>
          <w:rFonts w:ascii="Times New Roman;serif" w:hAnsi="Times New Roman;serif"/>
          <w:b w:val="false"/>
          <w:color w:val="000000"/>
          <w:sz w:val="18"/>
        </w:rPr>
        <w:t>The decrease in amortization of intangible assets was due to a combination of the effects of timing of amortization for certain assets and the completion of amortization for certain intangible assets associated with prior years’ acquisitions. As a percentage of revenue, amortization of intangible assets decreased by approximately 20 basis points as compared with the same period in 2024 primarily due to higher levels of revenue.</w:t>
      </w:r>
    </w:p>
    <w:p>
      <w:pPr>
        <w:pStyle w:val="TextBody"/>
        <w:bidi w:val="0"/>
        <w:spacing w:lineRule="auto" w:line="288" w:before="120" w:after="120"/>
        <w:ind w:left="0" w:right="0" w:firstLine="360"/>
        <w:jc w:val="both"/>
        <w:rPr/>
      </w:pPr>
      <w:r>
        <w:rPr>
          <w:rFonts w:ascii="Times New Roman;serif" w:hAnsi="Times New Roman;serif"/>
          <w:b/>
          <w:i/>
          <w:color w:val="000000"/>
          <w:sz w:val="18"/>
        </w:rPr>
        <w:t>General and administrative expenses</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The increase in general and administrative expenses was due primarily due to an increase in professional fees, the effects of timing of ordinary course legal matters, and a decrease in gains on sales of assets, net, offset, in part, by a decrease in the provision for credit losses. Overall, general and administrative expenses decreased by approximately 60 basis points as a percentage of revenue for the year ended December 31, 2025 as compared with the same period in 2024 due to higher levels of revenue.</w:t>
      </w:r>
    </w:p>
    <w:p>
      <w:pPr>
        <w:pStyle w:val="TextBody"/>
        <w:bidi w:val="0"/>
        <w:spacing w:lineRule="auto" w:line="288" w:before="120" w:after="120"/>
        <w:ind w:left="0" w:right="0" w:firstLine="360"/>
        <w:jc w:val="both"/>
        <w:rPr/>
      </w:pPr>
      <w:r>
        <w:rPr>
          <w:rFonts w:ascii="Times New Roman;serif" w:hAnsi="Times New Roman;serif"/>
          <w:b/>
          <w:i/>
          <w:color w:val="000000"/>
          <w:sz w:val="18"/>
        </w:rPr>
        <w:t>Interest expense, net.</w:t>
      </w:r>
      <w:r>
        <w:rPr>
          <w:color w:val="000000"/>
        </w:rPr>
        <w:t xml:space="preserve"> </w:t>
      </w:r>
      <w:r>
        <w:rPr>
          <w:rFonts w:ascii="Times New Roman;serif" w:hAnsi="Times New Roman;serif"/>
          <w:b w:val="false"/>
          <w:color w:val="000000"/>
          <w:sz w:val="18"/>
        </w:rPr>
        <w:t>The decrease in interest expense, net, resulted primarily from lower average balances and, to a lesser extent, lower average interest rates on our variable rate debt, which accounted for a reduction of approximately $35 million, offset, in part by an increase in interest expense from our senior notes due to higher average balances including from the June 2024 issuance of our 5.900% Senior Notes, and, to a lesser extent, from finance leases due to higher levels of activity. See “</w:t>
      </w:r>
      <w:r>
        <w:rPr>
          <w:rFonts w:ascii="Times New Roman;serif" w:hAnsi="Times New Roman;serif"/>
          <w:b w:val="false"/>
          <w:i/>
          <w:color w:val="000000"/>
          <w:sz w:val="18"/>
        </w:rPr>
        <w:t>Financial Condition, Liquidity and Capital Resources</w:t>
      </w:r>
      <w:r>
        <w:rPr>
          <w:color w:val="000000"/>
        </w:rPr>
        <w:t xml:space="preserve">” </w:t>
      </w:r>
      <w:r>
        <w:rPr>
          <w:rFonts w:ascii="Times New Roman;serif" w:hAnsi="Times New Roman;serif"/>
          <w:b w:val="false"/>
          <w:color w:val="000000"/>
          <w:sz w:val="18"/>
        </w:rPr>
        <w:t>discussion below for details of our debt instruments.</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Equity in earnings of unconsolidated affiliates. </w:t>
      </w:r>
      <w:r>
        <w:rPr>
          <w:rFonts w:ascii="Times New Roman;serif" w:hAnsi="Times New Roman;serif"/>
          <w:b w:val="false"/>
          <w:color w:val="000000"/>
          <w:sz w:val="18"/>
        </w:rPr>
        <w:t>For the years ended December 31, 2025 and 2024, equity in earnings from unconsolidated affiliates, net, totaled approximately $32 million and $30 million, respectively, and related primarily to our investments in the Waha JVs.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07645"/>
                <wp:effectExtent l="0" t="0" r="0" b="0"/>
                <wp:wrapNone/>
                <wp:docPr id="44" name="Frame42"/>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360"/>
        <w:jc w:val="both"/>
        <w:rPr/>
      </w:pPr>
      <w:r>
        <w:rPr>
          <w:rFonts w:ascii="Times New Roman;serif" w:hAnsi="Times New Roman;serif"/>
          <w:b/>
          <w:i/>
          <w:color w:val="000000"/>
          <w:sz w:val="18"/>
        </w:rPr>
        <w:t>Loss</w:t>
      </w:r>
      <w:r>
        <w:rPr>
          <w:color w:val="000000"/>
        </w:rPr>
        <w:t xml:space="preserve"> </w:t>
      </w:r>
      <w:r>
        <w:rPr>
          <w:rFonts w:ascii="Times New Roman;serif" w:hAnsi="Times New Roman;serif"/>
          <w:b/>
          <w:i/>
          <w:color w:val="000000"/>
          <w:sz w:val="18"/>
        </w:rPr>
        <w:t xml:space="preserve">on extinguishment of debt. </w:t>
      </w:r>
      <w:r>
        <w:rPr>
          <w:rFonts w:ascii="Times New Roman;serif" w:hAnsi="Times New Roman;serif"/>
          <w:b w:val="false"/>
          <w:color w:val="000000"/>
          <w:sz w:val="18"/>
        </w:rPr>
        <w:t>We incurred a loss on debt extinguishment of approximately $11 million for the year ended December 31, 2024 in connection with the second quarter 2024 repayment of our 6.625% IEA Senior Notes and Three-Year Term Loan Facility.</w:t>
      </w:r>
    </w:p>
    <w:p>
      <w:pPr>
        <w:pStyle w:val="TextBody"/>
        <w:bidi w:val="0"/>
        <w:spacing w:lineRule="auto" w:line="288" w:before="120" w:after="120"/>
        <w:ind w:left="0" w:right="0" w:firstLine="360"/>
        <w:jc w:val="both"/>
        <w:rPr/>
      </w:pPr>
      <w:r>
        <w:rPr>
          <w:rFonts w:ascii="Times New Roman;serif" w:hAnsi="Times New Roman;serif"/>
          <w:b/>
          <w:i/>
          <w:color w:val="000000"/>
          <w:sz w:val="18"/>
        </w:rPr>
        <w:t>Other (income) expense, net.</w:t>
      </w:r>
      <w:r>
        <w:rPr>
          <w:color w:val="000000"/>
        </w:rPr>
        <w:t xml:space="preserve"> </w:t>
      </w:r>
      <w:r>
        <w:rPr>
          <w:rFonts w:ascii="Times New Roman;serif" w:hAnsi="Times New Roman;serif"/>
          <w:b w:val="false"/>
          <w:color w:val="000000"/>
          <w:sz w:val="18"/>
        </w:rPr>
        <w:t xml:space="preserve">For the year ended December 31, 2025, other income, net, included approximately $3 million of income, net, from changes to estimated Earn-out accruals, approximately $6 million of other miscellaneous income, offset, in part, by approximately $4 million of expense, net, from the changes in the fair value of additional contingent payments to former owners of an acquired business. For the year ended December 31, 2024, other expense, net, included approximately $5 million of expense, net, from changes to estimated Earn-out accruals, approximately $5 million of expense, net, from the changes in the fair value of additional contingent payments to former owners of an acquired business and approximately $6 million of asset impairments related to certain fixed assets, offset, in part, by approximately $3 million of other miscellaneous income, net, including from legal and other settlements. </w:t>
      </w:r>
    </w:p>
    <w:p>
      <w:pPr>
        <w:pStyle w:val="TextBody"/>
        <w:bidi w:val="0"/>
        <w:spacing w:lineRule="auto" w:line="288" w:before="120" w:after="120"/>
        <w:ind w:left="0" w:right="0" w:firstLine="360"/>
        <w:jc w:val="both"/>
        <w:rPr/>
      </w:pPr>
      <w:r>
        <w:rPr>
          <w:rFonts w:ascii="Times New Roman;serif" w:hAnsi="Times New Roman;serif"/>
          <w:b/>
          <w:i/>
          <w:color w:val="000000"/>
          <w:sz w:val="18"/>
        </w:rPr>
        <w:t>Provision for income taxes.</w:t>
      </w:r>
      <w:r>
        <w:rPr>
          <w:color w:val="000000"/>
        </w:rPr>
        <w:t xml:space="preserve"> </w:t>
      </w:r>
      <w:r>
        <w:rPr>
          <w:rFonts w:ascii="Times New Roman;serif" w:hAnsi="Times New Roman;serif"/>
          <w:b w:val="false"/>
          <w:color w:val="000000"/>
          <w:sz w:val="18"/>
        </w:rPr>
        <w:t>For the year ended December 31, 2025, our effective tax rate was an expense of 18.1% as compared with an expense of 20.5% for the same period in 2024. Our effective tax rate for the year ended December 31, 2025 included income tax benefits primarily from the reversal of uncertain tax position liabilities, the release of valuation allowances on certain deferred tax assets, benefits from certain tax credits; offset, in part, by the effects of a higher state income tax rate, whereas for the year ended December 31, 2024, our effective tax rate included the effects of a lower state income tax rate and tax credits.</w:t>
      </w:r>
    </w:p>
    <w:p>
      <w:pPr>
        <w:pStyle w:val="TextBody"/>
        <w:bidi w:val="0"/>
        <w:spacing w:lineRule="auto" w:line="288" w:before="120" w:after="120"/>
        <w:ind w:left="0" w:right="0" w:firstLine="360"/>
        <w:jc w:val="both"/>
        <w:rPr/>
      </w:pPr>
      <w:r>
        <w:rPr>
          <w:rFonts w:ascii="Times New Roman;serif" w:hAnsi="Times New Roman;serif"/>
          <w:b/>
          <w:i/>
          <w:color w:val="000000"/>
          <w:sz w:val="18"/>
        </w:rPr>
        <w:t>Net income attributable to non-controlling interests.</w:t>
      </w:r>
      <w:r>
        <w:rPr>
          <w:color w:val="000000"/>
        </w:rPr>
        <w:t xml:space="preserve"> </w:t>
      </w:r>
      <w:r>
        <w:rPr>
          <w:rFonts w:ascii="Times New Roman;serif" w:hAnsi="Times New Roman;serif"/>
          <w:b w:val="false"/>
          <w:color w:val="000000"/>
          <w:sz w:val="18"/>
        </w:rPr>
        <w:t>Net income attributable to non-controlling interests was $23 million for the year ended December 31, 2025, as compared with $37 million for the same period in 2024. The decrease was primarily attributable to the decrease in activity of certain entities within the Pipeline Infrastructure and Communications segments with minority interest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Analysis of Revenue and EBITDA by Segment</w:t>
      </w:r>
    </w:p>
    <w:p>
      <w:pPr>
        <w:pStyle w:val="TextBody"/>
        <w:bidi w:val="0"/>
        <w:spacing w:lineRule="auto" w:line="288" w:before="120" w:after="120"/>
        <w:ind w:left="0" w:right="0" w:firstLine="720"/>
        <w:jc w:val="both"/>
        <w:rPr/>
      </w:pPr>
      <w:r>
        <w:rPr>
          <w:rFonts w:ascii="Times New Roman;serif" w:hAnsi="Times New Roman;serif"/>
          <w:b w:val="false"/>
          <w:color w:val="000000"/>
          <w:sz w:val="18"/>
        </w:rPr>
        <w:t>We review our operating results by reportable segment. See Note 14 - Segments and Related Information in the notes to the audited consolidated financial statements, which is incorporated by reference. Our reportable segments are:</w:t>
      </w:r>
      <w:r>
        <w:rPr>
          <w:color w:val="000000"/>
        </w:rPr>
        <w:t xml:space="preserve"> </w:t>
      </w:r>
      <w:r>
        <w:rPr>
          <w:rFonts w:ascii="Times New Roman;serif" w:hAnsi="Times New Roman;serif"/>
          <w:b w:val="false"/>
          <w:color w:val="000000"/>
          <w:sz w:val="18"/>
        </w:rPr>
        <w:t>(1) Communications; (2) Clean Energy and Infrastructure; (3) Power Delivery; (4) Pipeline Infrastructure and (5) Other. Management’s review of segment results includes analyses of trends in revenue, EBITDA and EBITDA margin. EBITDA for segment reporting purposes is calculated consistently with our consolidated EBITDA calculation. EBITDA margin is calculated by dividing EBITDA by revenue for the same period. See the discussion of our non-U.S. GAAP financial measures, including certain adjusted non-U.S. GAAP measures, as described below, following the comparison of results discussion. The following table, which may contain slight summation differences due to rounding, presents revenue, EBITDA and EBITDA margin by segment for the periods indicated (dollar amounts in millions):</w:t>
      </w:r>
    </w:p>
    <w:tbl>
      <w:tblPr>
        <w:tblW w:w="13696" w:type="dxa"/>
        <w:jc w:val="left"/>
        <w:tblInd w:w="0" w:type="dxa"/>
        <w:tblLayout w:type="fixed"/>
        <w:tblCellMar>
          <w:top w:w="28" w:type="dxa"/>
          <w:left w:w="28" w:type="dxa"/>
          <w:bottom w:w="28" w:type="dxa"/>
          <w:right w:w="28" w:type="dxa"/>
        </w:tblCellMar>
      </w:tblPr>
      <w:tblGrid>
        <w:gridCol w:w="478"/>
        <w:gridCol w:w="419"/>
        <w:gridCol w:w="424"/>
        <w:gridCol w:w="196"/>
        <w:gridCol w:w="781"/>
        <w:gridCol w:w="109"/>
        <w:gridCol w:w="109"/>
        <w:gridCol w:w="109"/>
        <w:gridCol w:w="109"/>
        <w:gridCol w:w="196"/>
        <w:gridCol w:w="781"/>
        <w:gridCol w:w="109"/>
        <w:gridCol w:w="109"/>
        <w:gridCol w:w="109"/>
        <w:gridCol w:w="109"/>
        <w:gridCol w:w="109"/>
        <w:gridCol w:w="196"/>
        <w:gridCol w:w="691"/>
        <w:gridCol w:w="109"/>
        <w:gridCol w:w="109"/>
        <w:gridCol w:w="109"/>
        <w:gridCol w:w="109"/>
        <w:gridCol w:w="233"/>
        <w:gridCol w:w="233"/>
        <w:gridCol w:w="241"/>
        <w:gridCol w:w="109"/>
        <w:gridCol w:w="109"/>
        <w:gridCol w:w="109"/>
        <w:gridCol w:w="196"/>
        <w:gridCol w:w="691"/>
        <w:gridCol w:w="109"/>
        <w:gridCol w:w="109"/>
        <w:gridCol w:w="109"/>
        <w:gridCol w:w="109"/>
        <w:gridCol w:w="233"/>
        <w:gridCol w:w="233"/>
        <w:gridCol w:w="241"/>
        <w:gridCol w:w="109"/>
        <w:gridCol w:w="109"/>
        <w:gridCol w:w="109"/>
        <w:gridCol w:w="196"/>
        <w:gridCol w:w="691"/>
        <w:gridCol w:w="109"/>
        <w:gridCol w:w="109"/>
        <w:gridCol w:w="109"/>
        <w:gridCol w:w="109"/>
        <w:gridCol w:w="233"/>
        <w:gridCol w:w="233"/>
        <w:gridCol w:w="241"/>
        <w:gridCol w:w="109"/>
        <w:gridCol w:w="109"/>
        <w:gridCol w:w="109"/>
        <w:gridCol w:w="109"/>
        <w:gridCol w:w="196"/>
        <w:gridCol w:w="109"/>
        <w:gridCol w:w="196"/>
        <w:gridCol w:w="556"/>
        <w:gridCol w:w="109"/>
        <w:gridCol w:w="109"/>
        <w:gridCol w:w="109"/>
        <w:gridCol w:w="109"/>
        <w:gridCol w:w="240"/>
        <w:gridCol w:w="241"/>
        <w:gridCol w:w="286"/>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6"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EBITDA and EBITDA Margin</w:t>
            </w:r>
          </w:p>
        </w:tc>
        <w:tc>
          <w:tcPr>
            <w:tcW w:w="2064" w:type="dxa"/>
            <w:gridSpan w:val="10"/>
            <w:tcBorders/>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2024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2025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2024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4" w:type="dxa"/>
            <w:gridSpan w:val="6"/>
            <w:tcBorders/>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14,299.2 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1,995.7 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1,115.5 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NM - Percentage is not meaningful</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Recast to reflect 2025 segment changes. See Note 14 - Segments and Related Information in the notes to the consolidated audited financial statements, which is incorporated by reference, for additional information.    </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Communications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Revenue.</w:t>
      </w:r>
      <w:r>
        <w:rPr>
          <w:color w:val="000000"/>
        </w:rPr>
        <w:t xml:space="preserve"> </w:t>
      </w:r>
      <w:r>
        <w:rPr>
          <w:rFonts w:ascii="Times New Roman;serif" w:hAnsi="Times New Roman;serif"/>
          <w:b w:val="false"/>
          <w:color w:val="000000"/>
          <w:sz w:val="18"/>
        </w:rPr>
        <w:t>The increase in revenue was driven primarily by higher levels of wireless and wireline project activity due, in part, to increased customer demand, offset, in part, by a decrease in our install-to-the-home project activity due, in part, to changes in consumer behavior.</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As a percentage of revenue, EBITDA increased by approximately 50 basis points, or $18 million, due to improved project efficiencies, including from our wireless and wireline businesses. Higher levels of revenue resulted in an increase in EBITDA of approximately $71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07645"/>
                <wp:effectExtent l="0" t="0" r="0" b="0"/>
                <wp:wrapNone/>
                <wp:docPr id="45" name="Frame4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Clean Energy and Infrastructure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Revenue</w:t>
      </w:r>
      <w:r>
        <w:rPr>
          <w:rFonts w:ascii="Times New Roman;serif" w:hAnsi="Times New Roman;serif"/>
          <w:b/>
          <w:color w:val="000000"/>
          <w:sz w:val="18"/>
        </w:rPr>
        <w:t xml:space="preserve">. </w:t>
      </w:r>
      <w:r>
        <w:rPr>
          <w:rFonts w:ascii="Times New Roman;serif" w:hAnsi="Times New Roman;serif"/>
          <w:b w:val="false"/>
          <w:color w:val="000000"/>
          <w:sz w:val="18"/>
        </w:rPr>
        <w:t>The increase in revenue was due primarily to higher levels of project activity, primarily in our renewable projects.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As a percentage of revenue, EBITDA increased by approximately 110 basis points, or $53 million, due to a combination of project mix, the positive effects of certain renewable project close-outs, and improved productivity and efficiencies, primarily from certain renewable and infrastructure project work. Higher levels of revenue resulted in an increase in EBITDA of approximately $38 million.</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Power Delivery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Revenue</w:t>
      </w:r>
      <w:r>
        <w:rPr>
          <w:rFonts w:ascii="Times New Roman;serif" w:hAnsi="Times New Roman;serif"/>
          <w:b/>
          <w:color w:val="000000"/>
          <w:sz w:val="18"/>
        </w:rPr>
        <w:t xml:space="preserve">. </w:t>
      </w:r>
      <w:r>
        <w:rPr>
          <w:rFonts w:ascii="Times New Roman;serif" w:hAnsi="Times New Roman;serif"/>
          <w:b w:val="false"/>
          <w:color w:val="000000"/>
          <w:sz w:val="18"/>
        </w:rPr>
        <w:t>The increase in revenue was due primarily to higher levels of project activity in transmission and distribution-related project work, as well as higher levels of certain infrastructure-related project work. These increases were offset, in part, by a decrease in substation-related project activity, as well as a decrease in demand for emergency restoration services.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As a percentage of revenue, EBITDA decreased by approximately 20 basis points, or $9 million, primarily due to reduced efficiencies at certain of our project sites and a reduction in emergency restoration services. Higher levels of revenue contributed an increase in EBITDA of approximately $47 million.</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Pipeline Infrastructure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Revenue.</w:t>
      </w:r>
      <w:r>
        <w:rPr>
          <w:color w:val="000000"/>
        </w:rPr>
        <w:t xml:space="preserve"> </w:t>
      </w:r>
      <w:r>
        <w:rPr>
          <w:rFonts w:ascii="Times New Roman;serif" w:hAnsi="Times New Roman;serif"/>
          <w:b w:val="false"/>
          <w:color w:val="000000"/>
          <w:sz w:val="18"/>
        </w:rPr>
        <w:t>Revenue was generally flat as compared with 2024, due primarily to an increase in other infrastructure-related work, offset by lower levels of midstream pipeline project activity.</w:t>
      </w:r>
    </w:p>
    <w:p>
      <w:pPr>
        <w:pStyle w:val="TextBody"/>
        <w:bidi w:val="0"/>
        <w:spacing w:lineRule="auto" w:line="288" w:before="120" w:after="120"/>
        <w:ind w:left="0" w:right="0" w:firstLine="720"/>
        <w:jc w:val="both"/>
        <w:rPr/>
      </w:pPr>
      <w:r>
        <w:rPr>
          <w:rFonts w:ascii="Times New Roman;serif" w:hAnsi="Times New Roman;serif"/>
          <w:b/>
          <w:i/>
          <w:color w:val="000000"/>
          <w:sz w:val="18"/>
        </w:rPr>
        <w:t>EBITDA.</w:t>
      </w:r>
      <w:r>
        <w:rPr>
          <w:color w:val="000000"/>
        </w:rPr>
        <w:t xml:space="preserve"> </w:t>
      </w:r>
      <w:r>
        <w:rPr>
          <w:rFonts w:ascii="Times New Roman;serif" w:hAnsi="Times New Roman;serif"/>
          <w:b w:val="false"/>
          <w:color w:val="000000"/>
          <w:sz w:val="18"/>
        </w:rPr>
        <w:t xml:space="preserve">As a percentage of revenue, EBITDA decreased by approximately 340 basis points, or $72 million, due primarily to reduced efficiencies, including from a reduction in revenue on midstream pipeline projects, the effects of project mix, and the effects of certain overhead costs incurred to maintain operating capacity in support of expected future project work. </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Other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EBITDA.</w:t>
      </w:r>
      <w:r>
        <w:rPr>
          <w:color w:val="000000"/>
        </w:rPr>
        <w:t xml:space="preserve"> </w:t>
      </w:r>
      <w:r>
        <w:rPr>
          <w:rFonts w:ascii="Times New Roman;serif" w:hAnsi="Times New Roman;serif"/>
          <w:b w:val="false"/>
          <w:color w:val="000000"/>
          <w:sz w:val="18"/>
        </w:rPr>
        <w:t>EBITDA from Other businesses relates primarily to equity in earnings from our investments in the Waha JVs, offset, in part, by losses from other businesses and investments.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Corporate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 xml:space="preserve">For the year ended December 31, 2025, Corporate EBITDA included $3 million of income, net, from changes to estimated Earn-out accruals and $4 million of expense, net, from the changes in the fair value of additional contingent payments to former owners of an acquired business. For the year ended December 31, 2024, Corporate EBITDA included approximately $11 million of a loss on debt extinguishment, $5 million of expense, net, from changes to estimated Earn-out accruals, and $5 million of expense from the changes in the fair value of additional contingent payments to former owners of an acquired business. Corporate expenses for the year ended December 31, 2025 not related to the above-described items increased by approximately $7 million as compared with the same period in 2024, due primarily to increases in compensation expense and other administrative expenses, including professional fees, offset, in part, by the effects of timing of ordinary course legal and other settlement matters. </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Comparison of Years Ended December 31, 2024 and 2023</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Refer to Item 7. “Management’s Discussion and Analysis of Financial Condition and Results of Operations - Comparison of Years Ended December 31, 2024 and 2023” of the Company’s 2024 Annual Report on Form 10-K (the “2024 Form 10-K”) for a comparison of results for the years ended December 31, 2024 and 2023, which discussion is incorporated herein by reference.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Foreign Operations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foreign operations are primarily in Canada. See Note 14 - Segments and Related Information in the notes to the audited consolidated financial statements, which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Non-U.S. GAAP Financial Measures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adjusted net income attributable to MasTec, Inc. (“Adjusted Net Income Attributable to MasTec, Inc.”) and adjusted diluted earnings per share (“Adjusted Diluted Earnings Per Share”). These “adjusted” non-U.S. GAAP measures exclude, as applicable to the respective periods, non-cash stock-based compensation expense; loss on extinguishment of debt; changes in fair value of acquisition-related contingent items; acquisition and integration costs related to certain acquisition activity, as more fully described below; fair value gains or losses, net, on an investment; and, for Adjusted Net Income, Adjusted Net Income Attributable to MasTec, Inc. and Adjusted Diluted Earnings Per Share, amortization of intangible assets, the effects of statutory and other tax rate changes,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use EBITDA and Adjusted EBITDA, as well as Adjusted Net Income, Adjusted Net Income Attributable to MasTec, Inc. and Adjusted Diluted Earnings Per Share, to evaluate our performance, both internally and as compared with our peers, because these measures exclude certain items that may not be indicative of our core, or underlying, operating results, as well as items that can vary widely across different industries or among companies within the same industry. We believe that these adjusted measures provide a baseline for analyzing trends in our underlying business. Non-cash stock-based compensation expense can be subject to volatility from changes in the market price per share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07645"/>
                <wp:effectExtent l="0" t="0" r="0" b="0"/>
                <wp:wrapNone/>
                <wp:docPr id="46" name="Frame44"/>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or variations in the value and number of shares granted, and amortization of intangible assets is subject to acquisition activity, which varies from period to period.</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computation of non-U.S. GAAP financial measures excludes the effects of changes in fair value of acquisition-related contingent items due to their non-operational nature and inherent volatility, as activity varies from period to period. Acquisition-related contingent items consist of (i) changes in fair value of acquisition-related contingent consideration, which is composed of earn-outs, that are contingent upon the achievement of reaching certain post-acquisition levels of earnings and (ii) changes in fair value of additional payments in connection with the 2021 acquisition of Henkels &amp; McCoy Holdings, Inc., formerly known as Henkels &amp; McCoy Group, Inc. (“HMG”), based on the fluctuation of our share price and are contingent upon the post-acquisition collections of certain receivables. We believe that this presentation is common practice within our industry and improves comparability of our results with those of our peers. See Note 3 - Acquisitions, Goodwill and Other Intangible Assets, Net and Note 4 - Fair Value of Financial Instruments in the notes to the audited consolidated financial statements, which is incorporated by reference, for additional details regarding these acquisition-related contingent items.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2021, we initiated a significant transformation of our end-market business operations to focus on the nation’s transition to low-carbon energy sources and position the Company for expected future opportunities. This transformation included significant acquisition activity to expand our scale and capacity in renewable energy, power delivery, heavy civil and telecommunications services, and resulted in significant acquisition and integration costs. Due to the extent of the acquisition costs related to this acquisition activity and the extent of the efforts that were required to integrate these acquisitions, we have excluded acquisition and integration costs related to this acquisition activity in our computation of non-U.S. GAAP financial measures. These acquisition and integration activities were completed in the fourth quarter of 2023.</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adjusted results also exclude fair value gains or losses, net, for our investment in American Virtual Cloud Technologies, Inc. (“AVCT”). We believe that fair value gains or losses for our investment in AVCT, a company in which we had no active involvement and for which fair value activity varied from period to period based on fluctuations in the market price of the investment, are not indicative of our core operations, and that this presentation improves comparability of our results with those of our peers. AVCT filed for bankruptcy in the first quarter of 2023, and our investment was fully written off.</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exclude intangible asset amortization from our non-U.S. GAAP financial measures due to its non-operational nature and inherent volatility, as acquisition activity varies from period to period. We believe that this presentation is common practice within our industry and improves comparability of our results with those of our peers. Note that while intangible asset amortization related to the assets of acquired entities is excluded from our non-U.S. GAAP financial measures, the revenue and all other expenses of the acquired entities are included within our non-U.S. GAAP financial measures, unless otherwise stated. We have also excluded the effects of statutory and other tax rate changes from Adjusted Net Income and Adjusted Diluted Earnings Per Share given their inherent volatility due to uncertainty with regard to our future geographic footprint and the associated tax rates, which may vary significantly from period to period, and, for statutory tax rate changes, due to their non-operational nature.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Each company’s definitions of these adjusted measures may vary as they are not standardized and should be used together with the provided reconciliations. These financial measures should not be considered in isolation from, as substitutes for, or alternative measures of, reported net income (loss) or diluted earnings (loss)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a reconciliation of net income (loss) to EBITDA and Adjusted EBITDA in dollar and percentage of revenue terms, for the periods indicated. The tables below (dollar amounts in millions) may contain slight summation differences due to rounding.</w:t>
      </w:r>
    </w:p>
    <w:tbl>
      <w:tblPr>
        <w:tblW w:w="10205" w:type="dxa"/>
        <w:jc w:val="left"/>
        <w:tblInd w:w="0" w:type="dxa"/>
        <w:tblLayout w:type="fixed"/>
        <w:tblCellMar>
          <w:top w:w="28" w:type="dxa"/>
          <w:left w:w="28" w:type="dxa"/>
          <w:bottom w:w="28" w:type="dxa"/>
          <w:right w:w="28" w:type="dxa"/>
        </w:tblCellMar>
      </w:tblPr>
      <w:tblGrid>
        <w:gridCol w:w="1355"/>
        <w:gridCol w:w="1145"/>
        <w:gridCol w:w="1151"/>
        <w:gridCol w:w="196"/>
        <w:gridCol w:w="691"/>
        <w:gridCol w:w="109"/>
        <w:gridCol w:w="109"/>
        <w:gridCol w:w="109"/>
        <w:gridCol w:w="109"/>
        <w:gridCol w:w="203"/>
        <w:gridCol w:w="203"/>
        <w:gridCol w:w="256"/>
        <w:gridCol w:w="109"/>
        <w:gridCol w:w="109"/>
        <w:gridCol w:w="109"/>
        <w:gridCol w:w="196"/>
        <w:gridCol w:w="691"/>
        <w:gridCol w:w="109"/>
        <w:gridCol w:w="109"/>
        <w:gridCol w:w="109"/>
        <w:gridCol w:w="109"/>
        <w:gridCol w:w="203"/>
        <w:gridCol w:w="203"/>
        <w:gridCol w:w="256"/>
        <w:gridCol w:w="109"/>
        <w:gridCol w:w="109"/>
        <w:gridCol w:w="109"/>
        <w:gridCol w:w="196"/>
        <w:gridCol w:w="556"/>
        <w:gridCol w:w="109"/>
        <w:gridCol w:w="109"/>
        <w:gridCol w:w="109"/>
        <w:gridCol w:w="109"/>
        <w:gridCol w:w="220"/>
        <w:gridCol w:w="218"/>
        <w:gridCol w:w="304"/>
      </w:tblGrid>
      <w:tr>
        <w:trPr/>
        <w:tc>
          <w:tcPr>
            <w:tcW w:w="135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 Reconciliation:</w:t>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fair value of investment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07645"/>
                <wp:effectExtent l="0" t="0" r="0" b="0"/>
                <wp:wrapNone/>
                <wp:docPr id="47" name="Frame45"/>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8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 reconciliation of EBITDA and EBITDA margin to Adjusted EBITDA and Adjusted EBITDA margin by segment for the periods indicated is as follows:</w:t>
      </w:r>
    </w:p>
    <w:tbl>
      <w:tblPr>
        <w:tblW w:w="10205" w:type="dxa"/>
        <w:jc w:val="left"/>
        <w:tblInd w:w="0" w:type="dxa"/>
        <w:tblLayout w:type="fixed"/>
        <w:tblCellMar>
          <w:top w:w="28" w:type="dxa"/>
          <w:left w:w="28" w:type="dxa"/>
          <w:bottom w:w="28" w:type="dxa"/>
          <w:right w:w="28" w:type="dxa"/>
        </w:tblCellMar>
      </w:tblPr>
      <w:tblGrid>
        <w:gridCol w:w="1336"/>
        <w:gridCol w:w="1079"/>
        <w:gridCol w:w="1089"/>
        <w:gridCol w:w="196"/>
        <w:gridCol w:w="691"/>
        <w:gridCol w:w="109"/>
        <w:gridCol w:w="109"/>
        <w:gridCol w:w="109"/>
        <w:gridCol w:w="109"/>
        <w:gridCol w:w="233"/>
        <w:gridCol w:w="233"/>
        <w:gridCol w:w="256"/>
        <w:gridCol w:w="109"/>
        <w:gridCol w:w="109"/>
        <w:gridCol w:w="109"/>
        <w:gridCol w:w="196"/>
        <w:gridCol w:w="691"/>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303"/>
      </w:tblGrid>
      <w:tr>
        <w:trPr/>
        <w:tc>
          <w:tcPr>
            <w:tcW w:w="133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2024</w:t>
            </w:r>
            <w:r>
              <w:rPr>
                <w:color w:val="000000"/>
              </w:rPr>
              <w:t xml:space="preserve"> </w:t>
            </w:r>
            <w:r>
              <w:rPr>
                <w:rFonts w:ascii="Times New Roman;serif" w:hAnsi="Times New Roman;serif"/>
                <w:b w:val="false"/>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2023 </w:t>
            </w:r>
            <w:r>
              <w:rPr>
                <w:rFonts w:ascii="Times New Roman;serif" w:hAnsi="Times New Roman;serif"/>
                <w:b w:val="false"/>
                <w:color w:val="000000"/>
                <w:sz w:val="12"/>
              </w:rPr>
              <w:t>(a)</w:t>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Non-cash stock-based compensation expense </w:t>
            </w:r>
            <w:r>
              <w:rPr>
                <w:rFonts w:ascii="Times New Roman;serif" w:hAnsi="Times New Roman;serif"/>
                <w:b w:val="false"/>
                <w:color w:val="000000"/>
                <w:sz w:val="12"/>
              </w:rPr>
              <w:t>(b)</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Loss on extinguishment of debt </w:t>
            </w:r>
            <w:r>
              <w:rPr>
                <w:rFonts w:ascii="Times New Roman;serif" w:hAnsi="Times New Roman;serif"/>
                <w:b w:val="false"/>
                <w:color w:val="000000"/>
                <w:sz w:val="12"/>
              </w:rPr>
              <w:t>(b)</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Changes in fair value of acquisition-related contingent items </w:t>
            </w:r>
            <w:r>
              <w:rPr>
                <w:rFonts w:ascii="Times New Roman;serif" w:hAnsi="Times New Roman;serif"/>
                <w:b w:val="false"/>
                <w:color w:val="000000"/>
                <w:sz w:val="12"/>
              </w:rPr>
              <w:t>(b)</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 and integration costs </w:t>
            </w:r>
            <w:r>
              <w:rPr>
                <w:rFonts w:ascii="Times New Roman;serif" w:hAnsi="Times New Roman;serif"/>
                <w:b w:val="false"/>
                <w:color w:val="000000"/>
                <w:sz w:val="12"/>
              </w:rPr>
              <w:t>(c)</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Losses on fair value of investment </w:t>
            </w:r>
            <w:r>
              <w:rPr>
                <w:rFonts w:ascii="Times New Roman;serif" w:hAnsi="Times New Roman;serif"/>
                <w:b w:val="false"/>
                <w:color w:val="000000"/>
                <w:sz w:val="12"/>
              </w:rPr>
              <w:t>(b)</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50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50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50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40" w:after="120"/>
        <w:jc w:val="left"/>
        <w:rPr>
          <w:rFonts w:ascii="Times New Roman;serif" w:hAnsi="Times New Roman;serif"/>
          <w:b w:val="false"/>
          <w:color w:val="000000"/>
          <w:sz w:val="16"/>
        </w:rPr>
      </w:pPr>
      <w:r>
        <w:rPr>
          <w:rFonts w:ascii="Times New Roman;serif" w:hAnsi="Times New Roman;serif"/>
          <w:b w:val="false"/>
          <w:color w:val="000000"/>
          <w:sz w:val="16"/>
        </w:rPr>
        <w:t>NM - Percentage is not meaningful</w:t>
      </w:r>
    </w:p>
    <w:p>
      <w:pPr>
        <w:pStyle w:val="TextBody"/>
        <w:bidi w:val="0"/>
        <w:spacing w:lineRule="auto" w:line="288" w:before="12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    Recast to reflect 2025 segment changes. See Note 14 - Segments and Related Information in the notes to the consolidated audited financial statements, which is incorporated by reference, for additional information.</w:t>
      </w:r>
    </w:p>
    <w:p>
      <w:pPr>
        <w:pStyle w:val="TextBody"/>
        <w:bidi w:val="0"/>
        <w:spacing w:lineRule="auto" w:line="288" w:before="12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    Non-cash stock-based compensation expense, loss on extinguishment of debt, changes in fair value of acquisition-related contingent items and losses on the fair value of an investment are included within Corporate EBITDA.</w:t>
      </w:r>
    </w:p>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    For the year ended December 31, 2023, Communications, Clean Energy and Infrastructure and Power Delivery EBITDA included $22.5 million, $37.1 million and $8.5 million, respectively, of acquisition and integration costs, and Corporate EBITDA included $3.8 million of such costs.</w:t>
      </w:r>
    </w:p>
    <w:p>
      <w:pPr>
        <w:pStyle w:val="TextBody"/>
        <w:bidi w:val="0"/>
        <w:spacing w:lineRule="auto" w:line="288" w:before="18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tables below, which may contain slight summation differences due to rounding, reconcile reported net income (loss) and reported diluted earnings (loss) per share, the most directly comparable U.S. GAAP financial measures, to Adjusted Net Income, Adjusted Net Income Attributable to MasTec, Inc. and Adjusted Diluted Earnings Per Share.</w:t>
      </w:r>
    </w:p>
    <w:tbl>
      <w:tblPr>
        <w:tblW w:w="7632" w:type="dxa"/>
        <w:jc w:val="left"/>
        <w:tblInd w:w="0" w:type="dxa"/>
        <w:tblLayout w:type="fixed"/>
        <w:tblCellMar>
          <w:top w:w="28" w:type="dxa"/>
          <w:left w:w="28" w:type="dxa"/>
          <w:bottom w:w="28" w:type="dxa"/>
          <w:right w:w="28" w:type="dxa"/>
        </w:tblCellMar>
      </w:tblPr>
      <w:tblGrid>
        <w:gridCol w:w="1571"/>
        <w:gridCol w:w="1385"/>
        <w:gridCol w:w="1394"/>
        <w:gridCol w:w="196"/>
        <w:gridCol w:w="556"/>
        <w:gridCol w:w="109"/>
        <w:gridCol w:w="109"/>
        <w:gridCol w:w="109"/>
        <w:gridCol w:w="109"/>
        <w:gridCol w:w="196"/>
        <w:gridCol w:w="556"/>
        <w:gridCol w:w="109"/>
        <w:gridCol w:w="109"/>
        <w:gridCol w:w="109"/>
        <w:gridCol w:w="109"/>
        <w:gridCol w:w="196"/>
        <w:gridCol w:w="556"/>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1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fair value of investment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pre-tax</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8"/>
              </w:rPr>
              <w:t xml:space="preserve">Income tax effect of adjustments </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8"/>
              </w:rPr>
              <w:t xml:space="preserve">Statutory and other tax rate effects </w:t>
            </w:r>
            <w:r>
              <w:rPr>
                <w:rFonts w:ascii="Times New Roman;serif" w:hAnsi="Times New Roman;serif"/>
                <w:b w:val="false"/>
                <w:color w:val="000000"/>
                <w:sz w:val="12"/>
              </w:rPr>
              <w:t>(b)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attributable to MasTec, Inc.</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07645"/>
                <wp:effectExtent l="0" t="0" r="0" b="0"/>
                <wp:wrapNone/>
                <wp:docPr id="48" name="Frame46"/>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before="120" w:after="120"/>
        <w:ind w:left="0" w:right="0" w:firstLine="720"/>
        <w:jc w:val="both"/>
        <w:rPr/>
      </w:pPr>
      <w:r>
        <w:rPr/>
      </w:r>
    </w:p>
    <w:tbl>
      <w:tblPr>
        <w:tblW w:w="7436" w:type="dxa"/>
        <w:jc w:val="left"/>
        <w:tblInd w:w="0" w:type="dxa"/>
        <w:tblLayout w:type="fixed"/>
        <w:tblCellMar>
          <w:top w:w="28" w:type="dxa"/>
          <w:left w:w="28" w:type="dxa"/>
          <w:bottom w:w="28" w:type="dxa"/>
          <w:right w:w="28" w:type="dxa"/>
        </w:tblCellMar>
      </w:tblPr>
      <w:tblGrid>
        <w:gridCol w:w="1575"/>
        <w:gridCol w:w="1382"/>
        <w:gridCol w:w="1392"/>
        <w:gridCol w:w="196"/>
        <w:gridCol w:w="466"/>
        <w:gridCol w:w="109"/>
        <w:gridCol w:w="109"/>
        <w:gridCol w:w="109"/>
        <w:gridCol w:w="109"/>
        <w:gridCol w:w="196"/>
        <w:gridCol w:w="466"/>
        <w:gridCol w:w="109"/>
        <w:gridCol w:w="109"/>
        <w:gridCol w:w="109"/>
        <w:gridCol w:w="109"/>
        <w:gridCol w:w="196"/>
        <w:gridCol w:w="541"/>
        <w:gridCol w:w="154"/>
      </w:tblGrid>
      <w:tr>
        <w:trPr/>
        <w:tc>
          <w:tcPr>
            <w:tcW w:w="15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fair value of investment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pre-tax</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8"/>
              </w:rPr>
              <w:t xml:space="preserve">Income tax effect of adjustments </w:t>
            </w:r>
            <w:r>
              <w:rPr>
                <w:rFonts w:ascii="Times New Roman;serif" w:hAnsi="Times New Roman;serif"/>
                <w:b w:val="false"/>
                <w:color w:val="000000"/>
                <w:sz w:val="12"/>
              </w:rPr>
              <w:t>(a)</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8"/>
              </w:rPr>
              <w:t>Statutory and other tax rate effects</w:t>
            </w:r>
            <w:r>
              <w:rPr>
                <w:color w:val="000000"/>
              </w:rPr>
              <w:t xml:space="preserve"> </w:t>
            </w:r>
            <w:r>
              <w:rPr>
                <w:rFonts w:ascii="Times New Roman;serif" w:hAnsi="Times New Roman;serif"/>
                <w:b w:val="false"/>
                <w:color w:val="000000"/>
                <w:sz w:val="12"/>
              </w:rPr>
              <w:t>(b)</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For the years ended December 31, 2025 and 2024, our consolidated tax amounts were expenses, with effective tax rates, as reported, of 18.1% and 20.5%, respectively, and for the year ended December 31, 2023, such amount was a benefit, with effective tax rates, as reported, of 42.8%. For the years ended December 31, 2025, 2024 and 2023, our consolidated tax amounts, as adjusted, were expenses with effective tax rates of 21.0%, 21.8% and 19.1%, respectively.</w:t>
      </w:r>
    </w:p>
    <w:p>
      <w:pPr>
        <w:pStyle w:val="TextBody"/>
        <w:bidi w:val="0"/>
        <w:spacing w:lineRule="auto" w:line="288" w:before="6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    Represents the effects of statutory and other tax rate changes for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Financial Condition, Liquidity and Capital Resources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refinance, extend the terms of our existing indebtedness, retire outstanding debt, borrow additional funds, which may include borrowings under our Credit Facility or debt issuances, or repurchase additional shares of our outstanding common stock under share repurchase authorizations, any of which may require our use of cash.</w:t>
      </w:r>
      <w:r>
        <w:rPr>
          <w:color w:val="EE2724"/>
        </w:rPr>
        <w:t xml:space="preserve"> </w:t>
      </w:r>
      <w:r>
        <w:rPr>
          <w:rFonts w:ascii="Times New Roman;serif" w:hAnsi="Times New Roman;serif"/>
          <w:b w:val="false"/>
          <w:color w:val="000000"/>
          <w:sz w:val="18"/>
        </w:rPr>
        <w:t xml:space="preserve">See Note 8 - Debt in the notes to the audited consolidated financial statements, which is incorporated by reference, for details of our recent debt transactions, including the amendment and restatement of our senior credit facility and the repayment of the outstanding loans under the existing credit agreement, our new term loan facility, and the repayment of our five-year term loan. </w:t>
      </w:r>
    </w:p>
    <w:p>
      <w:pPr>
        <w:pStyle w:val="TextBody"/>
        <w:bidi w:val="0"/>
        <w:spacing w:lineRule="auto" w:line="288" w:before="120" w:after="120"/>
        <w:ind w:left="0" w:right="0" w:firstLine="720"/>
        <w:jc w:val="both"/>
        <w:rPr/>
      </w:pPr>
      <w:r>
        <w:rPr>
          <w:rFonts w:ascii="Times New Roman;serif" w:hAnsi="Times New Roman;serif"/>
          <w:b/>
          <w:i/>
          <w:color w:val="000000"/>
          <w:sz w:val="18"/>
        </w:rPr>
        <w:t>Capital Expenditures</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For the year ended December 31, 2025, we spent approximately $260 million on capital expenditures, or $204 million, net of asset disposals, and incurred approximately $229 million of equipment purchases under finance leases and other financing arrangements. We estimate that we will spend approximately $270 million on capital expenditures, or approximately $200 million, net of asset disposals, in 2026, and we expect to incur approximately $230 million to $255 million of equipment purchases under finance leases and other financing arrangements. Actual capital expenditures may increase or decrease in the future depending upon business activity levels, as well as ongoing assessments of equipment lease and other financing arrangements versus purchase decisions based on management’s evaluation of short and long-term equipment requirements.</w:t>
      </w:r>
    </w:p>
    <w:p>
      <w:pPr>
        <w:pStyle w:val="TextBody"/>
        <w:bidi w:val="0"/>
        <w:spacing w:lineRule="auto" w:line="288" w:before="120" w:after="120"/>
        <w:ind w:left="0" w:right="0" w:firstLine="720"/>
        <w:jc w:val="both"/>
        <w:rPr/>
      </w:pPr>
      <w:r>
        <w:rPr>
          <w:rFonts w:ascii="Times New Roman;serif" w:hAnsi="Times New Roman;serif"/>
          <w:b/>
          <w:i/>
          <w:color w:val="000000"/>
          <w:sz w:val="18"/>
        </w:rPr>
        <w:t>Acquisitions and Earn-Out Liabilities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We typically utilize cash for business acquisitions and other strategic arrangements, and for the year ended December 31, 2025, we used $71 million of cash for this purpose. In addition, in most of our acquisitions, we have agreed to make future payments to the sellers that are contingent upon the future earnings performance of the acquired businesses, which we also refer to as “Earn-out” payments. From time to time, our acquisitions may contain certain additional payments if specified conditions are met. Earn-out payments may be paid in cash or, under specific circumstances, MasTec common stock, or a combination thereof, generally at our option. The estimated total value of future Earn-out liabilities as of December 31, 2025 was approximately $73 million. Of this amount, approximately $21 million represents the liability for earned amounts. The remainder is management’s estimate of Earn-out liabilities that are contingent upon future performance. For the years ended December 31, 2025, 2024 and 2023, we made $49 million, $26 million and $39 million, respectively, of payments related to our Earn-out liabilities. In the first quarter of 2026, we completed one acquisition for an aggregate purchase price of $262 million in cash. See “Business” discussion above for details of our recent acquisitions.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acquisition of HMG in 2021 provided for certain additional payments to be made to the sellers if certain acquired receivables are collected, which we refer to as the “Additional Payments.” As of December 31, 2025, the estimated fair value of remaining Additional Payments was approximately $18 million, which for the year ended December 31, 2025, includes the effect of fair value adjustments related to the contingent shares totaling losses of approximately $4.1 million. The number of shares that would be paid in connection with the remaining Additional Payments as of December 31, 2025 is approximately 50,000 shares.</w:t>
      </w:r>
    </w:p>
    <w:p>
      <w:pPr>
        <w:pStyle w:val="TextBody"/>
        <w:bidi w:val="0"/>
        <w:spacing w:lineRule="auto" w:line="288" w:before="120" w:after="120"/>
        <w:ind w:left="0" w:right="0" w:firstLine="720"/>
        <w:jc w:val="both"/>
        <w:rPr/>
      </w:pPr>
      <w:r>
        <w:rPr>
          <w:rFonts w:ascii="Times New Roman;serif" w:hAnsi="Times New Roman;serif"/>
          <w:b/>
          <w:i/>
          <w:color w:val="000000"/>
          <w:sz w:val="18"/>
        </w:rPr>
        <w:t>Income Taxes.</w:t>
      </w:r>
      <w:r>
        <w:rPr>
          <w:color w:val="000000"/>
        </w:rPr>
        <w:t xml:space="preserve"> </w:t>
      </w:r>
      <w:r>
        <w:rPr>
          <w:rFonts w:ascii="Times New Roman;serif" w:hAnsi="Times New Roman;serif"/>
          <w:b w:val="false"/>
          <w:color w:val="000000"/>
          <w:sz w:val="18"/>
        </w:rPr>
        <w:t>Tax payments, net of tax refunds, totaled $44 million for both the years ended December 31, 2025 and 2024 and $10 million for the year ended December 31, 2023. Our tax payments vary with changes in taxable income and earnings based on estimates of full year taxable income activity and estimated tax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07645"/>
                <wp:effectExtent l="0" t="0" r="0" b="0"/>
                <wp:wrapNone/>
                <wp:docPr id="49" name="Frame47"/>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pPr>
      <w:r>
        <w:rPr>
          <w:rFonts w:ascii="Times New Roman;serif" w:hAnsi="Times New Roman;serif"/>
          <w:b/>
          <w:i/>
          <w:color w:val="000000"/>
          <w:sz w:val="18"/>
        </w:rPr>
        <w:t>Working Capital.</w:t>
      </w:r>
      <w:r>
        <w:rPr>
          <w:color w:val="000000"/>
        </w:rPr>
        <w:t xml:space="preserve"> </w:t>
      </w:r>
      <w:r>
        <w:rPr>
          <w:rFonts w:ascii="Times New Roman;serif" w:hAnsi="Times New Roman;serif"/>
          <w:b w:val="false"/>
          <w:color w:val="000000"/>
          <w:sz w:val="18"/>
        </w:rPr>
        <w:t>We need working capital to support seasonal and other variations in our business, primarily related to the effects of weather conditions on outdoor construction and maintenance work and the spending patterns of our customers, both of which influence the timing of associated spending to support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Working capital requirements also tend to increase when we commence multiple projects or particularly large projects because labor, including subcontractor costs, and certain other costs, including inventory and materials requirements, typically become payable before the receivables resulting from work performed are collected. The timing of billings and project close-outs can also contribute to changes in billed and unbilled revenue. As of December 31, 2025, we expect that substantially all of our unbilled receivables will be billed to customers in the normal course of business within the next twelve months. Total accounts receivable, which consists of contract billings, unbilled receivables and retainage, net of allowance, totaled approximately $3.5 billion as of December 31, 2025 as compared with $2.9 billion as of December 31, 2024, due primarily to higher levels of revenue, as well as the timing of project billings and collections. See below for discussion of our days sales outstanding, net of contract liabilities, which we refer to as days sales outstanding, or “DSO.”</w:t>
      </w:r>
    </w:p>
    <w:p>
      <w:pPr>
        <w:pStyle w:val="TextBody"/>
        <w:bidi w:val="0"/>
        <w:spacing w:lineRule="auto" w:line="288" w:before="120" w:after="120"/>
        <w:ind w:left="0" w:right="0" w:firstLine="360"/>
        <w:jc w:val="both"/>
        <w:rPr>
          <w:color w:val="000000"/>
        </w:rPr>
      </w:pPr>
      <w:r>
        <w:rPr>
          <w:color w:val="000000"/>
        </w:rPr>
        <w:t>    </w:t>
      </w:r>
      <w:r>
        <w:rPr>
          <w:rFonts w:ascii="Times New Roman;serif" w:hAnsi="Times New Roman;serif"/>
          <w:b w:val="false"/>
          <w:color w:val="000000"/>
          <w:sz w:val="18"/>
        </w:rPr>
        <w:t>Our payment billing terms are generally net 30 days, and some of our contracts allow our customers to retain a portion of the contract amount, generally from 5% to 10% of billings, until the job is completed, which amounts are referred to as “retainage.”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the mobilization of assets and/or crew to project sites and/or for materials purchases up to specified amounts. Vendor terms generally range from 30 to 60 days. Our agreements with subcontractors often contain a “pay-if-paid” provision, whereby our payments are contractually due to subcontractors only after we are paid by our customers.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Summary of Financial Condition, Liquidity and Capital Resources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Including our current assessment of general economic and market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as well as potential acquisition, strategic arrangement and investment funding requirements and/or share repurchase activity and other liquidity needs for the next twelve months and the foreseeable future.</w:t>
      </w:r>
    </w:p>
    <w:p>
      <w:pPr>
        <w:pStyle w:val="TextBody"/>
        <w:bidi w:val="0"/>
        <w:spacing w:lineRule="auto" w:line="288" w:before="120" w:after="120"/>
        <w:ind w:left="0" w:right="0" w:firstLine="360"/>
        <w:jc w:val="both"/>
        <w:rPr>
          <w:rFonts w:ascii="Times New Roman;serif" w:hAnsi="Times New Roman;serif"/>
          <w:b/>
          <w:color w:val="000000"/>
          <w:sz w:val="18"/>
        </w:rPr>
      </w:pPr>
      <w:r>
        <w:rPr>
          <w:rFonts w:ascii="Times New Roman;serif" w:hAnsi="Times New Roman;serif"/>
          <w:b/>
          <w:color w:val="000000"/>
          <w:sz w:val="18"/>
        </w:rPr>
        <w:t>Sources and Uses of Cash</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December 31, 2025, we had approximately $1,058 million in working capital, defined as current assets less current liabilities, as compared with $653 million as of December 31, 2024, an increase of approximately $405 million. Cash and cash equivalents totaled approximately $396 million and $400 million as of December 31, 2025 and 2024, respectively, for a decrease of $4 million. See discussion below for further detail regarding our cash flows and related activity.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Sources and uses of cash are summarized below (in millions):</w:t>
      </w:r>
    </w:p>
    <w:tbl>
      <w:tblPr>
        <w:tblW w:w="6641" w:type="dxa"/>
        <w:jc w:val="left"/>
        <w:tblInd w:w="0" w:type="dxa"/>
        <w:tblLayout w:type="fixed"/>
        <w:tblCellMar>
          <w:top w:w="28" w:type="dxa"/>
          <w:left w:w="28" w:type="dxa"/>
          <w:bottom w:w="28" w:type="dxa"/>
          <w:right w:w="28" w:type="dxa"/>
        </w:tblCellMar>
      </w:tblPr>
      <w:tblGrid>
        <w:gridCol w:w="1087"/>
        <w:gridCol w:w="952"/>
        <w:gridCol w:w="960"/>
        <w:gridCol w:w="196"/>
        <w:gridCol w:w="631"/>
        <w:gridCol w:w="109"/>
        <w:gridCol w:w="109"/>
        <w:gridCol w:w="109"/>
        <w:gridCol w:w="109"/>
        <w:gridCol w:w="196"/>
        <w:gridCol w:w="766"/>
        <w:gridCol w:w="109"/>
        <w:gridCol w:w="109"/>
        <w:gridCol w:w="109"/>
        <w:gridCol w:w="109"/>
        <w:gridCol w:w="196"/>
        <w:gridCol w:w="63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i/>
          <w:color w:val="000000"/>
          <w:sz w:val="18"/>
        </w:rPr>
        <w:t>Operating Activities.</w:t>
      </w:r>
      <w:r>
        <w:rPr>
          <w:color w:val="000000"/>
        </w:rPr>
        <w:t xml:space="preserve"> </w:t>
      </w:r>
      <w:r>
        <w:rPr>
          <w:rFonts w:ascii="Times New Roman;serif" w:hAnsi="Times New Roman;serif"/>
          <w:b w:val="false"/>
          <w:color w:val="000000"/>
          <w:sz w:val="18"/>
        </w:rPr>
        <w:t>Cash flow from operations is primarily influenced by changes in the timing of demand for our services and operating margins, but can also be affected by working capital needs associated with the various types of services we provide. Working capital is affected by changes in total accounts receivable, net,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year ended December 31, 2025 was $546 million, as compared with $1,122 million in 2024, for a decrease in net cash provided by operating activities of approximately $576 million. The decrease was due primarily to changes in working capital compared with the prior period, including from the negative effect of timing-related changes in accounts receivable, net, primarily driven by higher levels of revenue and an increase in DSO, and contract liabilities, offset, in part, by the positive effect of timing-related changes in accounts payable and accrued expenses, and an increase in net income as compared with the prior period.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DSO is calculated as total accounts receivable, net of allowance, less contract liabilities, divided by average daily revenue for the most recently completed quarter as of the balance sheet date. A decrease in DSO has a favorable impact on cash flow from operating activities, while an increase in DSO has a negative impact on cash flow from operating activities. Our DSO was 65 as of December 31, 2025, as compared with DSO of 60 as of December 31, 2024. Our DSOs can fluctuate from period to period due to timing of billings, billing terms, collections and settlements, timing of project close-outs and retainage collections, changes in project and customer mix and to a lesser extent the effect of working capital initiatives, including certain accounts receivable financing arrangements. The increase in DSO as of December 31, 2025 as compared with December 31, 2024 was due to timing of ordinary course billing and collection activities. Other than certain ordinary course matters subject to litigation, we do not anticipate material collection issues related to our outstanding accounts receivable balances, nor do we believe that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07645"/>
                <wp:effectExtent l="0" t="0" r="0" b="0"/>
                <wp:wrapNone/>
                <wp:docPr id="50" name="Frame48"/>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material amounts due from customers experiencing financial difficulties. Based on current information, we expect to collect substantially all of our outstanding accounts receivable balances within the next twelve months.</w:t>
      </w:r>
    </w:p>
    <w:p>
      <w:pPr>
        <w:pStyle w:val="TextBody"/>
        <w:bidi w:val="0"/>
        <w:spacing w:lineRule="auto" w:line="288" w:before="120" w:after="120"/>
        <w:ind w:left="0" w:right="0" w:firstLine="720"/>
        <w:jc w:val="both"/>
        <w:rPr/>
      </w:pPr>
      <w:r>
        <w:rPr>
          <w:rFonts w:ascii="Times New Roman;serif" w:hAnsi="Times New Roman;serif"/>
          <w:b/>
          <w:i/>
          <w:color w:val="000000"/>
          <w:sz w:val="18"/>
        </w:rPr>
        <w:t>Investing Activities.</w:t>
      </w:r>
      <w:r>
        <w:rPr>
          <w:color w:val="000000"/>
        </w:rPr>
        <w:t xml:space="preserve"> </w:t>
      </w:r>
      <w:r>
        <w:rPr>
          <w:rFonts w:ascii="Times New Roman;serif" w:hAnsi="Times New Roman;serif"/>
          <w:b w:val="false"/>
          <w:color w:val="000000"/>
          <w:sz w:val="18"/>
        </w:rPr>
        <w:t>Net cash used in investing activities was $267 million as compared to $157 million for the year ended December 31, 2025 and 2024, respectively, for an increase of $110 million. Capital expenditures totaled $260 million, or $204 million, net of asset disposals, for the year ended December 31, 2025, as compared with $149 million, or $83 million, net of asset disposals, for the same period in 2024, for an increase in cash used in investing activities of approximately $121 million, primarily to support operational growth and the replacement of older machinery and equipment.</w:t>
      </w:r>
    </w:p>
    <w:p>
      <w:pPr>
        <w:pStyle w:val="TextBody"/>
        <w:bidi w:val="0"/>
        <w:spacing w:lineRule="auto" w:line="288" w:before="120" w:after="120"/>
        <w:ind w:left="0" w:right="0" w:firstLine="720"/>
        <w:jc w:val="both"/>
        <w:rPr/>
      </w:pPr>
      <w:r>
        <w:rPr>
          <w:rFonts w:ascii="Times New Roman;serif" w:hAnsi="Times New Roman;serif"/>
          <w:b/>
          <w:i/>
          <w:color w:val="000000"/>
          <w:sz w:val="18"/>
          <w:shd w:fill="FFFFFF" w:val="clear"/>
        </w:rPr>
        <w:t>Financing Activities.</w:t>
      </w:r>
      <w:r>
        <w:rPr>
          <w:color w:val="000000"/>
          <w:shd w:fill="FFFFFF" w:val="clear"/>
        </w:rPr>
        <w:t xml:space="preserve"> </w:t>
      </w:r>
      <w:r>
        <w:rPr>
          <w:rFonts w:ascii="Times New Roman;serif" w:hAnsi="Times New Roman;serif"/>
          <w:b w:val="false"/>
          <w:color w:val="000000"/>
          <w:sz w:val="18"/>
          <w:shd w:fill="FFFFFF" w:val="clear"/>
        </w:rPr>
        <w:t>Net cash used in financing activities for the year ended December 31, 2025 was $283 million, as compared with net cash used in financing activities of $1,090 million in 2024, for a decrease in cash used in financin</w:t>
      </w:r>
      <w:r>
        <w:rPr>
          <w:rFonts w:ascii="Times New Roman;serif" w:hAnsi="Times New Roman;serif"/>
          <w:b w:val="false"/>
          <w:color w:val="000000"/>
          <w:sz w:val="18"/>
        </w:rPr>
        <w:t xml:space="preserve">g activities of approximately $807 million. For </w:t>
      </w:r>
      <w:r>
        <w:rPr>
          <w:rFonts w:ascii="Times New Roman;serif" w:hAnsi="Times New Roman;serif"/>
          <w:b w:val="false"/>
          <w:color w:val="000000"/>
          <w:sz w:val="18"/>
          <w:shd w:fill="FFFFFF" w:val="clear"/>
        </w:rPr>
        <w:t xml:space="preserve">the year ended December 31, 2025, we had </w:t>
      </w:r>
      <w:r>
        <w:rPr>
          <w:rFonts w:ascii="Times New Roman;serif" w:hAnsi="Times New Roman;serif"/>
          <w:b w:val="false"/>
          <w:color w:val="000000"/>
          <w:sz w:val="18"/>
        </w:rPr>
        <w:t xml:space="preserve">$56 million of borrowings, net of repayments, under our credit facility and term loans, as compared with $1,154 million of repayments, net of borrowings, for the same period in 2024, for a decrease in cash used in financing activities of $1,209 million. The decrease in cash used in financing activities from the above was offset, in part, by an increase in net proceeds of Senior Notes for the year ended December 31, 2024 of $326 million, consisting of $550 million in proceeds from our 5.900% Senior Notes and $224 million of repayments made on our 6.625% Senior Notes. Share repurchases totaled approximately $77 million </w:t>
      </w:r>
      <w:r>
        <w:rPr>
          <w:rFonts w:ascii="Times New Roman;serif" w:hAnsi="Times New Roman;serif"/>
          <w:b w:val="false"/>
          <w:color w:val="000000"/>
          <w:sz w:val="18"/>
          <w:shd w:fill="FFFFFF" w:val="clear"/>
        </w:rPr>
        <w:t xml:space="preserve">for the year ended December 31, 2025, whereas there were </w:t>
      </w:r>
      <w:r>
        <w:rPr>
          <w:rFonts w:ascii="Times New Roman;serif" w:hAnsi="Times New Roman;serif"/>
          <w:b w:val="false"/>
          <w:color w:val="000000"/>
          <w:sz w:val="18"/>
        </w:rPr>
        <w:t xml:space="preserve">no share repurchases for the same period in 2024. Additionally, payments of acquisition-related contingent consideration included within financing activities increased by $18 million. Total payments of acquisition-related contingent consideration, including payments in excess of acquisition-date liabilities, which are classified within operating activities, totaled $49 million </w:t>
      </w:r>
      <w:r>
        <w:rPr>
          <w:rFonts w:ascii="Times New Roman;serif" w:hAnsi="Times New Roman;serif"/>
          <w:b w:val="false"/>
          <w:color w:val="000000"/>
          <w:sz w:val="18"/>
          <w:shd w:fill="FFFFFF" w:val="clear"/>
        </w:rPr>
        <w:t>for the year ended December 31, 2025 as compared with</w:t>
      </w:r>
      <w:r>
        <w:rPr>
          <w:color w:val="000000"/>
        </w:rPr>
        <w:t xml:space="preserve"> </w:t>
      </w:r>
      <w:r>
        <w:rPr>
          <w:rFonts w:ascii="Times New Roman;serif" w:hAnsi="Times New Roman;serif"/>
          <w:b w:val="false"/>
          <w:color w:val="000000"/>
          <w:sz w:val="18"/>
        </w:rPr>
        <w:t xml:space="preserve">$26 million for the same period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pPr>
      <w:r>
        <w:rPr>
          <w:rFonts w:ascii="Times New Roman;serif" w:hAnsi="Times New Roman;serif"/>
          <w:b/>
          <w:i/>
          <w:color w:val="000000"/>
          <w:sz w:val="18"/>
        </w:rPr>
        <w:t>Senior Credit Facility</w:t>
      </w:r>
      <w:r>
        <w:rPr>
          <w:color w:val="000000"/>
        </w:rPr>
        <w:t xml:space="preserve"> </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June 26, 2025, we amended and restated our five-year, senior unsecured credit facility (the “Credit Facility”), which matures on June 26, 2030 and is composed of $1.9 billion of revolving commitments. As of December 31, 2025, aggregate outstanding revolving borrowings totaled approximately $118 million and availability for revolving loans totaled $1,725 million. Borrowings under our Credit Facility are used for working capital requirements, capital expenditures and other corporate purposes, including acquisitions, equity investments or other strategic arrangements, and/or the repurchase or prepayment of indebtedness, among other corporate borrowing requirements, including potential share repurchases.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8 - Debt in the notes to the audited consolidated financial statements, which is incorporated by reference.</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4.500% Senior Notes. </w:t>
      </w:r>
      <w:r>
        <w:rPr>
          <w:rFonts w:ascii="Times New Roman;serif" w:hAnsi="Times New Roman;serif"/>
          <w:b w:val="false"/>
          <w:color w:val="000000"/>
          <w:sz w:val="18"/>
        </w:rPr>
        <w:t xml:space="preserve">We have $600 million aggregate principal amount of 4.500% senior unsecured notes due August 15, 2028 (the “4.500% Senior Notes”). </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5.900% Senior Notes. </w:t>
      </w:r>
      <w:r>
        <w:rPr>
          <w:rFonts w:ascii="Times New Roman;serif" w:hAnsi="Times New Roman;serif"/>
          <w:b w:val="false"/>
          <w:color w:val="000000"/>
          <w:sz w:val="18"/>
        </w:rPr>
        <w:t xml:space="preserve">We have $550 million aggregate principal amount of 5.900% senior unsecured notes due June 15, 2029 (the “5.900% Senior Notes”). </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6.625% Senior Notes. </w:t>
      </w:r>
      <w:r>
        <w:rPr>
          <w:rFonts w:ascii="Times New Roman;serif" w:hAnsi="Times New Roman;serif"/>
          <w:b w:val="false"/>
          <w:color w:val="000000"/>
          <w:sz w:val="18"/>
        </w:rPr>
        <w:t>We have $75 million aggregate principal amount of 6.625% senior unsecured notes due August 15, 2029 (the “6.625% Senior Notes”).</w:t>
      </w:r>
      <w:r>
        <w:rPr>
          <w:color w:val="EE2724"/>
        </w:rPr>
        <w:t xml:space="preserve">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Senior Notes described above are subject to certain provisions and covenants, as more fully described in Note 8 - Debt in the notes to the audited consolidated financial statements, which is incorporated by reference.</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2025 Term Loan Facility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June 26, 2025, we entered into a new $600 million senior unsecured term loan agreement (the “2025 Term Loan Facility”) which matures on June 26, 2028 and the loans thereunder are not subject to amortization. In the second quarter of 2025, we used the proceeds from the 2025 Term Loan Facility, together with available cash, to repay the $328.1 million term loan under our Existing Credit Agreement and the remaining $277.5 million of our Five-Year Term Loan that would otherwise have matured on October 7, 2027. The 2025 Term Loan Facility is subject to certain provisions and covenants, as more fully described in Note 8 - Debt in the notes to the audited consolidated financial statements, which is incorporated by reference.</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Debt Covenants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were in compliance with the provisions and covenants contained in our outstanding debt instruments as of December 31, 2025, and we expect to be in compliance with these provisions and covenants for the next twelve months.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Additional Information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detailed discussion and additional information pertaining to our debt instruments, including current period balances and rates of interest, see Note 8 - Debt in the notes to the audited consolidated financial statements, which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07645"/>
                <wp:effectExtent l="0" t="0" r="0" b="0"/>
                <wp:wrapNone/>
                <wp:docPr id="51" name="Frame49"/>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80" w:after="180"/>
        <w:jc w:val="both"/>
        <w:rPr>
          <w:rFonts w:ascii="Times New Roman;serif" w:hAnsi="Times New Roman;serif"/>
          <w:b/>
          <w:color w:val="000000"/>
          <w:sz w:val="18"/>
        </w:rPr>
      </w:pPr>
      <w:r>
        <w:rPr>
          <w:rFonts w:ascii="Times New Roman;serif" w:hAnsi="Times New Roman;serif"/>
          <w:b/>
          <w:color w:val="000000"/>
          <w:sz w:val="18"/>
        </w:rPr>
        <w:t>Contractual Payment Obligations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our contractual payment obligations as of December 31, 2025 during the periods indicated below (in millions): </w:t>
      </w:r>
    </w:p>
    <w:tbl>
      <w:tblPr>
        <w:tblW w:w="10205" w:type="dxa"/>
        <w:jc w:val="left"/>
        <w:tblInd w:w="0" w:type="dxa"/>
        <w:tblLayout w:type="fixed"/>
        <w:tblCellMar>
          <w:top w:w="28" w:type="dxa"/>
          <w:left w:w="28" w:type="dxa"/>
          <w:bottom w:w="28" w:type="dxa"/>
          <w:right w:w="28" w:type="dxa"/>
        </w:tblCellMar>
      </w:tblPr>
      <w:tblGrid>
        <w:gridCol w:w="847"/>
        <w:gridCol w:w="742"/>
        <w:gridCol w:w="747"/>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196"/>
        <w:gridCol w:w="556"/>
        <w:gridCol w:w="109"/>
        <w:gridCol w:w="109"/>
        <w:gridCol w:w="109"/>
        <w:gridCol w:w="109"/>
        <w:gridCol w:w="603"/>
        <w:gridCol w:w="1437"/>
        <w:gridCol w:w="480"/>
      </w:tblGrid>
      <w:tr>
        <w:trPr/>
        <w:tc>
          <w:tcPr>
            <w:tcW w:w="84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Contractual Obligations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1 - 3 </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3 - 5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More than 5 Years and</w:t>
            </w:r>
            <w:r>
              <w:rPr>
                <w:color w:val="000000"/>
              </w:rPr>
              <w:t xml:space="preserve"> </w:t>
            </w:r>
            <w:r>
              <w:rPr>
                <w:rFonts w:ascii="Times New Roman;serif" w:hAnsi="Times New Roman;serif"/>
                <w:b/>
                <w:color w:val="000000"/>
                <w:sz w:val="18"/>
              </w:rPr>
              <w:t>Thereafter</w:t>
            </w:r>
          </w:p>
        </w:tc>
      </w:tr>
      <w:tr>
        <w:trPr/>
        <w:tc>
          <w:tcPr>
            <w:tcW w:w="2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4.500%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5.900%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6.625% Senior Notes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and other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Earn-out obligations </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3,212.8 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4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Under certain acquisition agreements, we have agreed to pay the sellers earn-outs and other amounts based on the performance of the businesses acquired. Certain of these payments may be made either in cash or in MasTec common stock, or a combination thereof, at our option. Due to the contingent nature of these payments, we have only included obligations that we expect will be paid in cash and have been earned as of December 31, 2025.</w:t>
      </w:r>
    </w:p>
    <w:p>
      <w:pPr>
        <w:pStyle w:val="TextBody"/>
        <w:bidi w:val="0"/>
        <w:spacing w:lineRule="auto" w:line="288" w:before="6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    Represents expected future interest payments on debt, finance lease and other obligations outstanding as of December 31, 2025, and does not include potential letter of credit or commitment fees associated with our senior unsecured credit facility. With respect to our variable rate debt, consisting of our senior unsecured credit facility and 2025 Term Loan Facility, the expected future interest assumes the principal amount outstanding and interest rates in effect as of December 31, 2025 remain the same. With the exception of our senior unsecured credit facility and 2025 Term Loan Facility, all of our debt instruments are fixed rate interest obligations.</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Off-Balance Sheet Arrangements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is common in our industry, we have entered into certain off-balance sheet arrangements in the ordinary course of business. Our significant off-balance sheet transactions include liabilities associated with non-cancelable operating leases with durations of less than twelve months, letter of credit obligations, surety and performance and payment bonds entered into in the normal course of business, self-insurance liabilities, liabilities associated with multiemployer pension plans, liabilities associated with potential funding obligations and indemnification and/or guarantee arrangements relating to our equity and other investment arrangements, including our variable interest entities. These off-balance sheet arrangements have not had, and are not reasonably likely to have, a material impact on our financial condition, revenue or expenses, results of operations, liquidity, cash requirements or capital resources in the next twelve months or in the foreseeable future. Refer to Note 4 - Fair Value of Financial Instruments, Note 15 - Commitments and Contingencies and Note 16 - Related Party Transactions in the notes to the audited consolidated financial statements, which are incorporated by reference, for additional information related to our off-balance sheet arrangements.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Impact of Inflation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primary inflationary factors directly affecting our operations are labor, fuel and material costs. The labor market remains at low levels of unemployment, creating pressure on the supply of skilled labor. In times of low unemployment and/or high inflation, our labor costs may increase due to shortages in the supply of skilled labor and increases in compensation rates generally. Changes to immigration policy may also affect the availability of labor. Although most project materials are provided by our customers, increases in the cost of materials could negatively affect the economic viability of our customers’ projects, and accordingly, demand for our services. Material and commodity prices are subject to volatility due to events outside of our control, such as tariff and trade actions, fluctuations in global supply and demand, climate-related effects, and geopolitical events, which events have caused and could create heightened global market volatility in the future. Inflation rates in the United States increased significantly over the past several years and, while recent inflationary pressure has somewhat abated, the high-cost environment remains intact and we expect it to continue in 2026 due, in part, to trade actions described above under “General Economic, Market and Regulatory Conditions.”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Elevated levels of labor, fuel and material costs have in the past and could in the future negatively affect our project margins to the extent that we are unable to pass such cost increases along to our customers. In addition, there is uncertainty to what effect, if any, trade tariffs will have on inflation in future periods. Such market and economic volatility and/or uncertainty can also affect our customers’ investment decisions and subject us to project cancellations, deferrals or unexpected changes in the timing, type and scope of project work. Market prices for goods can also be affected by supply chain disruptions, which in the past have negatively affected our operations, as discussed in </w:t>
      </w:r>
      <w:hyperlink w:anchor="if4b0bf616dbc41b2b15400916ea5db26_1913">
        <w:r>
          <w:rPr>
            <w:rStyle w:val="InternetLink"/>
            <w:rFonts w:ascii="Times New Roman;serif" w:hAnsi="Times New Roman;serif"/>
            <w:b w:val="false"/>
            <w:color w:val="0000FF"/>
            <w:sz w:val="18"/>
            <w:u w:val="single"/>
          </w:rPr>
          <w:t>Item 1.</w:t>
        </w:r>
      </w:hyperlink>
      <w:r>
        <w:rPr>
          <w:color w:val="000000"/>
        </w:rPr>
        <w:t xml:space="preserve"> “</w:t>
      </w:r>
      <w:r>
        <w:rPr>
          <w:rFonts w:ascii="Times New Roman;serif" w:hAnsi="Times New Roman;serif"/>
          <w:b w:val="false"/>
          <w:color w:val="000000"/>
          <w:sz w:val="18"/>
        </w:rPr>
        <w:t xml:space="preserve">Business,” under “Suppliers, Materials and Working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07645"/>
                <wp:effectExtent l="0" t="0" r="0" b="0"/>
                <wp:wrapNone/>
                <wp:docPr id="52" name="Frame50"/>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While inflationary factors have not had a material impact on our business, results of operations and/or financial condition, we closely monitor such factors, and any potential effects they may have on our business operations. While the impact of these factors cannot be fully eliminated, we take proactive steps to mitigate their effects; however, inflationary pressures could adversely affect our business operations in the future.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Recently Issued Accounting Pronouncements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See Note 1 - Business, Basis of Presentation and Significant Accounting Policies in the notes to the audited consolidated financial statements, which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ind w:left="0" w:right="0" w:hanging="1440"/>
        <w:jc w:val="both"/>
        <w:rPr>
          <w:rFonts w:ascii="Times New Roman;serif" w:hAnsi="Times New Roman;serif"/>
          <w:b/>
          <w:color w:val="000000"/>
          <w:sz w:val="18"/>
        </w:rPr>
      </w:pPr>
      <w:r>
        <w:rPr>
          <w:rFonts w:ascii="Times New Roman;serif" w:hAnsi="Times New Roman;serif"/>
          <w:b/>
          <w:color w:val="000000"/>
          <w:sz w:val="18"/>
        </w:rPr>
        <w:t xml:space="preserve">ITEM 7A.    QUANTITATIVE AND QUALITATIVE DISCLOSURES ABOUT MARKET RISK </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Interest Rate Risk</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interest expense is affected by the prevailing interest rate environment. While the cost of our variable-rate debt fluctuates with changes in market interest rates, interest on our fixed-rate debt is unaffected by such changes. We manage interest rate risk by maintaining a mix of fixed and variable rate debt obligations. As of December 31, 2025, our variable interest rate debt was primarily related to our Credit Facility and our 2025 Term Loan Facility. Outstanding revolving loans under our Credit Facility bear interest, at our option, at a rate equal to either (a) Term Secured Overnight Financing Rate (“SOFR”), TIIE, or Term CORRA, as defined in the Credit Facility, plus a margin of 1.125% to 1.625%, or (b) a Base Rate, as defined in the Credit Facility, plus a margin of 0.125% to 0.625%. Outstanding loans under our 2025 Term Loan Facility bear interest, at our option, at a rate equal to either (a) Term SOFR, as defined in the 2025 Term Loan Facility, plus a margin of 1.00% to 1.50%, or (b) a Base Rate, as defined in the 2025 Term Loan Facility, plus a margin of up to 0.50%.</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December 31, 2025, we had approximately $118 million aggregate principal amount of outstanding revolving loans under our Credit Facility with a weighted average interest rate of 4.56% and $600 million outstanding under our 2025 Term Loan Facility with a weighted average interest rate of 4.85%. An additional 100 basis point increase in the applicable interest rates under our Credit Facility and 2025 Term Loan Facility would have increased our interest expense by approximately $9 million for the year ended December 31, 2025.</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December 31, 2025, our fixed interest rate debt primarily included $600 million aggregate principal amount of 4.500% Senior Notes, $550 million aggregate principal amount of 5.900% Senior Notes, $74.9 million aggregate principal amount of 6.625% Senior Notes and $343.6 million of finance lease obligations, which accrued interest at a weighted average interest rate of approximately 4.9%. None of this debt subjects us to financial statement risk associated with changes in interest rates, but we may be subject to changes in interest rates if and when we refinance this debt at maturity or otherwise.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Foreign Currency Risk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Certain of our consolidated revenue and operating expenses are in foreign currencies. Our foreign operations are primarily in Canada. Revenue generated from foreign operations represented approximately 1% of our total revenue for the year ended December 31, 2025.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in 2025. Translation gains or losses, which are recorded in other comprehensive income or loss, result from translation of the assets and liabilities of our foreign subsidiaries into U.S. dollars. For the year ended December 31, 2025, foreign currency translation gains, net, totaled approximately $4.0 million and related primarily to our activities in Canada and Mexico.</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December 31, 2025. We may enter into foreign currency derivative contracts in the future to manage such exposure.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Other Market Risk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discussed in Note 4 - Fair Value of Financial Instruments in the notes to the audited consolidated financial statements, which is incorporated by reference, we have certain investments that may be subject to market risk and could be subject to volatility based on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07645"/>
                <wp:effectExtent l="0" t="0" r="0" b="0"/>
                <wp:wrapNone/>
                <wp:docPr id="53" name="Frame51"/>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240"/>
        <w:ind w:left="0" w:right="0" w:hanging="1440"/>
        <w:jc w:val="both"/>
        <w:rPr>
          <w:rFonts w:ascii="Times New Roman;serif" w:hAnsi="Times New Roman;serif"/>
          <w:b/>
          <w:color w:val="000000"/>
          <w:sz w:val="18"/>
        </w:rPr>
      </w:pPr>
      <w:r>
        <w:rPr>
          <w:rFonts w:ascii="Times New Roman;serif" w:hAnsi="Times New Roman;serif"/>
          <w:b/>
          <w:color w:val="000000"/>
          <w:sz w:val="18"/>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Index to Consolidated Financial Statements</w:t>
      </w:r>
    </w:p>
    <w:tbl>
      <w:tblPr>
        <w:tblW w:w="10205" w:type="dxa"/>
        <w:jc w:val="center"/>
        <w:tblInd w:w="0" w:type="dxa"/>
        <w:tblLayout w:type="fixed"/>
        <w:tblCellMar>
          <w:top w:w="28" w:type="dxa"/>
          <w:left w:w="28" w:type="dxa"/>
          <w:bottom w:w="28" w:type="dxa"/>
          <w:right w:w="28" w:type="dxa"/>
        </w:tblCellMar>
      </w:tblPr>
      <w:tblGrid>
        <w:gridCol w:w="1597"/>
        <w:gridCol w:w="1402"/>
        <w:gridCol w:w="1402"/>
        <w:gridCol w:w="1752"/>
        <w:gridCol w:w="1738"/>
        <w:gridCol w:w="1755"/>
        <w:gridCol w:w="162"/>
        <w:gridCol w:w="162"/>
        <w:gridCol w:w="235"/>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Page</w:t>
            </w:r>
          </w:p>
        </w:tc>
      </w:tr>
      <w:tr>
        <w:trPr/>
        <w:tc>
          <w:tcPr>
            <w:tcW w:w="964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88">
              <w:r>
                <w:rPr>
                  <w:rStyle w:val="InternetLink"/>
                  <w:rFonts w:ascii="Times New Roman;serif" w:hAnsi="Times New Roman;serif"/>
                  <w:b w:val="false"/>
                  <w:color w:val="0000FF"/>
                  <w:sz w:val="18"/>
                  <w:u w:val="single"/>
                </w:rPr>
                <w:t>Report of Independent Registered Public Accounting Firm</w:t>
              </w:r>
            </w:hyperlink>
            <w:r>
              <w:rPr>
                <w:color w:val="000000"/>
              </w:rPr>
              <w:t xml:space="preserve"> </w:t>
            </w:r>
            <w:r>
              <w:rPr>
                <w:rFonts w:ascii="Times New Roman;serif" w:hAnsi="Times New Roman;serif"/>
                <w:b w:val="false"/>
                <w:color w:val="000000"/>
                <w:sz w:val="18"/>
              </w:rPr>
              <w:t>(PricewaterhouseCoopers LLP; Miami, Florida; PCAOB ID#238)</w:t>
            </w:r>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88">
              <w:r>
                <w:rPr>
                  <w:rStyle w:val="InternetLink"/>
                  <w:rFonts w:ascii="Times New Roman;serif" w:hAnsi="Times New Roman;serif"/>
                  <w:b w:val="false"/>
                  <w:color w:val="0000FF"/>
                  <w:sz w:val="18"/>
                  <w:u w:val="single"/>
                </w:rPr>
                <w:t>53</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91">
              <w:r>
                <w:rPr>
                  <w:rStyle w:val="InternetLink"/>
                  <w:rFonts w:ascii="Times New Roman;serif" w:hAnsi="Times New Roman;serif"/>
                  <w:b w:val="false"/>
                  <w:color w:val="0000FF"/>
                  <w:sz w:val="18"/>
                  <w:u w:val="single"/>
                </w:rPr>
                <w:t>Report of Independent Registered Public Accounting Firm</w:t>
              </w:r>
            </w:hyperlink>
            <w:r>
              <w:rPr>
                <w:color w:val="000000"/>
              </w:rPr>
              <w:t xml:space="preserve"> </w:t>
            </w:r>
            <w:r>
              <w:rPr>
                <w:rFonts w:ascii="Times New Roman;serif" w:hAnsi="Times New Roman;serif"/>
                <w:b w:val="false"/>
                <w:color w:val="000000"/>
                <w:sz w:val="18"/>
              </w:rPr>
              <w:t>(BDO USA, P.C.; Miami, Florida; PCAOB ID#243)</w:t>
            </w:r>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91">
              <w:r>
                <w:rPr>
                  <w:rStyle w:val="InternetLink"/>
                  <w:rFonts w:ascii="Times New Roman;serif" w:hAnsi="Times New Roman;serif"/>
                  <w:b w:val="false"/>
                  <w:color w:val="0000FF"/>
                  <w:sz w:val="18"/>
                  <w:u w:val="single"/>
                </w:rPr>
                <w:t>55</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94">
              <w:r>
                <w:rPr>
                  <w:rStyle w:val="InternetLink"/>
                  <w:rFonts w:ascii="Times New Roman;serif" w:hAnsi="Times New Roman;serif"/>
                  <w:b w:val="false"/>
                  <w:color w:val="0000FF"/>
                  <w:sz w:val="18"/>
                  <w:u w:val="single"/>
                </w:rPr>
                <w:t>Report of Independent Registered Public Accounting Firm</w:t>
              </w:r>
            </w:hyperlink>
            <w:r>
              <w:rPr>
                <w:color w:val="000000"/>
              </w:rPr>
              <w:t xml:space="preserve"> </w:t>
            </w:r>
            <w:r>
              <w:rPr>
                <w:rFonts w:ascii="Times New Roman;serif" w:hAnsi="Times New Roman;serif"/>
                <w:b w:val="false"/>
                <w:color w:val="000000"/>
                <w:sz w:val="18"/>
              </w:rPr>
              <w:t>(Deloitte &amp; Touche LLP; Indianapolis, Indiana; PCAOB ID#34)</w:t>
            </w:r>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94">
              <w:r>
                <w:rPr>
                  <w:rStyle w:val="InternetLink"/>
                  <w:rFonts w:ascii="Times New Roman;serif" w:hAnsi="Times New Roman;serif"/>
                  <w:b w:val="false"/>
                  <w:color w:val="0000FF"/>
                  <w:sz w:val="18"/>
                  <w:u w:val="single"/>
                </w:rPr>
                <w:t>56</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97">
              <w:r>
                <w:rPr>
                  <w:rStyle w:val="InternetLink"/>
                  <w:rFonts w:ascii="Times New Roman;serif" w:hAnsi="Times New Roman;serif"/>
                  <w:b w:val="false"/>
                  <w:color w:val="0000FF"/>
                  <w:sz w:val="18"/>
                  <w:u w:val="single"/>
                </w:rPr>
                <w:t>Consolidated Statements of Operations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97">
              <w:r>
                <w:rPr>
                  <w:rStyle w:val="InternetLink"/>
                  <w:rFonts w:ascii="Times New Roman;serif" w:hAnsi="Times New Roman;serif"/>
                  <w:b w:val="false"/>
                  <w:color w:val="0000FF"/>
                  <w:sz w:val="18"/>
                  <w:u w:val="single"/>
                </w:rPr>
                <w:t>57</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00">
              <w:r>
                <w:rPr>
                  <w:rStyle w:val="InternetLink"/>
                  <w:rFonts w:ascii="Times New Roman;serif" w:hAnsi="Times New Roman;serif"/>
                  <w:b w:val="false"/>
                  <w:color w:val="0000FF"/>
                  <w:sz w:val="18"/>
                  <w:u w:val="single"/>
                </w:rPr>
                <w:t>Consolidated Statements of Comprehensive Income (Loss)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00">
              <w:r>
                <w:rPr>
                  <w:rStyle w:val="InternetLink"/>
                  <w:rFonts w:ascii="Times New Roman;serif" w:hAnsi="Times New Roman;serif"/>
                  <w:b w:val="false"/>
                  <w:color w:val="0000FF"/>
                  <w:sz w:val="18"/>
                  <w:u w:val="single"/>
                </w:rPr>
                <w:t>58</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03">
              <w:r>
                <w:rPr>
                  <w:rStyle w:val="InternetLink"/>
                  <w:rFonts w:ascii="Times New Roman;serif" w:hAnsi="Times New Roman;serif"/>
                  <w:b w:val="false"/>
                  <w:color w:val="0000FF"/>
                  <w:sz w:val="18"/>
                  <w:u w:val="single"/>
                </w:rPr>
                <w:t>Consolidated Balance Sheets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03">
              <w:r>
                <w:rPr>
                  <w:rStyle w:val="InternetLink"/>
                  <w:rFonts w:ascii="Times New Roman;serif" w:hAnsi="Times New Roman;serif"/>
                  <w:b w:val="false"/>
                  <w:color w:val="0000FF"/>
                  <w:sz w:val="18"/>
                  <w:u w:val="single"/>
                </w:rPr>
                <w:t>59</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06">
              <w:r>
                <w:rPr>
                  <w:rStyle w:val="InternetLink"/>
                  <w:rFonts w:ascii="Times New Roman;serif" w:hAnsi="Times New Roman;serif"/>
                  <w:b w:val="false"/>
                  <w:color w:val="0000FF"/>
                  <w:sz w:val="18"/>
                  <w:u w:val="single"/>
                </w:rPr>
                <w:t>Consolidated Statements of Equity</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06">
              <w:r>
                <w:rPr>
                  <w:rStyle w:val="InternetLink"/>
                  <w:rFonts w:ascii="Times New Roman;serif" w:hAnsi="Times New Roman;serif"/>
                  <w:b w:val="false"/>
                  <w:color w:val="0000FF"/>
                  <w:sz w:val="18"/>
                  <w:u w:val="single"/>
                </w:rPr>
                <w:t>60</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09">
              <w:r>
                <w:rPr>
                  <w:rStyle w:val="InternetLink"/>
                  <w:rFonts w:ascii="Times New Roman;serif" w:hAnsi="Times New Roman;serif"/>
                  <w:b w:val="false"/>
                  <w:color w:val="0000FF"/>
                  <w:sz w:val="18"/>
                  <w:u w:val="single"/>
                </w:rPr>
                <w:t>Consolidated Statements of Cash Flows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09">
              <w:r>
                <w:rPr>
                  <w:rStyle w:val="InternetLink"/>
                  <w:rFonts w:ascii="Times New Roman;serif" w:hAnsi="Times New Roman;serif"/>
                  <w:b w:val="false"/>
                  <w:color w:val="0000FF"/>
                  <w:sz w:val="18"/>
                  <w:u w:val="single"/>
                </w:rPr>
                <w:t>61</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4b0bf616dbc41b2b15400916ea5db26_112">
              <w:r>
                <w:rPr>
                  <w:rStyle w:val="InternetLink"/>
                  <w:rFonts w:ascii="Times New Roman;serif" w:hAnsi="Times New Roman;serif"/>
                  <w:b w:val="false"/>
                  <w:color w:val="0000FF"/>
                  <w:sz w:val="18"/>
                  <w:u w:val="single"/>
                </w:rPr>
                <w:t>Notes to Consolidated Financial Statements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12">
              <w:r>
                <w:rPr>
                  <w:rStyle w:val="InternetLink"/>
                  <w:rFonts w:ascii="Times New Roman;serif" w:hAnsi="Times New Roman;serif"/>
                  <w:b w:val="false"/>
                  <w:color w:val="0000FF"/>
                  <w:sz w:val="18"/>
                  <w:u w:val="single"/>
                </w:rPr>
                <w:t>62</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15">
              <w:r>
                <w:rPr>
                  <w:rStyle w:val="InternetLink"/>
                  <w:rFonts w:ascii="Times New Roman;serif" w:hAnsi="Times New Roman;serif"/>
                  <w:b w:val="false"/>
                  <w:color w:val="0000FF"/>
                  <w:sz w:val="18"/>
                  <w:u w:val="single"/>
                </w:rPr>
                <w:t>Business, Basis of Presentation and Significant Accounting Policies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15">
              <w:r>
                <w:rPr>
                  <w:rStyle w:val="InternetLink"/>
                  <w:rFonts w:ascii="Times New Roman;serif" w:hAnsi="Times New Roman;serif"/>
                  <w:b w:val="false"/>
                  <w:color w:val="0000FF"/>
                  <w:sz w:val="18"/>
                  <w:u w:val="single"/>
                </w:rPr>
                <w:t>62</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18">
              <w:r>
                <w:rPr>
                  <w:rStyle w:val="InternetLink"/>
                  <w:rFonts w:ascii="Times New Roman;serif" w:hAnsi="Times New Roman;serif"/>
                  <w:b w:val="false"/>
                  <w:color w:val="0000FF"/>
                  <w:sz w:val="18"/>
                  <w:u w:val="single"/>
                </w:rPr>
                <w:t>Earnings Per Share</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18">
              <w:r>
                <w:rPr>
                  <w:rStyle w:val="InternetLink"/>
                  <w:rFonts w:ascii="Times New Roman;serif" w:hAnsi="Times New Roman;serif"/>
                  <w:b w:val="false"/>
                  <w:color w:val="0000FF"/>
                  <w:sz w:val="18"/>
                  <w:u w:val="single"/>
                </w:rPr>
                <w:t>72</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21">
              <w:r>
                <w:rPr>
                  <w:rStyle w:val="InternetLink"/>
                  <w:rFonts w:ascii="Times New Roman;serif" w:hAnsi="Times New Roman;serif"/>
                  <w:b w:val="false"/>
                  <w:color w:val="0000FF"/>
                  <w:sz w:val="18"/>
                  <w:u w:val="single"/>
                </w:rPr>
                <w:t>Acquisitions, Goodwill and Other Intangible Assets, Net</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21">
              <w:r>
                <w:rPr>
                  <w:rStyle w:val="InternetLink"/>
                  <w:rFonts w:ascii="Times New Roman;serif" w:hAnsi="Times New Roman;serif"/>
                  <w:b w:val="false"/>
                  <w:color w:val="0000FF"/>
                  <w:sz w:val="18"/>
                  <w:u w:val="single"/>
                </w:rPr>
                <w:t>72</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24">
              <w:r>
                <w:rPr>
                  <w:rStyle w:val="InternetLink"/>
                  <w:rFonts w:ascii="Times New Roman;serif" w:hAnsi="Times New Roman;serif"/>
                  <w:b w:val="false"/>
                  <w:color w:val="0000FF"/>
                  <w:sz w:val="18"/>
                  <w:u w:val="single"/>
                </w:rPr>
                <w:t>Fair Value of Financial Instruments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24">
              <w:r>
                <w:rPr>
                  <w:rStyle w:val="InternetLink"/>
                  <w:rFonts w:ascii="Times New Roman;serif" w:hAnsi="Times New Roman;serif"/>
                  <w:b w:val="false"/>
                  <w:color w:val="0000FF"/>
                  <w:sz w:val="18"/>
                  <w:u w:val="single"/>
                </w:rPr>
                <w:t>75</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27">
              <w:r>
                <w:rPr>
                  <w:rStyle w:val="InternetLink"/>
                  <w:rFonts w:ascii="Times New Roman;serif" w:hAnsi="Times New Roman;serif"/>
                  <w:b w:val="false"/>
                  <w:color w:val="0000FF"/>
                  <w:sz w:val="18"/>
                  <w:u w:val="single"/>
                </w:rPr>
                <w:t>Accounts Receivable, Net of Allowance, and Contract Assets and Liabilities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27">
              <w:r>
                <w:rPr>
                  <w:rStyle w:val="InternetLink"/>
                  <w:rFonts w:ascii="Times New Roman;serif" w:hAnsi="Times New Roman;serif"/>
                  <w:b w:val="false"/>
                  <w:color w:val="0000FF"/>
                  <w:sz w:val="18"/>
                  <w:u w:val="single"/>
                </w:rPr>
                <w:t>77</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30">
              <w:r>
                <w:rPr>
                  <w:rStyle w:val="InternetLink"/>
                  <w:rFonts w:ascii="Times New Roman;serif" w:hAnsi="Times New Roman;serif"/>
                  <w:b w:val="false"/>
                  <w:color w:val="0000FF"/>
                  <w:sz w:val="18"/>
                  <w:u w:val="single"/>
                </w:rPr>
                <w:t>Property and Equipment, Net</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30">
              <w:r>
                <w:rPr>
                  <w:rStyle w:val="InternetLink"/>
                  <w:rFonts w:ascii="Times New Roman;serif" w:hAnsi="Times New Roman;serif"/>
                  <w:b w:val="false"/>
                  <w:color w:val="0000FF"/>
                  <w:sz w:val="18"/>
                  <w:u w:val="single"/>
                </w:rPr>
                <w:t>78</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2025">
              <w:r>
                <w:rPr>
                  <w:rStyle w:val="InternetLink"/>
                  <w:rFonts w:ascii="Times New Roman;serif" w:hAnsi="Times New Roman;serif"/>
                  <w:b w:val="false"/>
                  <w:color w:val="0000FF"/>
                  <w:sz w:val="18"/>
                  <w:u w:val="single"/>
                </w:rPr>
                <w:t>Other Accrued Expenses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2025">
              <w:r>
                <w:rPr>
                  <w:rStyle w:val="InternetLink"/>
                  <w:rFonts w:ascii="Times New Roman;serif" w:hAnsi="Times New Roman;serif"/>
                  <w:b w:val="false"/>
                  <w:color w:val="0000FF"/>
                  <w:sz w:val="18"/>
                  <w:u w:val="single"/>
                </w:rPr>
                <w:t>79</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33">
              <w:r>
                <w:rPr>
                  <w:rStyle w:val="InternetLink"/>
                  <w:rFonts w:ascii="Times New Roman;serif" w:hAnsi="Times New Roman;serif"/>
                  <w:b w:val="false"/>
                  <w:color w:val="0000FF"/>
                  <w:sz w:val="18"/>
                  <w:u w:val="single"/>
                </w:rPr>
                <w:t>Debt</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33">
              <w:r>
                <w:rPr>
                  <w:rStyle w:val="InternetLink"/>
                  <w:rFonts w:ascii="Times New Roman;serif" w:hAnsi="Times New Roman;serif"/>
                  <w:b w:val="false"/>
                  <w:color w:val="0000FF"/>
                  <w:sz w:val="18"/>
                  <w:u w:val="single"/>
                </w:rPr>
                <w:t>79</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36">
              <w:r>
                <w:rPr>
                  <w:rStyle w:val="InternetLink"/>
                  <w:rFonts w:ascii="Times New Roman;serif" w:hAnsi="Times New Roman;serif"/>
                  <w:b w:val="false"/>
                  <w:color w:val="0000FF"/>
                  <w:sz w:val="18"/>
                  <w:u w:val="single"/>
                </w:rPr>
                <w:t>Lease Obligations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36">
              <w:r>
                <w:rPr>
                  <w:rStyle w:val="InternetLink"/>
                  <w:rFonts w:ascii="Times New Roman;serif" w:hAnsi="Times New Roman;serif"/>
                  <w:b w:val="false"/>
                  <w:color w:val="0000FF"/>
                  <w:sz w:val="18"/>
                  <w:u w:val="single"/>
                </w:rPr>
                <w:t>82</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39">
              <w:r>
                <w:rPr>
                  <w:rStyle w:val="InternetLink"/>
                  <w:rFonts w:ascii="Times New Roman;serif" w:hAnsi="Times New Roman;serif"/>
                  <w:b w:val="false"/>
                  <w:color w:val="0000FF"/>
                  <w:sz w:val="18"/>
                  <w:u w:val="single"/>
                </w:rPr>
                <w:t>Stock-Based Compensation and Other Employee Benefit Plans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39">
              <w:r>
                <w:rPr>
                  <w:rStyle w:val="InternetLink"/>
                  <w:rFonts w:ascii="Times New Roman;serif" w:hAnsi="Times New Roman;serif"/>
                  <w:b w:val="false"/>
                  <w:color w:val="0000FF"/>
                  <w:sz w:val="18"/>
                  <w:u w:val="single"/>
                </w:rPr>
                <w:t>83</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42">
              <w:r>
                <w:rPr>
                  <w:rStyle w:val="InternetLink"/>
                  <w:rFonts w:ascii="Times New Roman;serif" w:hAnsi="Times New Roman;serif"/>
                  <w:b w:val="false"/>
                  <w:color w:val="0000FF"/>
                  <w:sz w:val="18"/>
                  <w:u w:val="single"/>
                </w:rPr>
                <w:t>Other Retirement Plans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42">
              <w:r>
                <w:rPr>
                  <w:rStyle w:val="InternetLink"/>
                  <w:rFonts w:ascii="Times New Roman;serif" w:hAnsi="Times New Roman;serif"/>
                  <w:b w:val="false"/>
                  <w:color w:val="0000FF"/>
                  <w:sz w:val="18"/>
                  <w:u w:val="single"/>
                </w:rPr>
                <w:t>84</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45">
              <w:r>
                <w:rPr>
                  <w:rStyle w:val="InternetLink"/>
                  <w:rFonts w:ascii="Times New Roman;serif" w:hAnsi="Times New Roman;serif"/>
                  <w:b w:val="false"/>
                  <w:color w:val="0000FF"/>
                  <w:sz w:val="18"/>
                  <w:u w:val="single"/>
                </w:rPr>
                <w:t>Equity</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45">
              <w:r>
                <w:rPr>
                  <w:rStyle w:val="InternetLink"/>
                  <w:rFonts w:ascii="Times New Roman;serif" w:hAnsi="Times New Roman;serif"/>
                  <w:b w:val="false"/>
                  <w:color w:val="0000FF"/>
                  <w:sz w:val="18"/>
                  <w:u w:val="single"/>
                </w:rPr>
                <w:t>86</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48">
              <w:r>
                <w:rPr>
                  <w:rStyle w:val="InternetLink"/>
                  <w:rFonts w:ascii="Times New Roman;serif" w:hAnsi="Times New Roman;serif"/>
                  <w:b w:val="false"/>
                  <w:color w:val="0000FF"/>
                  <w:sz w:val="18"/>
                  <w:u w:val="single"/>
                </w:rPr>
                <w:t>Income Taxes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48">
              <w:r>
                <w:rPr>
                  <w:rStyle w:val="InternetLink"/>
                  <w:rFonts w:ascii="Times New Roman;serif" w:hAnsi="Times New Roman;serif"/>
                  <w:b w:val="false"/>
                  <w:color w:val="0000FF"/>
                  <w:sz w:val="18"/>
                  <w:u w:val="single"/>
                </w:rPr>
                <w:t>87</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51">
              <w:r>
                <w:rPr>
                  <w:rStyle w:val="InternetLink"/>
                  <w:rFonts w:ascii="Times New Roman;serif" w:hAnsi="Times New Roman;serif"/>
                  <w:b w:val="false"/>
                  <w:color w:val="0000FF"/>
                  <w:sz w:val="18"/>
                  <w:u w:val="single"/>
                </w:rPr>
                <w:t>Segments and Related Information</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51">
              <w:r>
                <w:rPr>
                  <w:rStyle w:val="InternetLink"/>
                  <w:rFonts w:ascii="Times New Roman;serif" w:hAnsi="Times New Roman;serif"/>
                  <w:b w:val="false"/>
                  <w:color w:val="0000FF"/>
                  <w:sz w:val="18"/>
                  <w:u w:val="single"/>
                </w:rPr>
                <w:t>90</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60">
              <w:r>
                <w:rPr>
                  <w:rStyle w:val="InternetLink"/>
                  <w:rFonts w:ascii="Times New Roman;serif" w:hAnsi="Times New Roman;serif"/>
                  <w:b w:val="false"/>
                  <w:color w:val="0000FF"/>
                  <w:sz w:val="18"/>
                  <w:u w:val="single"/>
                </w:rPr>
                <w:t>Commitments and Contingencies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60">
              <w:r>
                <w:rPr>
                  <w:rStyle w:val="InternetLink"/>
                  <w:rFonts w:ascii="Times New Roman;serif" w:hAnsi="Times New Roman;serif"/>
                  <w:b w:val="false"/>
                  <w:color w:val="0000FF"/>
                  <w:sz w:val="18"/>
                  <w:u w:val="single"/>
                </w:rPr>
                <w:t>93</w:t>
              </w:r>
            </w:hyperlink>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5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b0bf616dbc41b2b15400916ea5db26_163">
              <w:r>
                <w:rPr>
                  <w:rStyle w:val="InternetLink"/>
                  <w:rFonts w:ascii="Times New Roman;serif" w:hAnsi="Times New Roman;serif"/>
                  <w:b w:val="false"/>
                  <w:color w:val="0000FF"/>
                  <w:sz w:val="18"/>
                  <w:u w:val="single"/>
                </w:rPr>
                <w:t>Related Party Transactions</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b0bf616dbc41b2b15400916ea5db26_163">
              <w:r>
                <w:rPr>
                  <w:rStyle w:val="InternetLink"/>
                  <w:rFonts w:ascii="Times New Roman;serif" w:hAnsi="Times New Roman;serif"/>
                  <w:b w:val="false"/>
                  <w:color w:val="0000FF"/>
                  <w:sz w:val="18"/>
                  <w:u w:val="single"/>
                </w:rPr>
                <w:t>95</w:t>
              </w:r>
            </w:hyperlink>
          </w:p>
        </w:tc>
      </w:tr>
      <w:tr>
        <w:trPr/>
        <w:tc>
          <w:tcPr>
            <w:tcW w:w="4401" w:type="dxa"/>
            <w:gridSpan w:val="3"/>
            <w:tcBorders/>
            <w:vAlign w:val="center"/>
          </w:tcPr>
          <w:p>
            <w:pPr>
              <w:pStyle w:val="TableContents"/>
              <w:bidi w:val="0"/>
              <w:spacing w:before="0" w:after="283"/>
              <w:jc w:val="left"/>
              <w:rPr>
                <w:sz w:val="4"/>
                <w:szCs w:val="4"/>
              </w:rPr>
            </w:pPr>
            <w:r>
              <w:rPr>
                <w:sz w:val="4"/>
                <w:szCs w:val="4"/>
              </w:rPr>
            </w:r>
          </w:p>
        </w:tc>
        <w:tc>
          <w:tcPr>
            <w:tcW w:w="5245"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4401" w:type="dxa"/>
            <w:gridSpan w:val="3"/>
            <w:tcBorders/>
            <w:vAlign w:val="center"/>
          </w:tcPr>
          <w:p>
            <w:pPr>
              <w:pStyle w:val="TableContents"/>
              <w:bidi w:val="0"/>
              <w:spacing w:before="0" w:after="283"/>
              <w:jc w:val="left"/>
              <w:rPr>
                <w:sz w:val="4"/>
                <w:szCs w:val="4"/>
              </w:rPr>
            </w:pPr>
            <w:r>
              <w:rPr>
                <w:sz w:val="4"/>
                <w:szCs w:val="4"/>
              </w:rPr>
            </w:r>
          </w:p>
        </w:tc>
        <w:tc>
          <w:tcPr>
            <w:tcW w:w="5245"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07645"/>
                <wp:effectExtent l="0" t="0" r="0" b="0"/>
                <wp:wrapNone/>
                <wp:docPr id="54" name="Frame52"/>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240"/>
        <w:ind w:left="0" w:right="0" w:firstLine="495"/>
        <w:jc w:val="center"/>
        <w:rPr>
          <w:rFonts w:ascii="Times New Roman;serif" w:hAnsi="Times New Roman;serif"/>
          <w:b/>
          <w:color w:val="000000"/>
          <w:sz w:val="18"/>
        </w:rPr>
      </w:pPr>
      <w:r>
        <w:rPr>
          <w:rFonts w:ascii="Times New Roman;serif" w:hAnsi="Times New Roman;serif"/>
          <w:b/>
          <w:color w:val="000000"/>
          <w:sz w:val="18"/>
        </w:rPr>
        <w:t>Report of Independent Registered Public Accounting Firm</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To the Board of Directors and Shareholders of MasTec, Inc. </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Opinions on the Financial Statements and Internal Control over Financial Reporting</w:t>
      </w:r>
    </w:p>
    <w:p>
      <w:pPr>
        <w:pStyle w:val="TextBody"/>
        <w:bidi w:val="0"/>
        <w:spacing w:lineRule="auto" w:line="288" w:before="120" w:after="120"/>
        <w:jc w:val="both"/>
        <w:rPr/>
      </w:pPr>
      <w:r>
        <w:rPr>
          <w:rFonts w:ascii="Times New Roman;serif" w:hAnsi="Times New Roman;serif"/>
          <w:b w:val="false"/>
          <w:color w:val="000000"/>
          <w:sz w:val="18"/>
        </w:rPr>
        <w:t xml:space="preserve">We have audited the accompanying consolidated balance sheets of MasTec, Inc. and its subsidiaries (the “Company”) as of December 31, 2025 and 2024, and the related consolidated statements of operations, of comprehensive income (loss), of equity and of cash flows for the years then ended, including the related notes and schedule of valuation and qualifying accounts for the years ended December 31, 2025 and 2024 appearing after Item 16 (collectively referred to as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18"/>
        </w:rPr>
        <w:t>Internal Control - Integrated Framework</w:t>
      </w:r>
      <w:r>
        <w:rPr>
          <w:color w:val="000000"/>
        </w:rPr>
        <w:t xml:space="preserve"> </w:t>
      </w:r>
      <w:r>
        <w:rPr>
          <w:rFonts w:ascii="Times New Roman;serif" w:hAnsi="Times New Roman;serif"/>
          <w:b w:val="false"/>
          <w:color w:val="000000"/>
          <w:sz w:val="18"/>
        </w:rPr>
        <w:t xml:space="preserve">(2013) issued by the Committee of Sponsoring Organizations of the Treadway Commission (COSO). </w:t>
      </w:r>
    </w:p>
    <w:p>
      <w:pPr>
        <w:pStyle w:val="TextBody"/>
        <w:bidi w:val="0"/>
        <w:spacing w:lineRule="auto" w:line="288" w:before="120" w:after="120"/>
        <w:jc w:val="both"/>
        <w:rPr/>
      </w:pPr>
      <w:r>
        <w:rPr>
          <w:rFonts w:ascii="Times New Roman;serif" w:hAnsi="Times New Roman;serif"/>
          <w:b w:val="false"/>
          <w:color w:val="000000"/>
          <w:sz w:val="18"/>
        </w:rPr>
        <w:t xml:space="preserve">In our opinion, the consolidated financial statements referred to above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18"/>
        </w:rPr>
        <w:t>Internal Control - Integrated Framework</w:t>
      </w:r>
      <w:r>
        <w:rPr>
          <w:color w:val="000000"/>
        </w:rPr>
        <w:t xml:space="preserve"> </w:t>
      </w:r>
      <w:r>
        <w:rPr>
          <w:rFonts w:ascii="Times New Roman;serif" w:hAnsi="Times New Roman;serif"/>
          <w:b w:val="false"/>
          <w:color w:val="000000"/>
          <w:sz w:val="18"/>
        </w:rPr>
        <w:t>(2013) issued by the COSO.</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Basis for Opinions</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As described in Management’s Report on Internal Control Over Financial Reporting, management has excluded four entities (related to a July and a November acquisition in the Communications segment, an August acquisition in the Pipeline Infrastructure segment, and a December acquisition in the Clean Energy and Infrastructure segment) from its assessment of internal control over financial reporting as of December 31, 2025 because they were acquired by the Company in purchase business combinations during 2025. We have also excluded the four entities from our audit of internal control over financial reporting. The four entities’ total assets and total revenues excluded from management’s assessment and our audit of internal control over financial reporting collectively represent approximately 2% and less than 1%, respectively, of the related consolidated financial statement amounts as of and for the year ended December 31, 2025.</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Definition and Limitations of Internal Control over Financial Reporting</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Critical Audit Matters</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07645"/>
                <wp:effectExtent l="0" t="0" r="0" b="0"/>
                <wp:wrapNone/>
                <wp:docPr id="55" name="Frame5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Revenue Recognition – Determination of Estimated Costs to Complete Certain Contracts Recognized Over Time</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recognized revenue of $14.3 billion for the year ended December 31, 2025, of which a majority relates to revenue recognized from contracts for specific projects requiring the construction and installation of an entire infrastructure system, or specified units within an infrastructure system. As described in Note 1 to the consolidated financial statements, revenue related to these contracts is primarily recognized over time using the cost-to-cost measure of progress, which is an input method. Contract costs include all direct materials, equipment, labor and subcontracted costs related to contract performance. The cost estimation processes used for recognizing revenue over time under the cost-to-cost method require management to make significant assumptions and judgments, based primarily on the professional knowledge and experience of the Company’s project managers, operational and financial professionals. Changes in job performance and job conditions are factors that influence estimates of the total costs to complete those contracts. Changes in these factors that result in revisions to the amount of revenue recognized for a given project are recognized in the period in which the revisions are determined. </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 principal considerations for our determination that performing procedures relating to revenue recognition, specifically the determination of estimated costs to complete certain contracts recognized over time, is a critical audit matter are (i) the significant judgment by management in determining the estimated contract costs to complete; and (ii) a high degree of auditor judgment, subjectivity, and effort in performing procedures and evaluating audit evidence related to management’s estimate of costs to complete. </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related to the determination of estimated costs to complete certain contracts recognized over time. These procedures also included, among others, (i) for a sample of certain open contracts, testing management’s process for determining the estimated contract costs to complete; (ii) testing the completeness and accuracy of underlying data used by management related to actual costs to date; and (iii) for a sample of certain open contracts, evaluating the reasonableness of certain significant judgments and assumptions related to estimated contract costs to complete considered by management specific to each contract tested. Evaluating the reasonableness of certain significant judgments and assumptions related to estimated contract costs to complete involved considering (i) the terms of the contracts and other documents related to job performance that support those estimates; (ii) actual costs to date to assess the reasonableness of the estimate of the remaining costs to complete; (iii) management’s ability to reasonably estimate costs to complete by comparing total estimated contract costs with prior period estimates, including evaluating the timely identification of circumstances that may warrant a modification to the estimated contract costs to complete; and (iv) evaluating management’s cost-to-cost method and the consistency of management’s method over the lives of contracts.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 PricewaterhouseCoopers LLP</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Miami, Florida</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February 26, 2026</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served as the Company’s auditor since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07645"/>
                <wp:effectExtent l="0" t="0" r="0" b="0"/>
                <wp:wrapNone/>
                <wp:docPr id="56" name="Frame54"/>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495"/>
        <w:jc w:val="center"/>
        <w:rPr>
          <w:rFonts w:ascii="Times New Roman;serif" w:hAnsi="Times New Roman;serif"/>
          <w:b/>
          <w:color w:val="000000"/>
          <w:sz w:val="18"/>
        </w:rPr>
      </w:pPr>
      <w:r>
        <w:rPr>
          <w:rFonts w:ascii="Times New Roman;serif" w:hAnsi="Times New Roman;serif"/>
          <w:b/>
          <w:color w:val="000000"/>
          <w:sz w:val="18"/>
        </w:rPr>
        <w:t>Report of Independent Registered Public Accounting Firm</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Shareholders and Board of Directors</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MasTec, Inc. </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Coral Gables, Florida</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Opinion on the Consolidated Financial Statements</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We have audited the consolidated statements of operations and comprehensive income, equity, and cash flows of MasTec, Inc. (the “Company”) for the year ended December 31, 2023, and the related notes and financial statement schedule listed in the accompanying index (collectively referred to as the “consolidated financial statements”). In our opinion, based on our audit and the report of the other auditors, the consolidated financial statements present fairly, in all material respects, the results of its operations and its cash flows for the year ended December 31, 2023, in conformity with accounting principles generally accepted in the United States of America.</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We did not audit the financial statements of IEA Energy Services, LLC and subsidiaries (“IEA LLC”), a wholly-owned subsidiary of the Company, which statements reflect total revenues of $1,732.1 million for the year ended December 31, 2023. Those statements were audited by other auditors whose report has been furnished to us, and our opinion, insofar as it relates to the amounts included for IEA LLC, is based solely on the report of the other auditors.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Basis for Opinion</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and the report of the other auditors provide a reasonable basis for our opinion.</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/s/ BDO USA, P.C.</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We served as the Company’s auditor from 2004 to 2024.</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Miami, Florida</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February 29, 2024, except for Note 14, as to which the date is 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07645"/>
                <wp:effectExtent l="0" t="0" r="0" b="0"/>
                <wp:wrapNone/>
                <wp:docPr id="57" name="Frame55"/>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495"/>
        <w:jc w:val="center"/>
        <w:rPr>
          <w:rFonts w:ascii="Times New Roman;serif" w:hAnsi="Times New Roman;serif"/>
          <w:b/>
          <w:color w:val="000000"/>
          <w:sz w:val="18"/>
        </w:rPr>
      </w:pPr>
      <w:r>
        <w:rPr>
          <w:rFonts w:ascii="Times New Roman;serif" w:hAnsi="Times New Roman;serif"/>
          <w:b/>
          <w:color w:val="000000"/>
          <w:sz w:val="18"/>
        </w:rPr>
        <w:t>Report of Independent Registered Public Accounting Firm</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To the shareholders and the Board of Directors of MasTec, Inc.</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Opinion on the Financial Statements</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We have audited the consolidated statement of operations, members’ equity (deficit), and cash flows of IEA Energy Services, LLC and its consolidated subsidiaries (“IEA LLC”), for the year ended December 31, 2023, and the related notes (collectively referred to as the "financial statements" and not presented herein).</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In our opinion, the financial statements referred to above present fairly, in all material respects, the results of IEA LLC’s operations and its cash flows for the year ended December 31, 2023, in conformity with accounting principles generally accepted in the United States of America.</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Basis for Opinion</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IEA LLC’s management is responsible for these financial statements. Our responsibility is to express an opinion on these financial statements based on our audit. We are a public accounting firm registered with the Public Company Accounting Oversight Board (United States) (PCAOB) and are required to be independent with respect to IEA LLC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Our audit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Other Matter</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As discussed in Note 10 to the IEA LLC financial statements, IEA LLC engages in significant transactions with affiliates such as MasTec, Inc. and Infrastructure and Energy Alternatives, Inc. Portions of certain income and expenses represent allocations made from affiliates for items applicable to IEA LLC as a whole. Therefore, the financial statements of IEA LLC have been prepared from the separate records maintained by IEA LLC and its parent and may not be indicative of the conditions that would have existed or the results of operations if IEA LLC had been operated as an unaffiliated company.</w:t>
      </w:r>
    </w:p>
    <w:p>
      <w:pPr>
        <w:pStyle w:val="TextBody"/>
        <w:bidi w:val="0"/>
        <w:spacing w:before="120" w:after="120"/>
        <w:ind w:left="0" w:right="0" w:hanging="36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/s/ Deloitte &amp; Touche LLP</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Indianapolis, Indiana</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February 29, 2024</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We began serving as IEA LLC’s auditor in 2018. In 2024 we became the predecessor auditor.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07645"/>
                <wp:effectExtent l="0" t="0" r="0" b="0"/>
                <wp:wrapNone/>
                <wp:docPr id="58" name="Frame56"/>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OPERATIONS</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bl>
      <w:tblPr>
        <w:tblW w:w="8712" w:type="dxa"/>
        <w:jc w:val="center"/>
        <w:tblInd w:w="0" w:type="dxa"/>
        <w:tblLayout w:type="fixed"/>
        <w:tblCellMar>
          <w:top w:w="28" w:type="dxa"/>
          <w:left w:w="28" w:type="dxa"/>
          <w:bottom w:w="28" w:type="dxa"/>
          <w:right w:w="28" w:type="dxa"/>
        </w:tblCellMar>
      </w:tblPr>
      <w:tblGrid>
        <w:gridCol w:w="1523"/>
        <w:gridCol w:w="1340"/>
        <w:gridCol w:w="1352"/>
        <w:gridCol w:w="196"/>
        <w:gridCol w:w="961"/>
        <w:gridCol w:w="109"/>
        <w:gridCol w:w="109"/>
        <w:gridCol w:w="109"/>
        <w:gridCol w:w="109"/>
        <w:gridCol w:w="196"/>
        <w:gridCol w:w="961"/>
        <w:gridCol w:w="109"/>
        <w:gridCol w:w="109"/>
        <w:gridCol w:w="109"/>
        <w:gridCol w:w="109"/>
        <w:gridCol w:w="196"/>
        <w:gridCol w:w="961"/>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14,299,171 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12,303,464 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11,995,934 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12,506,437 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10,613,762 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MasTec,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per share (Note 2):</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15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78,694 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77,535 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07645"/>
                <wp:effectExtent l="0" t="0" r="0" b="0"/>
                <wp:wrapNone/>
                <wp:docPr id="59" name="Frame57"/>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57</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COMPREHENSIVE INCOME (LOSS)</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(in thousands)</w:t>
      </w:r>
    </w:p>
    <w:tbl>
      <w:tblPr>
        <w:tblW w:w="9116" w:type="dxa"/>
        <w:jc w:val="center"/>
        <w:tblInd w:w="0" w:type="dxa"/>
        <w:tblLayout w:type="fixed"/>
        <w:tblCellMar>
          <w:top w:w="28" w:type="dxa"/>
          <w:left w:w="28" w:type="dxa"/>
          <w:bottom w:w="28" w:type="dxa"/>
          <w:right w:w="28" w:type="dxa"/>
        </w:tblCellMar>
      </w:tblPr>
      <w:tblGrid>
        <w:gridCol w:w="1919"/>
        <w:gridCol w:w="1690"/>
        <w:gridCol w:w="1700"/>
        <w:gridCol w:w="196"/>
        <w:gridCol w:w="736"/>
        <w:gridCol w:w="109"/>
        <w:gridCol w:w="109"/>
        <w:gridCol w:w="109"/>
        <w:gridCol w:w="109"/>
        <w:gridCol w:w="196"/>
        <w:gridCol w:w="736"/>
        <w:gridCol w:w="109"/>
        <w:gridCol w:w="109"/>
        <w:gridCol w:w="109"/>
        <w:gridCol w:w="109"/>
        <w:gridCol w:w="196"/>
        <w:gridCol w:w="721"/>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gains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gains on investment activity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gains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MasTec, Inc.</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395,856 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160,188 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(51,991)</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pStyle w:val="TextBody"/>
        <w:bidi w:val="0"/>
        <w:spacing w:before="120" w:after="120"/>
        <w:jc w:val="center"/>
        <w:rPr/>
      </w:pPr>
      <w:r>
        <w:rPr/>
      </w:r>
    </w:p>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07645"/>
                <wp:effectExtent l="0" t="0" r="0" b="0"/>
                <wp:wrapNone/>
                <wp:docPr id="60" name="Frame58"/>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58</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120"/>
        <w:jc w:val="center"/>
        <w:rPr/>
      </w:pPr>
      <w:r>
        <w:rPr>
          <w:color w:val="000000"/>
        </w:rPr>
        <w:t> </w:t>
      </w:r>
      <w:r>
        <w:rPr>
          <w:rFonts w:ascii="Times New Roman;serif" w:hAnsi="Times New Roman;serif"/>
          <w:b/>
          <w:color w:val="000000"/>
          <w:sz w:val="18"/>
        </w:rPr>
        <w:t>(in thousands, except share information)</w:t>
      </w:r>
    </w:p>
    <w:tbl>
      <w:tblPr>
        <w:tblW w:w="10205" w:type="dxa"/>
        <w:jc w:val="center"/>
        <w:tblInd w:w="0" w:type="dxa"/>
        <w:tblLayout w:type="fixed"/>
        <w:tblCellMar>
          <w:top w:w="28" w:type="dxa"/>
          <w:left w:w="28" w:type="dxa"/>
          <w:bottom w:w="28" w:type="dxa"/>
          <w:right w:w="28" w:type="dxa"/>
        </w:tblCellMar>
      </w:tblPr>
      <w:tblGrid>
        <w:gridCol w:w="2871"/>
        <w:gridCol w:w="2310"/>
        <w:gridCol w:w="2298"/>
        <w:gridCol w:w="196"/>
        <w:gridCol w:w="871"/>
        <w:gridCol w:w="109"/>
        <w:gridCol w:w="109"/>
        <w:gridCol w:w="109"/>
        <w:gridCol w:w="109"/>
        <w:gridCol w:w="196"/>
        <w:gridCol w:w="871"/>
        <w:gridCol w:w="156"/>
      </w:tblGrid>
      <w:tr>
        <w:trPr/>
        <w:tc>
          <w:tcPr>
            <w:tcW w:w="2871"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1,381,462 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1,555,807 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3,652,530 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1,548,916 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2,203,077 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9,923,542 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8,975,275 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 including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salaries and wages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2,999,699 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including finance leases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2,038,017 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6,589,021 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5,987,932 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Commitments and contingencies </w:t>
            </w:r>
            <w:r>
              <w:rPr>
                <w:rFonts w:ascii="Times New Roman;serif" w:hAnsi="Times New Roman;serif"/>
                <w:b w:val="false"/>
                <w:color w:val="000000"/>
                <w:sz w:val="16"/>
              </w:rPr>
              <w:t>(Note 15)</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$1.00 par value: authorized shares - 5,000,000; issued and outstanding shares – none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$0.10 par value: authorized shares - 145,000,000; issued shares - 99,319,916 and 99,029,011 (including 1,038,778 and 1,130,020 of unvested stock awards) as of December 31, 2025 and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1,291,027 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2,308,581 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20,422,329 and 19,719,796 shares as of December 31, 2025 and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(656,807)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MasTec, Inc. shareholders’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2,911,857 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2,987,343 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9,923,542 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8,975,275 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pStyle w:val="TextBody"/>
        <w:bidi w:val="0"/>
        <w:spacing w:before="120" w:after="120"/>
        <w:jc w:val="left"/>
        <w:rPr/>
      </w:pPr>
      <w:r>
        <w:rPr/>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07645"/>
                <wp:effectExtent l="0" t="0" r="0" b="0"/>
                <wp:wrapNone/>
                <wp:docPr id="61" name="Frame59"/>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59</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CONSOLIDATED STATEMENTS OF EQUITY </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(in thousands, except shares)</w:t>
      </w:r>
    </w:p>
    <w:tbl>
      <w:tblPr>
        <w:tblW w:w="15706" w:type="dxa"/>
        <w:jc w:val="center"/>
        <w:tblInd w:w="0" w:type="dxa"/>
        <w:tblLayout w:type="fixed"/>
        <w:tblCellMar>
          <w:top w:w="28" w:type="dxa"/>
          <w:left w:w="28" w:type="dxa"/>
          <w:bottom w:w="28" w:type="dxa"/>
          <w:right w:w="28" w:type="dxa"/>
        </w:tblCellMar>
      </w:tblPr>
      <w:tblGrid>
        <w:gridCol w:w="719"/>
        <w:gridCol w:w="263"/>
        <w:gridCol w:w="264"/>
        <w:gridCol w:w="480"/>
        <w:gridCol w:w="481"/>
        <w:gridCol w:w="196"/>
        <w:gridCol w:w="109"/>
        <w:gridCol w:w="109"/>
        <w:gridCol w:w="109"/>
        <w:gridCol w:w="196"/>
        <w:gridCol w:w="556"/>
        <w:gridCol w:w="109"/>
        <w:gridCol w:w="109"/>
        <w:gridCol w:w="109"/>
        <w:gridCol w:w="109"/>
        <w:gridCol w:w="488"/>
        <w:gridCol w:w="488"/>
        <w:gridCol w:w="196"/>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46"/>
        <w:gridCol w:w="832"/>
        <w:gridCol w:w="138"/>
        <w:gridCol w:w="109"/>
        <w:gridCol w:w="109"/>
        <w:gridCol w:w="109"/>
        <w:gridCol w:w="196"/>
        <w:gridCol w:w="871"/>
        <w:gridCol w:w="109"/>
        <w:gridCol w:w="109"/>
        <w:gridCol w:w="109"/>
        <w:gridCol w:w="109"/>
        <w:gridCol w:w="269"/>
        <w:gridCol w:w="887"/>
        <w:gridCol w:w="150"/>
        <w:gridCol w:w="109"/>
        <w:gridCol w:w="109"/>
        <w:gridCol w:w="109"/>
        <w:gridCol w:w="196"/>
        <w:gridCol w:w="87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MasTec,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Equity </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98,615,105 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(19,933,055)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(50,955)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2,741,187 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shares,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592,553 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taxes, net of other stock issuances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in connection with acquisition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non-controlling interests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 of minority interest in subsidiary</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assumed related to acquisitions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99,093,134 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(19,813,055)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(52,997)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2,706,152 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2,721,261 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36,633 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 of restricted shares,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taxes, net of other stock issuances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(33,451)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in connection with acquisition</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Consideration transferred in a foreign subsidiary</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assumed related to acquisitions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99,029,011 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(19,719,796)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(656,807)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(40,847)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2,911,857 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75,486 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2,987,343 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shares,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333,408 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taxes, net of other stock issuances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 at cost</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(702,533)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 net</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(24,529)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9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99,319,916 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(20,422,329)</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(734,133)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1,319,920 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2,707,623 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(44,033)</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3,259,309 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75,212 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3,334,521 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07645"/>
                <wp:effectExtent l="0" t="0" r="0" b="0"/>
                <wp:wrapNone/>
                <wp:docPr id="62" name="Frame60"/>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60</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MASTEC,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CONSOLIDATED STATEMENTS OF CASH FLOWS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(in thousands)</w:t>
      </w:r>
    </w:p>
    <w:tbl>
      <w:tblPr>
        <w:tblW w:w="10205" w:type="dxa"/>
        <w:jc w:val="left"/>
        <w:tblInd w:w="0" w:type="dxa"/>
        <w:tblLayout w:type="fixed"/>
        <w:tblCellMar>
          <w:top w:w="28" w:type="dxa"/>
          <w:left w:w="28" w:type="dxa"/>
          <w:bottom w:w="28" w:type="dxa"/>
          <w:right w:w="28" w:type="dxa"/>
        </w:tblCellMar>
      </w:tblPr>
      <w:tblGrid>
        <w:gridCol w:w="2202"/>
        <w:gridCol w:w="1906"/>
        <w:gridCol w:w="1921"/>
        <w:gridCol w:w="196"/>
        <w:gridCol w:w="808"/>
        <w:gridCol w:w="109"/>
        <w:gridCol w:w="109"/>
        <w:gridCol w:w="109"/>
        <w:gridCol w:w="109"/>
        <w:gridCol w:w="196"/>
        <w:gridCol w:w="943"/>
        <w:gridCol w:w="109"/>
        <w:gridCol w:w="109"/>
        <w:gridCol w:w="109"/>
        <w:gridCol w:w="109"/>
        <w:gridCol w:w="196"/>
        <w:gridCol w:w="808"/>
        <w:gridCol w:w="157"/>
      </w:tblGrid>
      <w:tr>
        <w:trPr/>
        <w:tc>
          <w:tcPr>
            <w:tcW w:w="2202"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(benefit from) deferred income taxes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of unconsolidated affiliates,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(30,697)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on sales and impairments of assets, net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 net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items,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net of acquisitions: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current and long-term portion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current and long-term portion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687,277 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acquisitions, net of cash acquired</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property and equipment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other investments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other investments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(178,061)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credit facilities and term loans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5,597,386 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4,099,102 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4,378,200 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credit facilities and term loans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(4,509,950)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issuance of 5.900% senior notes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Repayments of 6.625% senior notes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finance lease obligations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acquisition-related contingent consideration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acquisition-related contingent assets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to non-controlling interests, including acquisition of interests and distributions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stock-based awards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 net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(1,090,234)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(350,998)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currency translation on cash</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and cash equivalents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 beginning of period</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 end of period</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396,030 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399,903 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529,561 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11"/>
        <w:gridCol w:w="2029"/>
        <w:gridCol w:w="2041"/>
        <w:gridCol w:w="196"/>
        <w:gridCol w:w="736"/>
        <w:gridCol w:w="109"/>
        <w:gridCol w:w="109"/>
        <w:gridCol w:w="109"/>
        <w:gridCol w:w="109"/>
        <w:gridCol w:w="196"/>
        <w:gridCol w:w="736"/>
        <w:gridCol w:w="109"/>
        <w:gridCol w:w="109"/>
        <w:gridCol w:w="109"/>
        <w:gridCol w:w="109"/>
        <w:gridCol w:w="196"/>
        <w:gridCol w:w="736"/>
        <w:gridCol w:w="156"/>
      </w:tblGrid>
      <w:tr>
        <w:trPr/>
        <w:tc>
          <w:tcPr>
            <w:tcW w:w="231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6"/>
              </w:rPr>
            </w:pPr>
            <w:r>
              <w:rPr>
                <w:rFonts w:ascii="Times New Roman;serif" w:hAnsi="Times New Roman;serif"/>
                <w:b w:val="false"/>
                <w:color w:val="000000"/>
                <w:sz w:val="16"/>
              </w:rPr>
              <w:t>Supplemental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non-cash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Additions to property and equipment from finance leases and other financing arrangements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07645"/>
                <wp:effectExtent l="0" t="0" r="0" b="0"/>
                <wp:wrapNone/>
                <wp:docPr id="63" name="Frame61"/>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61</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 xml:space="preserve">Note 1 – Business, Basis of Presentation and Significant Accounting Policies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Nature of the Business</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MasTec, Inc. (collectively with its subsidiaries, “MasTec,” or the “Company”) is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MasTec’s customers are primarily in these industries. MasTec reports its results under five reportable segments: (1) Communications; (2) Clean Energy and Infrastructure; (3) Power Delivery; (4) Pipeline Infrastructure and (5) Other.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the first quarter of 2025, the Company made changes to its Communications and Power Delivery segment structures to more closely align with the segments’ end markets and to better correspond with the operational management reporting structures of both segments. These changes included moving a component with utility operations previously reported in the Communications segment to the Power Delivery segment. These changes did not impact the Company’s consolidated financial statements, but did impact its reportable segments, including historical financial information. See Note 14 - Segments and Related Information for additional information pertaining to the Company’s reportable segments. The segments are reported on a comparable basis for all periods presented.</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Principles of Consolidation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“Net income attributable to non-controlling interests” in the consolidated statements of operations.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 When appropriate, prior year amounts are reclassified to conform with the current period presentation.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Translation of Foreign Currencies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assets and liabilities of foreign subsidiaries with a functional currency other than the U.S. dollar are translated into U.S. dollars at period-end exchange rates and revenue and expenses are translated at average rates of exchange during the applicable period, with resulting translation gains or losses included within other comprehensive income or loss.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these consolidated financial statements, “$” means U.S. dollars unless otherwise noted.</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Management Estimates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macroeconomic trends and events, such as inflation and interest rate levels; uncertainty from potential market volatility; other market, industry and regulatory factors, including uncertainty related to the implementation and pace of governmental programs and initiatives and project permitting issues, and other regulatory matters or uncertainty; evolving trade and immigration policies; supply chain disruptions; climate-related matters; global events, such as military conflicts; and public health matters.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 if conditions change or if certain key assumptions used in making these estimates ultimately prove to be inaccurate.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goodwill and intangible assets, long-lived and other assets, equity investments, financial instruments, acquisition-related liabilities, including contingent consideration, other liabilities and debt obligations; useful lives of long-lived assets; self-insurance liabilities; allowances for credit losses; certain other accruals and allowances; income taxes; and the estimated effects of litigation and other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07645"/>
                <wp:effectExtent l="0" t="0" r="0" b="0"/>
                <wp:wrapNone/>
                <wp:docPr id="64" name="Frame62"/>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62</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Significant Accounting Policies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is a summary of significant accounting policies followed in the preparation of the accompanying consolidated financial statements.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Revenue Recognition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 For the years ended December 31, 2025, 2024 and 2023, consolidated revenue totaled approximately $14.3 billion, $12.3 billion and $12.0 billion, respectively.</w:t>
      </w:r>
    </w:p>
    <w:p>
      <w:pPr>
        <w:pStyle w:val="TextBody"/>
        <w:bidi w:val="0"/>
        <w:spacing w:lineRule="auto" w:line="288" w:before="120" w:after="120"/>
        <w:ind w:left="0" w:right="0" w:firstLine="720"/>
        <w:jc w:val="both"/>
        <w:rPr/>
      </w:pPr>
      <w:r>
        <w:rPr>
          <w:rFonts w:ascii="Times New Roman;serif" w:hAnsi="Times New Roman;serif"/>
          <w:b/>
          <w:i/>
          <w:color w:val="000000"/>
          <w:sz w:val="18"/>
        </w:rPr>
        <w:t>Contracts.</w:t>
      </w:r>
      <w:r>
        <w:rPr>
          <w:color w:val="000000"/>
        </w:rPr>
        <w:t xml:space="preserve"> </w:t>
      </w:r>
      <w:r>
        <w:rPr>
          <w:rFonts w:ascii="Times New Roman;serif" w:hAnsi="Times New Roman;serif"/>
          <w:b w:val="false"/>
          <w:color w:val="000000"/>
          <w:sz w:val="18"/>
        </w:rPr>
        <w:t>The Company derives revenue primarily from construction projects performed under: (i) master service and other service agreements, which generally 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models, including fixed price, unit price, time and materials, or cost plus a markup. Revenue derived from projects performed under master service and other service agreements totaled 44%, 41% and 40% of consolidated revenue for the years ended December 31, 2025, 2024 and 2023,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Revenue from contracts for specific projects, as well as for certain projects pursuant to master and other service agreements, is typically recognized over time using the cost-to-cost measure of progress, which is an input method. Such contracts provide that the customer accept completion of progress to date and compensate the Company for services rendered.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certain master service and other service agreements, revenue is recognized at a point in time, primarily for install-to-the-home and certain other wireless services in the Company’s Communications segment. Point in time revenue is recognized when the work order has been fulfilled, which, for the majority of the Company’s point in time revenue, is the same day it is initiated. Point in time revenue accounted for approximately 1% of consolidated revenue for the year ended December 31, 2025, and totaled approximately 2% for both the years ended December 31, 2024 and 2023.</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Contract costs include all direct materials, labor, equipment and subcontracted costs, as well as indirect costs related to contract performance, such as indirect labor, supplies, tools, repairs and the operational costs of capital equipment. Cost estimation processes used for recognizing revenue over time under the cost-to-cost method require management to make significant assumptions and judgments. Total transaction price and cost estimation processes are based primarily on the professional knowledge and experience of the Company’s project managers, operational and financial professionals, and other professional expertise, as warranted. Management reviews estimates of total contract transaction price and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the Company’s profit recognition. Changes in these factors could result in revisions to the amount of revenue recognized in the period in which the revisions are determined, which revisions could materially affect the Company’s consolidated results of operations for that period. Provisions for losses on uncompleted contracts are recorded in the period in which such losses are estimated based on management’s experience and judgment. In each of the years ended December 31, 2025, 2024 and 2023, project profit was affected by less than 5% as a result of changes in contract estimates included in projects that were in process as of December 31, 2024, 2023 and 2022. Changes in recognized revenue, net, as a result of changes in total contract transaction price estimates, including from variable consideration, and/or changes in cost estimates, related to performance obligations satisfied or partially satisfied in prior periods, for the years ended December 31, 2025, 2024 and 2023, positively affected revenue by approximately 0.8%, 0.1% and 0.2%,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may incur certain costs that can be capitalized, such as initial set-up or mobilization costs. Such capitalized costs, which are amortized over the life of the respective projects, were not material as of December 31, 2025 or 2024.</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timing of customer billings is generally dependent upon advance billing terms, milestone billings based on completion of certain phases of work, or when services are provided. Under the typical payment terms of master and other service agreements and contracts for specific projects, the customer makes progress payments based on quantifiable measures of performance by the Company as defined by each specific agreement. Progress payments, generally net of amounts retained, are paid by the customer over the duration of the contract. For install-to-the-home and certain other contracts and services, work orders are billed and paid as completed. Amounts billed and due from customers, as well as the value of contract assets, are generally classified within current assets in the consolidated balance sheets. See Note 5 - Accounts Receivable, Net of Allowance, and Contract Assets and Liabilities for related discussion. Amounts expected to be collected beyond one year are classified as other long-term assets.</w:t>
      </w:r>
    </w:p>
    <w:p>
      <w:pPr>
        <w:pStyle w:val="TextBody"/>
        <w:bidi w:val="0"/>
        <w:spacing w:lineRule="auto" w:line="288" w:before="120" w:after="120"/>
        <w:ind w:left="0" w:right="0" w:firstLine="720"/>
        <w:jc w:val="both"/>
        <w:rPr/>
      </w:pPr>
      <w:r>
        <w:rPr>
          <w:rFonts w:ascii="Times New Roman;serif" w:hAnsi="Times New Roman;serif"/>
          <w:b/>
          <w:i/>
          <w:color w:val="000000"/>
          <w:sz w:val="18"/>
        </w:rPr>
        <w:t>Performance Obligations.</w:t>
      </w:r>
      <w:r>
        <w:rPr>
          <w:color w:val="000000"/>
        </w:rPr>
        <w:t xml:space="preserve"> </w:t>
      </w:r>
      <w:r>
        <w:rPr>
          <w:rFonts w:ascii="Times New Roman;serif" w:hAnsi="Times New Roman;serif"/>
          <w:b w:val="false"/>
          <w:color w:val="000000"/>
          <w:sz w:val="18"/>
        </w:rPr>
        <w:t xml:space="preserve">A performance obligation is a contractual promise to transfer a distinct good or service to a customer. The transaction price of a 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When more than one contract is entered into with a customer on or close to the same date, the Company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specific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07645"/>
                <wp:effectExtent l="0" t="0" r="0" b="0"/>
                <wp:wrapNone/>
                <wp:docPr id="65" name="Frame6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63</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December 31, 2025, the amount of the Company’s remaining performance obligations was $14.6 billion. Based on current expectations, the Company anticipates it will recognize approximately $9.3 billion, or 63.7%, of its remaining performance obligations as revenue during 2026, with the majority of the remaining balance expected to be recognized over the subsequent two year period.</w:t>
      </w:r>
    </w:p>
    <w:p>
      <w:pPr>
        <w:pStyle w:val="TextBody"/>
        <w:bidi w:val="0"/>
        <w:spacing w:lineRule="auto" w:line="288" w:before="120" w:after="120"/>
        <w:ind w:left="0" w:right="0" w:firstLine="720"/>
        <w:jc w:val="both"/>
        <w:rPr/>
      </w:pPr>
      <w:r>
        <w:rPr>
          <w:rFonts w:ascii="Times New Roman;serif" w:hAnsi="Times New Roman;serif"/>
          <w:b/>
          <w:i/>
          <w:color w:val="000000"/>
          <w:sz w:val="18"/>
        </w:rPr>
        <w:t>Variable Consideration.</w:t>
      </w:r>
      <w:r>
        <w:rPr>
          <w:color w:val="000000"/>
        </w:rPr>
        <w:t xml:space="preserve"> </w:t>
      </w:r>
      <w:r>
        <w:rPr>
          <w:rFonts w:ascii="Times New Roman;serif" w:hAnsi="Times New Roman;serif"/>
          <w:b w:val="false"/>
          <w:color w:val="000000"/>
          <w:sz w:val="18"/>
        </w:rPr>
        <w:t>Transaction prices for the Company’s contracts may include variable consideration, which comprises items such as change orders, claims and incentives. Management estimates variable consideration for a performance obligation utilizing estimation methods that it believes best predict the amount of consideration to which the Company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discussions, correspondence or preliminary negotiations and past practices with the customer, engineering studies and legal advice and all other relevant information that is reasonably available at the time of the estimate. The effect of variable consideration on the transaction price of a performance obligation is recognized as an adjustment to revenue, typically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December 31, 2025 and 2024, the Company’s contract transaction prices included approximately $229 million and $139 million, respectively, of change orders and/or claims for certain contracts that were in the process of being resolved in the ordinary course of its business, including through negotiation, arbitration and other proceedings. These transaction price adjustments, when earned, are included within contract assets or accounts receivable, net of allowance, as appropriate. As of both December 31, 2025 and 2024, these change orders and/or claims primarily related to certain projects in the Company’s Clean Energy and Infrastructure and Power Delivery segments. The Company actively engages with its customers to complete the final approval process for such amounts and generally expects these processes to be completed within one year. Amounts ultimately realized upon final agreement by customers could be higher or lower than such estimated amounts.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Allowance for Credit Losses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maintains an allowance for credit losses for its financial instruments, which are primarily composed of accounts receivable and contract assets. The measurement and recognition of credit losses involves the use of judgment and incorporates management’s estimate of expected lifetime credit losses based on historical experience and trends, current conditions and reasonable and supportable forecasts. Management’s assessment of expected credit losses includes consideration of current and expected economic, market and industry factors affecting the Company’s customers, including their financial condition; the aging of account balances; historical credit loss experience; customer concentrations; customer credit-worthiness; availability of mechanics’ and other liens; and the existence of payment bonds and other sources of payment, among other factors. Management evaluates its experience with historical losses and then applies this historical loss ratio to financial assets with similar characteristics. The Company’s historical loss ratio or its determination of risk pools may be adjusted for changes in customer, economic, market or other circumstances. The Company may also establish an allowance for credit losses for specific receivables when it is probable that a specific receivable will not be collected and the loss can be reasonably estimated. Amounts are written off against the allowance when they are considered to be uncollectible, and reversals of previously reserved amounts are recognized if a specifically reserved item is settled for an amount exceeding the previous estimate.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Estimates of expected credit losses could be affected by many factors, including, but not limited to: changes in credit loss experience, changes to the risk characteristics of the Company’s financial instrument portfolio, developing trends, including changes in management’s expectations of future economic, industry or other conditions and/or changes in credit quality or unanticipated financial difficulties affecting the Company’s customers. In addition, if anticipated recoveries in existing negotiations or bankruptcies fail to materialize, additional allowances may be required. Estimates of collectibility are subject to significant change during times of economic weakness or uncertainty in either the overall economy or within the industries served by MasTec. Management actively monitors these factors and assesses the sufficiency of its allowance for credit losses on an ongoing basis, including the potential effects of trends in end-market volatility and/or other macroeconomic factors on the credit quality of the Company’s customers and/or its financial assets, such as the current market environment of elevated interest rates and inflation.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Inventories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Inventories primarily consist of materials and supplies for construction and installation projects, which are valued at the lower of cost or net realizable value using the average cost or specific identification methods of costing. For materials or supplies purchased on behalf of specific customers or projects, loss of the customer or cancellation of the project could result in an impairment of the value of materials purchased. The value of inventory may also decrease due to obsolescence, physical deterioration, damage, changes in price levels, or other causes.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Cash and Cash Equivalents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considers highly liquid investments with original maturities of less than three months to be cash equivalents. The balances in certain of the Company’s bank accounts exceed federally insured limits. Cash and cash equivalents consist primarily of interest-bearing demand deposits that are maintained at financial institutions that management considers to be of high credit quality. Included in the Company’s cash balances as of December 31, 2025 and 2024 are amounts held by entities that are proportionately consolidated totaling $45.0 million and $46.7 million, respectively. These amounts are available to support the operations of those entities, but are not available for the Company’s other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07645"/>
                <wp:effectExtent l="0" t="0" r="0" b="0"/>
                <wp:wrapNone/>
                <wp:docPr id="66" name="Frame64"/>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64</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Fair Value of Financial Instruments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financial instruments are primarily composed of cash and cash equivalents, accounts receivable and contract assets,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and debt obligations.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including quoted market prices for identical or similar assets or liabilities in markets that are not active;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Fair values of financial instruments are estimated using public market prices, quotes from financial institutions and other available information. Due to their short-term maturity, the carrying amounts of cash and cash equivalents, accounts receivable and contract assets, accounts payable and other current liabilities approximate their fair values, and management also believes that the carrying values of notes and other receivables, cash collateral deposited with insurance carriers and outstanding balances on the Company’s credit and term loan facilities approximate their fair values, based on their specific asset and/or liability characteristics, including having terms consistent with current market conditions.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Investment and Strategic Arrangements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From time to time, the Company may participate in selected investment or strategic arrangements to expand its operations, service offerings, customer base or geographic reach, including arrangements that combine the Company’s skills and resources with those of others to allow for the performance of particular projects. The Company’s investment and strategic arrangements include equity interests in various business entities and participation in contractual joint ventures, some of which may involve the extension of loans or other types of financing arrangements.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that VIE would be consolidated, with the other parties’ interests in the VIE accounted for as non-controlling interests. The primary beneficiary consolidating a VIE must normally have both (i) the power to direct the primary activities of the VIE and (ii) the obligation to absorb losses of the VIE or the right to receive benefits from the VIE, which, in either case, could be significant to the VIE. The Company has determined that certain of its investment arrangements are VIEs. See Note 4 - Fair Value of Financial Instruments for additional information pertaining to the Company’s VIEs.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investments in entities for which it does not have a controlling interest and is not the primary beneficiary, but for which it has the ability to exert significant influence, are accounted for using the equity method of accounting. Under the equity method of accounting, the initial investment is recorded at cost and the investment is subsequently adjusted for the Company’s proportionate share of earnings or losses, including consideration of basis differences resulting from the difference between the initial carrying amount of the investment and the underlying equity in net assets. Equity method investments are recorded as other long-term assets in the Company’s consolidated balance sheets. Income or loss from these investments is recorded as a separate line item in the consolidated statements of operations. Intercompany profits or losses associated with the Company’s equity method investments are eliminated until realized by the investee in transactions with third parties. Distributions received from equity method investees are reflected in the statements of cash flows using the nature of distributions approach, under which distributions are classified based on the nature of the activity that generated them.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pStyle w:val="TextBody"/>
        <w:bidi w:val="0"/>
        <w:spacing w:lineRule="auto" w:line="288" w:before="120" w:after="120"/>
        <w:ind w:left="0" w:right="0" w:firstLine="720"/>
        <w:jc w:val="both"/>
        <w:rPr/>
      </w:pPr>
      <w:r>
        <w:rPr>
          <w:rFonts w:ascii="Times New Roman;serif" w:hAnsi="Times New Roman;serif"/>
          <w:b w:val="false"/>
          <w:color w:val="252525"/>
          <w:sz w:val="18"/>
        </w:rPr>
        <w:t>E</w:t>
      </w:r>
      <w:r>
        <w:rPr>
          <w:rFonts w:ascii="Times New Roman;serif" w:hAnsi="Times New Roman;serif"/>
          <w:b w:val="false"/>
          <w:color w:val="000000"/>
          <w:sz w:val="18"/>
        </w:rPr>
        <w:t>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which is referred to as the “adjusted cost basis.” The Company evaluates such investments for impairment by considering a variety of factors, including the earnings performance of the related investments, as well as the economic environment and market conditions in which the investees operate. Fair value measurements for the Company’s equity investments, which are recognized in other income or expense, as appropriate, were based on Level 3 inputs for the years ended December 31, 2025 and 2024.</w:t>
      </w:r>
    </w:p>
    <w:p>
      <w:pPr>
        <w:pStyle w:val="TextBody"/>
        <w:bidi w:val="0"/>
        <w:spacing w:lineRule="auto" w:line="288" w:before="120" w:after="120"/>
        <w:ind w:left="0" w:right="0" w:firstLine="720"/>
        <w:jc w:val="both"/>
        <w:rPr>
          <w:rFonts w:ascii="Times New Roman;serif" w:hAnsi="Times New Roman;serif"/>
          <w:b w:val="false"/>
          <w:color w:val="252525"/>
          <w:sz w:val="18"/>
        </w:rPr>
      </w:pPr>
      <w:r>
        <w:rPr>
          <w:rFonts w:ascii="Times New Roman;serif" w:hAnsi="Times New Roman;serif"/>
          <w:b w:val="false"/>
          <w:color w:val="252525"/>
          <w:sz w:val="18"/>
        </w:rPr>
        <w:t>For further information pertaining to the Company’s equity investments, see Note 4 - Fair Value of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07645"/>
                <wp:effectExtent l="0" t="0" r="0" b="0"/>
                <wp:wrapNone/>
                <wp:docPr id="67" name="Frame65"/>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65</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Deferred Financing Costs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Deferred financing costs relate to the Company’s debt instruments, the short and long-term portions of which are reflected as deductions from the carrying amounts of the related debt instrument, including the Company’s senior unsecured credit facility. Deferred financing costs are amortized over the terms of the related debt instruments using the effective interest method. Deferred financing costs, net of accumulated amortization, totaled $14.9 million and $14.6 million as of December 31, 2025 and 2024, respectively. Amortization expense associated with deferred financing costs, which is included within interest expense, net, totaled $4.7 million, $4.6 million and $4.1 million for the years ended December 31, 2025, 2024 and 2023, respectively. For the years ended December 31, 2025 and 2024, the Company deferred $5.4 million and $6.1 million, respectively, of financing costs in connection with its debt instruments, and no financing costs were deferred for the year ended December 31, 2023. For further information pertaining to the Company’s debt instruments, see Note 8 - Debt.</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Other Long-Term Assets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Other long-term assets consist primarily of investments in unconsolidated entities, life insurance assets, deferred compensation plan assets, insurance recoveries/receivables, and other miscellaneous receivables.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Long-Lived Assets</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long-lived assets consist primarily of property and equipment, including finance lease assets, and other intangible assets, which are subject to amortization, consisting of customer relationships and backlog, trade names, pre-qualifications, non-compete agreements and others.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Purchased property and equipment is recorded at cost, or, if acquired in a business combination, at the acquisition date fair value. Finance lease assets are recognized based on the present value of minimum future lease payments. Certain costs incurred in connection with developing or obtaining internal-use software are capitalized within office equipment, furniture and internal-use software. Depreciation and amortization of property and equipment, including finance lease assets, is computed using the straight-line method over the estimated useful lives of the respective assets. Leasehold improvements are depreciated over the shorter of the term of the lease or the estimated useful lives of the improvements. Expenditures for repairs and maintenance are charged to expense as incurred. Expenditures for betterments and major improvements that extend the life of the related assets are capitalized and depreciated over the remaining useful lives of the assets. The carrying amounts of assets sold or retired and the related accumulated depreciation are eliminated in the year of disposal. Gains or losses, net, from the sale of property and equipment are included within general and administrative expenses. When the Company identifies assets to be sold, those assets are valued based on their estimated fair value less costs to sell and classified as held-for-sale and depreciation is no longer recorded. </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Other intangible assets are amortized over their useful lives, which are generally based on contractual or legal rights, in a manner consistent with the pattern in which the related benefits are expected to be consumed, or on a straight-line basis if that pattern cannot be reliably determined.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Management reviews long-lived assets for impairment whenever events or changes in circumstances indicate that their carrying amounts may not be recoverable. If an evaluation is required, the estimated future undiscounted cash flows associated with the asset are compared with the asset’s carrying amount to determine if there has been an impairment, which is calculated as the difference between the fair value of an asset and its carrying value. Estimates of future undiscounted cash flows are based on expected revenue and operating costs for the business as well as anticipated future economic conditions, which are Level 3 inputs. During the three years in the period ended December 31, 2025, there were no material impairments of long-lived assets.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Goodwill</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recorded goodwill in connection with its acquisitions of businesses. Goodwill is not amortized, but instead is tested for impairment at least annually. The Company performs its annual impairment test of goodwill during the fourth quarter of each year, or more frequently if events or circumstances arise which indicate that the fair value of a reporting unit with goodwill is below its carrying amount. See below for details of the Company’s impairment testing for the years ended December 31, 2025, 2024 and 2023.</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Goodwill is required to be tested for impairment at the reporting unit level. A reporting unit is an operating segment, or one level below the operating segment, which is referred to as a component. Management identifies its reporting units by assessing whether components (i) have discrete financial information available; (ii) engage in business activities; and (iii) have a segment manager that regularly reviews the component’s operating results. If two or more components are deemed economically similar, those components are aggregated into one reporting unit when performing the annual goodwill impairment test. All of the Company’s reporting units are each composed of one component.</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each of the three years in the period ended December 31, 2025, as part of the Company’s annual impairment test of goodwill, management performed a qualitative assessment of its reporting units by examining relevant events and circumstances that could have an effect on a reporting unit’s fair value, such as: macroeconomic trends and events, including levels of inflation, market interest rates and/or supply chain disruptions; industry and/or market conditions, including the potential effects of regulatory and other uncertainties, such as uncertainty related to the implementation and pace of spending under governmental infrastructure programs and initiatives and project permitting issues; financial, competitive and other conditions, including declines in the operating performance of the Company’s reporting units, and/or long-term changes in consumer behavior; entity-specific events; and other relevant factors or events that could affect earnings and cash flows.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Quantitative testing was performed for selected reporting units during each of the three years in the period ended December 31, 2025. Management estimated the fair values of the selected reporting units using a combination of market and income approaches using Level 3 inputs. Under the market approach, fair values were estimated using published market multiples for comparable companies and applying them to revenue and earnings before interest, taxes, depreciation and amortization (“EBITDA”). Under the income approach, a discounted cash flow methodology was used, considering: (i) management estimates, such as projections of revenue, operating costs and cash flows, taking into consideration historical and anticipated financial results; (ii) general economic, market and regulatory conditions; and (iii) the impact of planned business and operational strategies. Management believes the assumptions used in its quantitative goodwill impairment tests are reflective of the risks inherent in the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07645"/>
                <wp:effectExtent l="0" t="0" r="0" b="0"/>
                <wp:wrapNone/>
                <wp:docPr id="68" name="Frame66"/>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66</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models of the applicable reporting units and within the units’ industry. Estimated discount rates were determined using the weighted average cost of capital for each reporting unit at the time of the analysis, taking into consideration the risks inherent within each reporting unit individually.</w:t>
      </w:r>
    </w:p>
    <w:p>
      <w:pPr>
        <w:pStyle w:val="TextBody"/>
        <w:bidi w:val="0"/>
        <w:spacing w:lineRule="auto" w:line="288" w:before="120" w:after="120"/>
        <w:ind w:left="0" w:right="0" w:firstLine="720"/>
        <w:jc w:val="both"/>
        <w:rPr/>
      </w:pPr>
      <w:r>
        <w:rPr>
          <w:rFonts w:ascii="Times New Roman;serif" w:hAnsi="Times New Roman;serif"/>
          <w:b/>
          <w:i/>
          <w:color w:val="000000"/>
          <w:sz w:val="18"/>
          <w:shd w:fill="FFFFFF" w:val="clear"/>
        </w:rPr>
        <w:t>2025 Assessment.</w:t>
      </w:r>
      <w:r>
        <w:rPr>
          <w:color w:val="000000"/>
        </w:rPr>
        <w:t xml:space="preserve"> </w:t>
      </w:r>
      <w:r>
        <w:rPr>
          <w:rFonts w:ascii="Times New Roman;serif" w:hAnsi="Times New Roman;serif"/>
          <w:b w:val="false"/>
          <w:color w:val="000000"/>
          <w:sz w:val="18"/>
        </w:rPr>
        <w:t xml:space="preserve">During the first quarter of 2025, certain reporting units within the Communications and Power Delivery operating segments were restructured to more closely align with the segments’ end markets and to better correspond with the operational management reporting structure of both segments. Under both the current and previous reporting unit structures, each of the components within the Communications and Power Delivery operating segments is a reporting unit. Management performed goodwill impairment testing under both the current and previous reporting unit structures. Based on the results of the quantitative assessments, the estimated fair values of the impacted reporting units substantially exceeded their carrying values as of March 31, 2025, therefore </w:t>
      </w:r>
      <w:r>
        <w:rPr>
          <w:rFonts w:ascii="Times New Roman;serif" w:hAnsi="Times New Roman;serif"/>
          <w:b w:val="false"/>
          <w:color w:val="000000"/>
          <w:sz w:val="18"/>
          <w:shd w:fill="FFFFFF" w:val="clear"/>
        </w:rPr>
        <w:t>no</w:t>
      </w:r>
      <w:r>
        <w:rPr>
          <w:color w:val="000000"/>
        </w:rPr>
        <w:t xml:space="preserve"> </w:t>
      </w:r>
      <w:r>
        <w:rPr>
          <w:rFonts w:ascii="Times New Roman;serif" w:hAnsi="Times New Roman;serif"/>
          <w:b w:val="false"/>
          <w:color w:val="000000"/>
          <w:sz w:val="18"/>
        </w:rPr>
        <w:t>goodwill impairment existed. A 100 basis point increase in the discount rate would not have resulted in any of the tested reporting units’ carrying values exceeding their fair values.</w:t>
      </w:r>
    </w:p>
    <w:p>
      <w:pPr>
        <w:pStyle w:val="TextBody"/>
        <w:bidi w:val="0"/>
        <w:spacing w:lineRule="auto" w:line="288" w:before="0" w:after="0"/>
        <w:ind w:left="0" w:right="0" w:firstLine="720"/>
        <w:jc w:val="both"/>
        <w:rPr/>
      </w:pPr>
      <w:r>
        <w:rPr>
          <w:rFonts w:ascii="Times New Roman;serif" w:hAnsi="Times New Roman;serif"/>
          <w:b w:val="false"/>
          <w:color w:val="000000"/>
          <w:sz w:val="18"/>
        </w:rPr>
        <w:t xml:space="preserve">During the fourth quarter of 2025, the Company completed its annual impairment test of goodwill as part of which it performed a qualitative assessment of all reporting units and concluded that it was more likely than not that the fair value of each reporting unit was greater than its carrying value. Accordingly, a quantitative goodwill impairment test was not required for any of the reporting units, and </w:t>
      </w:r>
      <w:r>
        <w:rPr>
          <w:rFonts w:ascii="Times New Roman;serif" w:hAnsi="Times New Roman;serif"/>
          <w:b w:val="false"/>
          <w:color w:val="000000"/>
          <w:sz w:val="18"/>
          <w:shd w:fill="FFFFFF" w:val="clear"/>
        </w:rPr>
        <w:t>no</w:t>
      </w:r>
      <w:r>
        <w:rPr>
          <w:color w:val="000000"/>
        </w:rPr>
        <w:t xml:space="preserve"> </w:t>
      </w:r>
      <w:r>
        <w:rPr>
          <w:rFonts w:ascii="Times New Roman;serif" w:hAnsi="Times New Roman;serif"/>
          <w:b w:val="false"/>
          <w:color w:val="000000"/>
          <w:sz w:val="18"/>
        </w:rPr>
        <w:t>goodwill impairment was recognized in 2025.</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2024 and 2023 Assessments. </w:t>
      </w:r>
      <w:r>
        <w:rPr>
          <w:rFonts w:ascii="Times New Roman;serif" w:hAnsi="Times New Roman;serif"/>
          <w:b w:val="false"/>
          <w:color w:val="000000"/>
          <w:sz w:val="18"/>
        </w:rPr>
        <w:t>The Company completed its annual goodwill impairment test for all of its reporting units during both of the years ended December 31, 2024 and 2023. In 2024, quantitative testing was performed for (i) two reporting units within the Communications operating segment; (ii) one reporting unit within the Clean Energy and Infrastructure operating segment; and (iii) one reporting unit within the Pipeline Infrastructure operating segment. In 2023, quantitative testing was performed for (i) three reporting units within the Clean Energy and Infrastructure segment; (ii) one reporting unit in the Power Delivery operating segment; and (iii) one reporting unit within the Pipeline Infrastructure operating segment. The Company determined there was no impairment as a result of its annual goodwill impairment test for any of its reporting units for both of the years ended December 31, 2024 and 2023.</w:t>
      </w:r>
    </w:p>
    <w:p>
      <w:pPr>
        <w:pStyle w:val="TextBody"/>
        <w:bidi w:val="0"/>
        <w:spacing w:lineRule="auto" w:line="288" w:before="120" w:after="120"/>
        <w:ind w:left="0" w:right="0" w:firstLine="720"/>
        <w:jc w:val="both"/>
        <w:rPr/>
      </w:pPr>
      <w:r>
        <w:rPr>
          <w:rFonts w:ascii="Times New Roman;serif" w:hAnsi="Times New Roman;serif"/>
          <w:b w:val="false"/>
          <w:color w:val="000000"/>
          <w:sz w:val="18"/>
          <w:shd w:fill="FFFFFF" w:val="clear"/>
        </w:rPr>
        <w:t xml:space="preserve">Additionally, during the first quarter of 2024, </w:t>
      </w:r>
      <w:r>
        <w:rPr>
          <w:rFonts w:ascii="Times New Roman;serif" w:hAnsi="Times New Roman;serif"/>
          <w:b w:val="false"/>
          <w:color w:val="000000"/>
          <w:sz w:val="18"/>
        </w:rPr>
        <w:t>the reporting units within the Power Delivery operating segment were restructured to more closely align with the segment’s end markets and to better correspond with the operational management reporting structure of the segment, including from the effects of the Company’s transformative acquisition efforts in prior years. Management performed goodwill impairment testing under both the updated and previous reporting unit structures and determined that no goodwill impairment existed.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December 31, 2025 and 2024, management believes that the recorded goodwill balances are recoverable; however, significant changes in the assumptions or estimates used in the Company’s analyses, such as a reduction in profitability and/or cash flows, changes in market, regulatory or other conditions, including decreases in project activity levels and/or the effects of elevated levels of inflation, interest rates or other regulatory or market disruptions, including from geopolitical events and/or changes in asset characteristics, could result in non-cash goodwill impairment charges in future periods.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Business Combinations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determination of the fair value of net assets acquired in a business combination requires estimates and judgments of future cash flow expectations for the acquired business and the related identifiable tangible and intangible assets. Fair values of net assets acquired are calculated using expected cash flows and industry-standard valuation techniques. For current assets and current liabilities, book value is generally assumed to approximate fair value. Goodwill is the amount by which consideration paid for an acquired entity exceeds the fair value of its acquired net assets. A bargain purchase gain results when the fair value of an acquired entity’s net assets exceeds its purchase price, and is recorded within other income in the consolidated statements of operations. Acquisition costs are expensed as incurred and are included within general and administrative expenses in the consolidated statements of operations.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Due to the time required to gather and analyze the necessary data for each acquisition, U.S. GAAP provides a “measurement period” of up to one year from the date of acquisition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of, or an adjustment to the fair values of, acquisition-related assets and liabilities and/or consideration paid, and are referred to as measurement period adjustments. Measurement period adjustments are recorded to goodwill. Other changes to fair value estimates, including those relating to facts and circumstances that occur subsequent to the date of acquisition, are reflected as income or expense in the consolidated statement of operations, as appropriate.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Consideration paid generally consists of cash and, from time to time, shares of the Company’s common stock, and potential future payments that are contingent upon the acquired business achieving certain levels of earnings in the future, also referred to as “acquisition-related contingent consideration” or “earn-outs.” Earn-out liabilities are measured at their estimated fair values as of the date of acquisition. Subsequent to the date of acquisition, if future Earn-out payments are expected to differ from Earn-out payments estimated as of the date of acquisition, any related fair value adjustments, including those related to finalization of completed earn-out arrangements, are recognized in the period that such expectation is considered probable. Changes in the fair value of Earn-out liabilities for the Company’s traditional earn-outs, other than those related to measurement period adjustments, as described above, are recorded within other income or expense in the consolidated statements of operations. Fair values of Earn-out liabilities are estimated using income approaches such as discounted cash flows or option pricing models, which are Level 3 inputs. Earn-out liabilities are included within other current and other long-term liabilities, as appropriate, within the consolidated balance sheets. Earn-out payments, to the extent they relate to estimated liabilities as of the date of acquisition, are classified within financing activities in the consolidated statements of cash flows. Earn-out payments in excess of acquisition date liabilities are classified within operating activities in the consolidated statement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07645"/>
                <wp:effectExtent l="0" t="0" r="0" b="0"/>
                <wp:wrapNone/>
                <wp:docPr id="69" name="Frame67"/>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67</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Leases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the Company enters into agreements that provide financing primarily for machinery, equipment, and vehicles, including certain related party leases. The Company reviews all agreements to determine if a leasing arrangement exists. When a leasing arrangement is identified, a determination is made at inception as to whether the lease is an operating or a finance lease. A lease exists when a contract conveys the right to control the use of an identified asset for a period of time in exchange for consideration. In determining whether a lease exists, the Company considers whether a contract provides both the right to obtain substantially all of the economic benefits from the use of an asset and the right to direct the use of the asset. Right-of-use assets and lease liabilities are recognized at the lease commencement date based on the present value of the minimum future lease payments over the expected term of the lease. The Company’s lease assets are primarily concentrated in vehicles, machinery and equipment.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Leases with an initial term of twelve months or less are classified as short-term leases and are not recognized in the consolidated balance sheets unless the lease contains a purchase option that is reasonably certain to be exercised, or unless it is reasonably certain that the equipment will be leased for greater than twelve months. The volume of lease activity for leases with an initial term of twelve months or less varies depending upon the number of ongoing projects at a given time, as well as the location and type of equipment required in connection with those projects. Lease payments for short-term leases are recognized on a straight-line basis over the lease term, and primarily relate to equipment used on construction projects, for which the rentals are based on daily, weekly or monthly rental rates, and typically contain termination for convenience provisions. Lease determinations are reassessed in the event of a change in lease terms. The Company has a limited number of sublease, equipment and other leasing arrangements, which are not considered material to the consolidated financial statements.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December 31, 2025, the Company’s leases have remaining lease terms of up to 13 years. Lease agreements may contain renewal clauses, which, if elected, generally extend the term of the lease for 1 to 5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 accounts for non-lease components together with the related lease components for all classes of leased assets. The Company’s lease agreements do not contain significant residual value guarantees or material restrictive covenants.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Lease term, discount rate, variable lease costs and future minimum lease payment determinations require the use of judgment, and are based on the facts and circumstances of each lease. Economic incentives, intent, past history and business needs are among the factors considered to determine if renewal and/or purchase options are reasonably certain to be exercised. The majority of the Company’s lease agreements do not explicitly state the discount rate implicit in the lease, therefore, the Company generally uses an incremental borrowing rate to determine the value of its lease obligations. The incremental borrowing rate represents the rate of interest that would be paid to borrow on a collateralized basis over a similar term. The Company determines its incremental borrowing rate using a portfolio approach based on information available as of the lease commencement date, including applicable lease terms and the current economic environment.</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Finance Leases. </w:t>
      </w:r>
      <w:r>
        <w:rPr>
          <w:rFonts w:ascii="Times New Roman;serif" w:hAnsi="Times New Roman;serif"/>
          <w:b w:val="false"/>
          <w:color w:val="000000"/>
          <w:sz w:val="18"/>
        </w:rPr>
        <w:t>Finance lease assets are recorded within property and equipment, with a corresponding amount recorded within the Company’s debt obligations. Finance lease expense is composed of depreciation expense on the leased asset and interest on the lease liability. Additions to finance leases are included within the supplemental disclosures of non-cash information in the consolidated statements of cash flows. Many of the Company’s finance leases contain a purchase option which the Company is reasonably certain to exercise at the end of the lease term, given that the purchase option prices are typically below the estimated fair market values of the related assets.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Operating Leases. </w:t>
      </w:r>
      <w:r>
        <w:rPr>
          <w:rFonts w:ascii="Times New Roman;serif" w:hAnsi="Times New Roman;serif"/>
          <w:b w:val="false"/>
          <w:color w:val="000000"/>
          <w:sz w:val="18"/>
        </w:rPr>
        <w:t>Operating lease right-of-use assets and liabilities are recorded on the consolidated balance sheets, with the related lease expense recognized over the term of the lease on a straight-line basis. Operating lease expense is recorded as rent expense, primarily within costs of revenue, excluding depreciation and amortization. Fixed costs for operating leases are composed of initial base rent amounts plus any fixed annual increases. Variable costs for operating leases consist primarily of common area maintenance expenses and taxes for facility leases. Certain of the Company’s operating leases contain purchase options, for which the purchase option price is generally considered to be at fair market value. From time to time, the Company may terminate a lease before the end of the lease term. Payments related to such early lease terminations are generally recorded within general and administration expenses.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Supplier Financing Program</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has provided certain of its suppliers with access to a supplier finance program administered through a third party, which facilitates participating suppliers’ ability to finance payments due from the Company through third-party financial institutions. Participating suppliers may, at their sole discretion, receive payment of the Company’s obligation prior to the scheduled due dates, at a discounted price from the third party. The Company agrees to pay the financial institution the stated amount generally within 60 days of receipt of the invoice. The Company’s obligations to its suppliers, including amounts due and scheduled payment dates, are not impacted by the supplier’s decision to finance amounts under these arrangements. The Company does not have pledged assets or other guarantees under the program. The Company’s outstanding payment obligations are recorded within accounts payable in the consolidated balance sheets and the associated payments are included within operating activities in the consolidated statements of cash flows.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change in the supplier financing obligation for the year ended December 31, 2025 (in millions):</w:t>
      </w:r>
    </w:p>
    <w:tbl>
      <w:tblPr>
        <w:tblW w:w="7064" w:type="dxa"/>
        <w:jc w:val="left"/>
        <w:tblInd w:w="0" w:type="dxa"/>
        <w:tblLayout w:type="fixed"/>
        <w:tblCellMar>
          <w:top w:w="28" w:type="dxa"/>
          <w:left w:w="28" w:type="dxa"/>
          <w:bottom w:w="28" w:type="dxa"/>
          <w:right w:w="28" w:type="dxa"/>
        </w:tblCellMar>
      </w:tblPr>
      <w:tblGrid>
        <w:gridCol w:w="1643"/>
        <w:gridCol w:w="1446"/>
        <w:gridCol w:w="1456"/>
        <w:gridCol w:w="544"/>
        <w:gridCol w:w="1546"/>
        <w:gridCol w:w="429"/>
      </w:tblGrid>
      <w:tr>
        <w:trPr/>
        <w:tc>
          <w:tcPr>
            <w:tcW w:w="164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Confirmed obligations outstanding at the beginning of the year</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Invoices confirmed</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711.5 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Confirmed invoices paid</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Confirmed obligations outstanding at the end of the year</w:t>
            </w:r>
          </w:p>
        </w:tc>
        <w:tc>
          <w:tcPr>
            <w:tcW w:w="5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4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07645"/>
                <wp:effectExtent l="0" t="0" r="0" b="0"/>
                <wp:wrapNone/>
                <wp:docPr id="70" name="Frame68"/>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68</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Self-Insurance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is self-insured up to the amount of its deductible for its insurance policies. MasTec maintains insurance policies subject to per claim deductibles of $2.0 million for its workers’ compensation policy and $25.0 million for each of its general liability and automobile liability policies. In addition, the Company also maintains excess umbrella coverage. The Company manages certain of its insurance liabilities indirectly through its wholly-owned captive insurance company, which reimburses claims up to the applicable insurance limits. Cash balances held by the Company’s captive insurance company are generally not available for use in the Company’s other operations.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Estimated liabilities under the Company’s insurance programs are accrued based upon management’s estimates of the ultimate liability for claims reported and an estimate of claims incurred but not reported, with assistance from third-party actuaries. For claims in excess of the deductible amounts, the Company records a receivable representing estimated recoveries associated with workers’ compensation, general liability and automobile claims. MasTec also maintains an insurance policy with respect to employee group medical claims, which is subject to annual per employee maximum losses of $0.6 million. MasTec’s estimated liability for employee group medical claims is based on statistical analysis of historical claims experience and specific knowledge of actual losses that have occurred. The Company is required to post collateral, generally in the form of letters of credit, surety bonds and cash to certain of its insurance carriers. Cash collateral deposited with insurance carriers is included in other long-term assets in the consolidated balance sheets.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present value of the Company’s self-insurance liability is reflected in the consolidated balance sheets within current and other long-term liabilities, as appropriate.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or an incident, the determination of the Company’s liability in proportion to other parties and the number of incidents not reported. Accruals are based upon known facts, historical trends and claims experience, loss development patterns and other actuarial assumptions. Although management believes its accruals are adequate, a change in experience or actuarial or management assumptions could materially affect the Company’s results of operations in a particular period.</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Income Taxes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records income taxes using the asset and liability method of accounting for deferred income taxes. Under this method, deferred tax assets and liabilities are recognized for the expected future tax consequences of temporary differences between the financial statement and income tax basis of the Company’s assets and liabilities. Income taxes are estimated in each of the jurisdictions in which the Company operates. This process involves estimating the tax exposure, together with assessing temporary differences resulting from differing treatment of items, such as deferred revenue, for tax and accounting purposes. These differences result in deferred tax assets and liabilities, which are included, net, within the consolidated balance sheets as long-term assets or liabilities, as appropriate. The recording of a deferred tax asset assumes the realization of such asset in the future. Otherwise, a valuation allowance is recorded to reduce the asset to its estimated net realizable value. If management determines that the Company may not be able to realize all or part of a deferred tax asset in the future, a valuation allowance for the deferred tax asset is charged to income tax expense in the period the determination is made. Management considers future pretax income and ongoing prudent and feasible tax planning strategies in assessing the estimated net realizable value of tax assets and the corresponding need for any related valuation allowances.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determining the provision for income taxes, management uses an effective tax rate based on annual pre-tax income, statutory tax rates, permanent tax differences and tax planning opportunities in the various jurisdictions in which the Company operates. The Company is generally free of additional U.S. federal tax consequences on distributed foreign subsidiary earnings. The Company has generally not provided for U.S. income taxes on unremitted foreign earnings because such earnings are considered to be insignificant.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Significant factors that can affect the Company’s annual effective tax rate include management’s assessment of certain tax matters, the location and amount of taxable earnings, changes in certain non-deductible expenses and expected credits.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An entity may only recognize or continue to recognize tax positions that meet a "more likely than not" threshold. In the ordinary course of business, there is inherent uncertainty in quantifying income tax positions. The Company assesses its income tax positions and records tax benefits for all years subject to examination based on management's evaluation of the facts, circumstances and information available at the reporting date. For those tax positions where it is more likely than not that a tax benefit will be sustained, the Company has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Company's financial statements.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and its subsidiaries file income tax returns in numerous tax jurisdictions, including U.S. federal, most U.S. states and certain foreign jurisdictions. Although management believes its calculations for its tax returns are accurate and the positions taken thereon are reasonable, the final outcome of income tax examinations could be materially different from the resolution management currently anticipates and the estimates that are reflected in the Company’s consolidated financial statements, which could materially affect the Company’s results of operations, cash flows and liquidity in a particular period. To the extent interest and penalties are assessed by taxing authorities, such amounts are accrued and included within income tax expense.</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Stock-Based Compensation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certain stock-based compensation plans, under which restricted stock awards and restricted stock units (together, “restricted shares”) are available for issuance to eligible participants. Non-cash stock-based compensation expense is included within general and administrative expense in the consolidated statements of operations. Share-based payments, to the extent they are compensatory, are recognized based on their grant date fair values. Forfeitures are recorded as they occur. The Company records a deferred tax asset, or future tax benefit, based on the amount of share-based compensation recognized in the financial statements over the vesting period of share-based awards. The tax effects of differences between the fair value of a share-based award on the date of vesting and the date of grant, also referred to as excess tax benefits or tax deficiencies, are recognized within the provision for income taxes in the period such vesting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07645"/>
                <wp:effectExtent l="0" t="0" r="0" b="0"/>
                <wp:wrapNone/>
                <wp:docPr id="71" name="Frame69"/>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69</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Grants of restricted shares are valued based on the closing market share price of MasTec’s common stock as reported on the New York Stock Exchange (the “market price”) on the date of grant. Compensation expense arising from restricted shares is recognized on a straight-line basis over the vesting period. Grants of restricted shares have cliff vesting terms, which generally vest over a period of three years. Upon vesting, some of the underlying shares may be sold to cover the required tax withholdings. Some participants may choose the net share settlement method to cover withholding tax requirements, in which case shares are not issued, but are treated as common stock repurchases in the consolidated financial statements, as they reduce the number of shares that would have been issued upon vesting. The Company then pays the corresponding withholding taxes to the appropriate taxing authorities in cash on behalf of the recipient. Withheld shares, which are valued at the market price on the trading day preceding the vesting date, are recorded as a reduction to additional paid-in capital, and related payments to taxing authorities are reflected within financing activities in the consolidated statements of cash flows. For the years ended December 31, 2025, 2024 and 2023, shares withheld in connection with stock-based compensation arrangements totaled 42,503, 33,451 and 118,636, respectively, and related payments to taxing authorities totaled $5.6 million, $2.9 million and $10.3 million,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certain employee stock purchase plans (collectively, “ESPPs”) under which shares of the Company’s common stock are available for purchase by eligible participants. Under the ESPPs, eligible participants are permitted to purchase MasTec, Inc. common stock at 85% of the fair market value of the shares on the date of purchase, which occurs on the last trading day of each two week offering period. At the Company’s discretion, share purchases may be satisfied by delivering either newly issued common shares, or common shares reacquired on the open market or in privately negotiated transactions.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Collective Bargaining Agreements and Multiemployer Plans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Certain of MasTec’s subsidiaries, including certain subsidiaries in Canada, are party to various collective bargaining agreements with unions representing certain of their employees. These agreements require the subsidiaries party to the agreements to pay specified wages, provide certain benefits to their union employees and contribute certain amounts to multiemployer pension and other multiemployer benefit plans and trusts (“MEPPs”). These contributions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are assessed on a “pay-as-you-go” basis based on union employee payrolls. The Pension Protection Act of 2006, as amended (the “PPA”), requires underfunded pension plans to improve their funding ratios within prescribed intervals based on their level of underfunding, under which benefit reductions may apply and/or participating employers could be required to make additional contributions. In addition, if a multiemployer defined benefit plan fails to satisfy certain minimum funding requirements, the Internal Revenue Service (the “IRS”) can impose on the employers contributing to such plans a non-deductible excise tax of 5% of the amount of the accumulated funding deficiency.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The collective bargaining agreements expire at various times and have typically been renegotiated and renewed on terms similar to the ones contained in the expiring agreements.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Under current law pertaining to employers that are contributors to U.S.-registered multiemployer defined benefit plans, a plan’s termination, an employer’s voluntary withdrawal from, or the mass withdrawal of contributing employers from, an underfunded multiemployer defined benefit plan requires participating employers to make payments to the plan for their proportionate share of the multiemployer plan’s unfunded vested liabilities. These liabilities include an allocable share of the unfunded vested benefits of the plan for all plan participants, not only for benefits payable to participants of the contributing employer. As a result, participating employers may bear a higher proportion of liability for unfunded vested benefits if the other participating employers cease to contribute to, or withdraw from, the plan. The allocable portion of liability to participating employers could be more disproportionate if employers that have withdrawn from the plan are insolvent, or if they otherwise fail to pay their proportionate share of the withdrawal liability. If the Company is subject to a withdrawal liability, the related withdrawal charge is recorded as a component of employee wages and salaries within costs of revenue, excluding depreciation and amortization, with any related liability recorded within other current and/or other long-term liabilities, as appropriate. The Company’s participation in the multiemployer pension plans is evaluated by management on an ongoing basis. See Note 11 - Other Retirement Plans and Note 15 - Commitments and Contingencies.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Litigation and Contingencies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Accruals for litigation and contingencies are reflected in the consolidated financial statements based on management’s assessment, including advice of legal counsel, of the expected outcome of litigation or other dispute resolution proceedings and/or the expected resolution of contingencies. Costs incurred for litigation are expensed as incurred. Liabilities for estimated losses are accrued if the potential loss from any claim or legal proceeding is considered probable and the amount can be reasonably estimated. Significant judgment is required in both the determination of probability of loss and the determination as to whether the amount is reasonably estimable. Accruals are based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Comprehensive Income (Loss)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Comprehensive income or loss is a measure of net income and other changes in equity that result from transactions other than those with shareholders. Comprehensive income or loss and related accumulated comprehensive income or loss balances consist of net income, foreign currency translation adjustments, primarily from fluctuations in foreign currency exchange rates of the Company’s foreign subsidiaries with a functional currency other than the U.S. dollar, and unrealized gains and losses from certain investment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07645"/>
                <wp:effectExtent l="0" t="0" r="0" b="0"/>
                <wp:wrapNone/>
                <wp:docPr id="72" name="Frame70"/>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70</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 xml:space="preserve">Recent Accounting Pronouncements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See the recent accounting pronouncements discussion below for information pertaining to the effects of recently adopted and other recent accounting pronouncements.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Accounting Pronouncements Adopted in 2025</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August 2023, the Financial Accounting Standards Board (“FASB”) issued Accounting Standards Update (“ASU”) 2023-05, </w:t>
      </w:r>
      <w:r>
        <w:rPr>
          <w:rFonts w:ascii="Times New Roman;serif" w:hAnsi="Times New Roman;serif"/>
          <w:b w:val="false"/>
          <w:i/>
          <w:color w:val="000000"/>
          <w:sz w:val="18"/>
        </w:rPr>
        <w:t>Business Combinations—Joint Venture Formations (Subtopic 805-60): Recognition and Initial Measurement</w:t>
      </w:r>
      <w:r>
        <w:rPr>
          <w:color w:val="000000"/>
        </w:rPr>
        <w:t xml:space="preserve"> </w:t>
      </w:r>
      <w:r>
        <w:rPr>
          <w:rFonts w:ascii="Times New Roman;serif" w:hAnsi="Times New Roman;serif"/>
          <w:b w:val="false"/>
          <w:color w:val="000000"/>
          <w:sz w:val="18"/>
        </w:rPr>
        <w:t xml:space="preserve">(“ASU 2023-05”) to clarify existing guidance and reduce diversity in practice in the accounting for joint ventures. ASU 2023-05 addressed the accounting for contributions made to a joint venture upon formation in a joint venture’s separate financial statements. The provisions of this ASU required that a joint venture initially measure all contributions received upon its formation at fair value, largely consistent with Accounting Standards Codification (“ASC”) Topic 805, </w:t>
      </w:r>
      <w:r>
        <w:rPr>
          <w:rFonts w:ascii="Times New Roman;serif" w:hAnsi="Times New Roman;serif"/>
          <w:b w:val="false"/>
          <w:i/>
          <w:color w:val="000000"/>
          <w:sz w:val="18"/>
        </w:rPr>
        <w:t>Business Combinations</w:t>
      </w:r>
      <w:r>
        <w:rPr>
          <w:color w:val="000000"/>
        </w:rPr>
        <w:t xml:space="preserve"> </w:t>
      </w:r>
      <w:r>
        <w:rPr>
          <w:rFonts w:ascii="Times New Roman;serif" w:hAnsi="Times New Roman;serif"/>
          <w:b w:val="false"/>
          <w:color w:val="000000"/>
          <w:sz w:val="18"/>
        </w:rPr>
        <w:t>(“ASC 805”). The amendments in this ASU were not applicable to the formation of proportionately consolidated joint ventures. ASU 2023-05 was effective prospectively for all joint ventures with a formation date on or after January 1, 2025, with early adoption permitted on a retrospective basis for joint ventures formed before January 1, 2025. The Company adopted this ASU prospectively in the first quarter of 2025, and its adoption did not have a material effect on the Company’s consolidated financial statements.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December 2023, the FASB issued ASU 2023-09, </w:t>
      </w:r>
      <w:r>
        <w:rPr>
          <w:rFonts w:ascii="Times New Roman;serif" w:hAnsi="Times New Roman;serif"/>
          <w:b w:val="false"/>
          <w:i/>
          <w:color w:val="000000"/>
          <w:sz w:val="18"/>
        </w:rPr>
        <w:t>Income Taxes (Topic 740): Improvements to Income Tax Disclosures</w:t>
      </w:r>
      <w:r>
        <w:rPr>
          <w:color w:val="000000"/>
        </w:rPr>
        <w:t xml:space="preserve"> </w:t>
      </w:r>
      <w:r>
        <w:rPr>
          <w:rFonts w:ascii="Times New Roman;serif" w:hAnsi="Times New Roman;serif"/>
          <w:b w:val="false"/>
          <w:color w:val="000000"/>
          <w:sz w:val="18"/>
        </w:rPr>
        <w:t>(“ASU 2023-09”) to enhance transparency and decision usefulness of income tax disclosures. ASU 2023-09 requires greater standardization and disaggregation of categories within an entity’s tax rate reconciliation disclosure, as well as disclosure of income taxes paid by jurisdiction, among other requirements. ASU 2023-09 is effective for annual periods beginning after December 15, 2024, with early adoption permitted. ASU 2023-09 was effective on a prospective basis, with retrospective application permitted. The Company adopted this ASU prospectively as of and for the year-ended December 31, 2025, and its adoption only impacted the Company’s disclosures, and did not have a material effect on its consolidated financial statements or results of operations. See Note 13 - Income Taxes for additional information.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Recently Issued Accounting Pronouncements Not Yet Adopted</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November 2024, the FASB issued ASU 2024-03, </w:t>
      </w:r>
      <w:r>
        <w:rPr>
          <w:rFonts w:ascii="Times New Roman;serif" w:hAnsi="Times New Roman;serif"/>
          <w:b w:val="false"/>
          <w:i/>
          <w:color w:val="000000"/>
          <w:sz w:val="18"/>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18"/>
        </w:rPr>
        <w:t xml:space="preserve">(“ASU 2024-03”) to enhance the transparency and clarity of the components of specific expense categories in the income statement. ASU 2024-03 requires disclosure of additional information about specific expense categories underlying certain income statement expense line items. In January 2025, the FASB issued ASU 2025-01, </w:t>
      </w:r>
      <w:r>
        <w:rPr>
          <w:rFonts w:ascii="Times New Roman;serif" w:hAnsi="Times New Roman;serif"/>
          <w:b w:val="false"/>
          <w:i/>
          <w:color w:val="000000"/>
          <w:sz w:val="18"/>
        </w:rPr>
        <w:t>Income Statement—Reporting Comprehensive Income—Expense Disaggregation Disclosures (Subtopic 220-40): Disaggregation of Income Statement Expenses: Clarifying the Effective Date</w:t>
      </w:r>
      <w:r>
        <w:rPr>
          <w:color w:val="000000"/>
        </w:rPr>
        <w:t xml:space="preserve"> </w:t>
      </w:r>
      <w:r>
        <w:rPr>
          <w:rFonts w:ascii="Times New Roman;serif" w:hAnsi="Times New Roman;serif"/>
          <w:b w:val="false"/>
          <w:color w:val="000000"/>
          <w:sz w:val="18"/>
        </w:rPr>
        <w:t>to clarify that all public business entities are required to adopt the guidance in annual periods beginning after December 15, 2026, and interim periods within annual periods beginning after December 15, 2027. Early adoption is permitted. The amendments in ASU 2024-03, and its related clarifying ASU, should be applied prospectively, with retrospective application permitted. The Company is currently evaluating the impact this ASU will have on its disclosures.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May 2025, the FASB issued ASU 2025-03, </w:t>
      </w:r>
      <w:r>
        <w:rPr>
          <w:rFonts w:ascii="Times New Roman;serif" w:hAnsi="Times New Roman;serif"/>
          <w:b w:val="false"/>
          <w:i/>
          <w:color w:val="000000"/>
          <w:sz w:val="18"/>
        </w:rPr>
        <w:t>Business Combinations (Topic 805) and Consolidation (Topic 810): Determining the Accounting Acquirer in the Acquisition of a Variable Interest Entity</w:t>
      </w:r>
      <w:r>
        <w:rPr>
          <w:color w:val="000000"/>
        </w:rPr>
        <w:t xml:space="preserve"> </w:t>
      </w:r>
      <w:r>
        <w:rPr>
          <w:rFonts w:ascii="Times New Roman;serif" w:hAnsi="Times New Roman;serif"/>
          <w:b w:val="false"/>
          <w:color w:val="000000"/>
          <w:sz w:val="18"/>
        </w:rPr>
        <w:t>(“ASU 2025-03”). ASU 2025-03 clarifies the guidance in determining the accounting acquirer in a business combination effected primarily by exchanging equity interests when the acquiree is a variable interest entity that meets the definition of a business. ASU 2025-03 is effective for fiscal years beginning after December 15, 2026, including interim periods within those fiscal years, with early adoption permitted. ASU 2025-03 is required to be applied prospectively to any acquisition transaction that occurs after the initial application date. The Company does not expect that this ASU will have a material effect on its consolidated financial statements.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July 2025, the FASB issued ASU 2025-05, </w:t>
      </w:r>
      <w:r>
        <w:rPr>
          <w:rFonts w:ascii="Times New Roman;serif" w:hAnsi="Times New Roman;serif"/>
          <w:b w:val="false"/>
          <w:i/>
          <w:color w:val="000000"/>
          <w:sz w:val="18"/>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18"/>
        </w:rPr>
        <w:t>(“ASU 2025-05”). ASU 2025-05 provides a practical expedient that permits an entity to assume that conditions at the balance sheet date remain unchanged over the life of the asset when estimating expected credit losses for current accounts receivable and current contract assets. ASU 2025-05 is effective for fiscal years beginning after December 15, 2025, including interim periods within those fiscal years, with early adoption permitted. The amendments in ASU 2025-05 should be applied prospectively. The Company does not expect that this ASU will have a material effect on its consolidated financial statements.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September 2025, the FASB issued ASU 2025-06, </w:t>
      </w:r>
      <w:r>
        <w:rPr>
          <w:rFonts w:ascii="Times New Roman;serif" w:hAnsi="Times New Roman;serif"/>
          <w:b w:val="false"/>
          <w:i/>
          <w:color w:val="000000"/>
          <w:sz w:val="18"/>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18"/>
        </w:rPr>
        <w:t>(“ASU 2025-06”). ASU 2025-06 modernizes the accounting for internal-use software by eliminating the previous stage-based capitalization model so that the guidance is neutral to different software development methods. ASU 2025-06 is effective for fiscal years beginning after December 15, 2027, including interim periods within those fiscal years, with early adoption permitted. The amendments in ASU 2025-06 should be applied prospectively, with retrospective application or a modified transition approach permitted. The Company is currently evaluating the impact this ASU will have on its consolidated financial statements.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December 2025, the FASB issued ASU 2025-11, </w:t>
      </w:r>
      <w:r>
        <w:rPr>
          <w:rFonts w:ascii="Times New Roman;serif" w:hAnsi="Times New Roman;serif"/>
          <w:b w:val="false"/>
          <w:i/>
          <w:color w:val="000000"/>
          <w:sz w:val="18"/>
        </w:rPr>
        <w:t xml:space="preserve">Interim Reporting (Topic 270): Narrow-Scope Improvements </w:t>
      </w:r>
      <w:r>
        <w:rPr>
          <w:rFonts w:ascii="Times New Roman;serif" w:hAnsi="Times New Roman;serif"/>
          <w:b w:val="false"/>
          <w:color w:val="000000"/>
          <w:sz w:val="18"/>
        </w:rPr>
        <w:t>(“ASU 2025-11”). ASU 2025-11 improves existing guidance within ASC Topic 270 by clarifying the scope and applicability of the standard and by providing a comprehensive list of interim disclosure requirements. ASU 2025-11 also establishes a principle to disclose events since the end of the last annual reporting period that have a material impact on the entity. ASU 2025-11 is effective for interim reporting periods within annual reporting periods beginning after December 15, 2027, with early adoption permitted. The Company is currently evaluating the impact this ASU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07645"/>
                <wp:effectExtent l="0" t="0" r="0" b="0"/>
                <wp:wrapNone/>
                <wp:docPr id="73" name="Frame71"/>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71</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Note 2 – Earnings Per Share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if their effect would be anti-dilutive.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details underlying the Company’s earnings per share calculations for the periods indicated (in thousands):</w:t>
      </w:r>
    </w:p>
    <w:tbl>
      <w:tblPr>
        <w:tblW w:w="7617" w:type="dxa"/>
        <w:jc w:val="center"/>
        <w:tblInd w:w="0" w:type="dxa"/>
        <w:tblLayout w:type="fixed"/>
        <w:tblCellMar>
          <w:top w:w="28" w:type="dxa"/>
          <w:left w:w="28" w:type="dxa"/>
          <w:bottom w:w="28" w:type="dxa"/>
          <w:right w:w="28" w:type="dxa"/>
        </w:tblCellMar>
      </w:tblPr>
      <w:tblGrid>
        <w:gridCol w:w="1221"/>
        <w:gridCol w:w="1074"/>
        <w:gridCol w:w="1079"/>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MasTec:</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income (loss) - basic and diluted </w:t>
            </w:r>
            <w:r>
              <w:rPr>
                <w:rFonts w:ascii="Times New Roman;serif" w:hAnsi="Times New Roman;serif"/>
                <w:b w:val="false"/>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Dilutive common stock equivalents </w:t>
            </w:r>
            <w:r>
              <w:rPr>
                <w:rFonts w:ascii="Times New Roman;serif" w:hAnsi="Times New Roman;serif"/>
                <w:b w:val="false"/>
                <w:color w:val="000000"/>
                <w:sz w:val="12"/>
              </w:rPr>
              <w:t>(b)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diluted</w:t>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78,694 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77,535 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Net income or loss is calculated as total net income or loss, less amounts attributable to non-controlling interests.</w:t>
      </w:r>
    </w:p>
    <w:p>
      <w:pPr>
        <w:pStyle w:val="TextBody"/>
        <w:bidi w:val="0"/>
        <w:spacing w:lineRule="auto" w:line="288" w:before="12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    For the years ended December 31, 2025, 2024 and 2023, anti-dilutive common stock equivalents totaled approximately 11,000, 16,000 and 1,100,000, respectively.</w:t>
      </w:r>
    </w:p>
    <w:p>
      <w:pPr>
        <w:pStyle w:val="TextBody"/>
        <w:bidi w:val="0"/>
        <w:spacing w:lineRule="auto" w:line="288" w:before="180" w:after="120"/>
        <w:ind w:left="0" w:right="0" w:firstLine="720"/>
        <w:jc w:val="both"/>
        <w:rPr/>
      </w:pPr>
      <w:r>
        <w:rPr>
          <w:rFonts w:ascii="Times New Roman;serif" w:hAnsi="Times New Roman;serif"/>
          <w:b/>
          <w:i/>
          <w:color w:val="000000"/>
          <w:sz w:val="18"/>
        </w:rPr>
        <w:t>Share repurchases</w:t>
      </w:r>
      <w:r>
        <w:rPr>
          <w:rFonts w:ascii="Times New Roman;serif" w:hAnsi="Times New Roman;serif"/>
          <w:b w:val="false"/>
          <w:color w:val="000000"/>
          <w:sz w:val="18"/>
        </w:rPr>
        <w:t>. For the year ended December 31, 2025, the Company repurchased 702,533 shares of its common stock, the effect of which on the Company’s weighted average shares outstanding for the related period was a reduction of approximately 539,000 shares. See Note 12 - Equity for details of the Company’s share repurchase transactions.</w:t>
      </w:r>
    </w:p>
    <w:p>
      <w:pPr>
        <w:pStyle w:val="TextBody"/>
        <w:bidi w:val="0"/>
        <w:spacing w:lineRule="auto" w:line="288" w:before="180" w:after="120"/>
        <w:ind w:left="0" w:right="0" w:firstLine="720"/>
        <w:jc w:val="both"/>
        <w:rPr/>
      </w:pPr>
      <w:r>
        <w:rPr>
          <w:rFonts w:ascii="Times New Roman;serif" w:hAnsi="Times New Roman;serif"/>
          <w:b/>
          <w:i/>
          <w:color w:val="000000"/>
          <w:sz w:val="18"/>
        </w:rPr>
        <w:t>Shares issued for acquisitions</w:t>
      </w:r>
      <w:r>
        <w:rPr>
          <w:rFonts w:ascii="Times New Roman;serif" w:hAnsi="Times New Roman;serif"/>
          <w:b w:val="false"/>
          <w:color w:val="000000"/>
          <w:sz w:val="18"/>
        </w:rPr>
        <w:t xml:space="preserve">. The Company has issued shares of its common stock in connection with certain acquisitions. In the fourth quarter of 2024, the Company issued approximately 93,000 shares in connection with the 2021 acquisition of Henkels &amp; McCoy Holdings, Inc., formerly known as Henkels &amp; McCoy Group, Inc. (“HMG”). See Note 3 - Acquisitions, Goodwill and Other Intangible Assets, Net for additional information. In 2023, the Company issued approximately 4,000 shares of its common stock in connection with the 2022 acquisition of Infrastructure and Energy Alternatives, Inc. (“IEA”).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Note 3 – Acquisitions, Goodwill and Other Intangible Assets, Net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changes in goodwill by reportable segment for the periods indicated (in millions):</w:t>
      </w:r>
    </w:p>
    <w:tbl>
      <w:tblPr>
        <w:tblW w:w="10205" w:type="dxa"/>
        <w:jc w:val="left"/>
        <w:tblInd w:w="0" w:type="dxa"/>
        <w:tblLayout w:type="fixed"/>
        <w:tblCellMar>
          <w:top w:w="28" w:type="dxa"/>
          <w:left w:w="28" w:type="dxa"/>
          <w:bottom w:w="28" w:type="dxa"/>
          <w:right w:w="28" w:type="dxa"/>
        </w:tblCellMar>
      </w:tblPr>
      <w:tblGrid>
        <w:gridCol w:w="788"/>
        <w:gridCol w:w="694"/>
        <w:gridCol w:w="696"/>
        <w:gridCol w:w="300"/>
        <w:gridCol w:w="853"/>
        <w:gridCol w:w="168"/>
        <w:gridCol w:w="109"/>
        <w:gridCol w:w="109"/>
        <w:gridCol w:w="109"/>
        <w:gridCol w:w="405"/>
        <w:gridCol w:w="1152"/>
        <w:gridCol w:w="228"/>
        <w:gridCol w:w="109"/>
        <w:gridCol w:w="109"/>
        <w:gridCol w:w="109"/>
        <w:gridCol w:w="236"/>
        <w:gridCol w:w="669"/>
        <w:gridCol w:w="131"/>
        <w:gridCol w:w="109"/>
        <w:gridCol w:w="109"/>
        <w:gridCol w:w="109"/>
        <w:gridCol w:w="325"/>
        <w:gridCol w:w="925"/>
        <w:gridCol w:w="183"/>
        <w:gridCol w:w="109"/>
        <w:gridCol w:w="109"/>
        <w:gridCol w:w="109"/>
        <w:gridCol w:w="214"/>
        <w:gridCol w:w="756"/>
        <w:gridCol w:w="174"/>
      </w:tblGrid>
      <w:tr>
        <w:trPr/>
        <w:tc>
          <w:tcPr>
            <w:tcW w:w="78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Clean Energy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Power Delivery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Pipeline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Goodwill</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Goodwill, gross, as of December 31, 2023 </w:t>
            </w:r>
            <w:r>
              <w:rPr>
                <w:rFonts w:ascii="Times New Roman;serif" w:hAnsi="Times New Roman;serif"/>
                <w:b w:val="false"/>
                <w:color w:val="000000"/>
                <w:sz w:val="12"/>
              </w:rPr>
              <w:t>(a)</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Accumulated impairment loss </w:t>
            </w:r>
            <w:r>
              <w:rPr>
                <w:rFonts w:ascii="Times New Roman;serif" w:hAnsi="Times New Roman;serif"/>
                <w:b w:val="false"/>
                <w:color w:val="000000"/>
                <w:sz w:val="12"/>
              </w:rPr>
              <w:t>(b)</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Goodwill, net, as of December 31, 2023 </w:t>
            </w:r>
            <w:r>
              <w:rPr>
                <w:rFonts w:ascii="Times New Roman;serif" w:hAnsi="Times New Roman;serif"/>
                <w:b w:val="false"/>
                <w:color w:val="000000"/>
                <w:sz w:val="12"/>
              </w:rPr>
              <w:t>(a)</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from new business combinations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Measurement period adjustments </w:t>
            </w:r>
            <w:r>
              <w:rPr>
                <w:rFonts w:ascii="Times New Roman;serif" w:hAnsi="Times New Roman;serif"/>
                <w:b w:val="false"/>
                <w:color w:val="000000"/>
                <w:sz w:val="12"/>
              </w:rPr>
              <w:t>(c)</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Goodwill, net, as of December 31, 2024 </w:t>
            </w:r>
            <w:r>
              <w:rPr>
                <w:rFonts w:ascii="Times New Roman;serif" w:hAnsi="Times New Roman;serif"/>
                <w:b w:val="false"/>
                <w:color w:val="000000"/>
                <w:sz w:val="12"/>
              </w:rPr>
              <w:t>(a)</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from new business combinations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Measurement period adjustments </w:t>
            </w:r>
            <w:r>
              <w:rPr>
                <w:rFonts w:ascii="Times New Roman;serif" w:hAnsi="Times New Roman;serif"/>
                <w:b w:val="false"/>
                <w:color w:val="000000"/>
                <w:sz w:val="12"/>
              </w:rPr>
              <w:t>(c)</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December 31, 2025</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Accumulated impairment loss </w:t>
            </w:r>
            <w:r>
              <w:rPr>
                <w:rFonts w:ascii="Times New Roman;serif" w:hAnsi="Times New Roman;serif"/>
                <w:b w:val="false"/>
                <w:color w:val="000000"/>
                <w:sz w:val="12"/>
              </w:rPr>
              <w:t>(b)</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gross, as of December 31, 2025</w:t>
            </w:r>
          </w:p>
        </w:tc>
        <w:tc>
          <w:tcPr>
            <w:tcW w:w="3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767.5 </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642.6 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2,364.3 </w:t>
            </w:r>
          </w:p>
        </w:tc>
        <w:tc>
          <w:tcPr>
            <w:tcW w:w="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Recast to reflect 2025 segment changes. See Note 14 - Segments and Related Information for additional information.</w:t>
      </w:r>
    </w:p>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    Accumulated impairment loss includes the effects of currency translation gains and/or losses.</w:t>
      </w:r>
    </w:p>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(c)    Measurement period adjustments represent adjustments, net, to preliminary estimates of fair value within the measurement period of up to one year from the date of acquisition. Measurement period adjustments, net, for the year ended December 31, 2025 were primarily the result of net working capital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605" cy="14605"/>
                <wp:effectExtent l="0" t="0" r="0" b="0"/>
                <wp:wrapNone/>
                <wp:docPr id="74" name="Frame7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72</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8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changes in other intangible assets, net, for the periods indicated (in millions):</w:t>
      </w:r>
    </w:p>
    <w:tbl>
      <w:tblPr>
        <w:tblW w:w="10205" w:type="dxa"/>
        <w:jc w:val="left"/>
        <w:tblInd w:w="0" w:type="dxa"/>
        <w:tblLayout w:type="fixed"/>
        <w:tblCellMar>
          <w:top w:w="28" w:type="dxa"/>
          <w:left w:w="28" w:type="dxa"/>
          <w:bottom w:w="28" w:type="dxa"/>
          <w:right w:w="28" w:type="dxa"/>
        </w:tblCellMar>
      </w:tblPr>
      <w:tblGrid>
        <w:gridCol w:w="1277"/>
        <w:gridCol w:w="1124"/>
        <w:gridCol w:w="1128"/>
        <w:gridCol w:w="517"/>
        <w:gridCol w:w="1827"/>
        <w:gridCol w:w="289"/>
        <w:gridCol w:w="109"/>
        <w:gridCol w:w="109"/>
        <w:gridCol w:w="109"/>
        <w:gridCol w:w="284"/>
        <w:gridCol w:w="805"/>
        <w:gridCol w:w="157"/>
        <w:gridCol w:w="109"/>
        <w:gridCol w:w="109"/>
        <w:gridCol w:w="109"/>
        <w:gridCol w:w="196"/>
        <w:gridCol w:w="466"/>
        <w:gridCol w:w="109"/>
        <w:gridCol w:w="109"/>
        <w:gridCol w:w="109"/>
        <w:gridCol w:w="109"/>
        <w:gridCol w:w="196"/>
        <w:gridCol w:w="691"/>
        <w:gridCol w:w="158"/>
      </w:tblGrid>
      <w:tr>
        <w:trPr/>
        <w:tc>
          <w:tcPr>
            <w:tcW w:w="127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Intangible Assets, Net</w:t>
            </w:r>
          </w:p>
        </w:tc>
      </w:tr>
      <w:tr>
        <w:trPr/>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Relationships and Backlog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Trade Names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Other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gross, as of December 31, 2023</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1,096.6 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as of December 31, 2023</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from new business combinations</w:t>
            </w:r>
          </w:p>
        </w:tc>
        <w:tc>
          <w:tcPr>
            <w:tcW w:w="2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3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as of December 31, 2024</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from new business combinations</w:t>
            </w:r>
          </w:p>
        </w:tc>
        <w:tc>
          <w:tcPr>
            <w:tcW w:w="2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3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as of December 31, 2025</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weighted average amortization, in years</w:t>
            </w:r>
          </w:p>
        </w:tc>
        <w:tc>
          <w:tcPr>
            <w:tcW w:w="263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r>
    </w:tbl>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Includes approximately $34.5 million of a non-amortizing trade name as of December 31, 2023. In 2024, management reassessed the indefinite-life classification of its $34.5 million non-amortizing trade name intangible asset. Management determined that, based on changes in the asset’s characteristics, a finite-life classification for this asset was more appropriate. As a result, the Company changed the classification of this intangible asset from indefinite-lived to finite-lived and began amortizing it in the fourth quarter of 2024, at which time its estimated remaining useful life was approximately 12 years.</w:t>
      </w:r>
    </w:p>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    Consists principally of pre-qualifications and non-compete agreements. Additions for the year ended December 31, 2025 related to the 2025 asset acquisition included within the Company’s Pipeline Infrastructure segment.</w:t>
      </w:r>
    </w:p>
    <w:p>
      <w:pPr>
        <w:pStyle w:val="TextBody"/>
        <w:bidi w:val="0"/>
        <w:spacing w:lineRule="auto" w:line="288" w:before="180" w:after="120"/>
        <w:jc w:val="both"/>
        <w:rPr>
          <w:rFonts w:ascii="Times New Roman;serif" w:hAnsi="Times New Roman;serif"/>
          <w:b w:val="false"/>
          <w:color w:val="000000"/>
          <w:sz w:val="18"/>
        </w:rPr>
      </w:pPr>
      <w:r>
        <w:rPr>
          <w:rFonts w:ascii="Times New Roman;serif" w:hAnsi="Times New Roman;serif"/>
          <w:b w:val="false"/>
          <w:color w:val="000000"/>
          <w:sz w:val="18"/>
        </w:rPr>
        <w:t>Expected future amortization expense as of December 31, 2025 is summarized in the following table (in millions):</w:t>
      </w:r>
    </w:p>
    <w:tbl>
      <w:tblPr>
        <w:tblW w:w="2716" w:type="dxa"/>
        <w:jc w:val="left"/>
        <w:tblInd w:w="0" w:type="dxa"/>
        <w:tblLayout w:type="fixed"/>
        <w:tblCellMar>
          <w:top w:w="28" w:type="dxa"/>
          <w:left w:w="28" w:type="dxa"/>
          <w:bottom w:w="28" w:type="dxa"/>
          <w:right w:w="28" w:type="dxa"/>
        </w:tblCellMar>
      </w:tblPr>
      <w:tblGrid>
        <w:gridCol w:w="304"/>
        <w:gridCol w:w="267"/>
        <w:gridCol w:w="270"/>
        <w:gridCol w:w="405"/>
        <w:gridCol w:w="1150"/>
        <w:gridCol w:w="320"/>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Amortization</w:t>
            </w:r>
            <w:r>
              <w:rPr>
                <w:color w:val="000000"/>
              </w:rPr>
              <w:t xml:space="preserve"> </w:t>
            </w:r>
            <w:r>
              <w:rPr>
                <w:rFonts w:ascii="Times New Roman;serif" w:hAnsi="Times New Roman;serif"/>
                <w:b/>
                <w:color w:val="000000"/>
                <w:sz w:val="18"/>
              </w:rPr>
              <w:t>Expense</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656.2 </w:t>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Recent Acquisitions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seeks to grow and diversify its business both organically and through acquisitions and/or strategic arrangements in order to deepen its market presence and customer base, broaden its geographic reach and expand its service offerings. Acquisitions are funded with cash on hand, borrowings under the Company’s senior unsecured credit facility and other debt financing and, for certain acquisitions, with shares of the Company’s common stock, and are generally subject to customary purchase price adjustments. The goodwill balances for each of the respective acquisitions represent the estimated values of each acquired company’s geographic presence in key markets, assembled workforce, synergies expected to be achieved from the combined operations of each of the acquired companies and MasTec, as well as the acquired company’s industry-specific project management expertise.</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Q1 2026 Acquisitions. </w:t>
      </w:r>
      <w:r>
        <w:rPr>
          <w:rFonts w:ascii="Times New Roman;serif" w:hAnsi="Times New Roman;serif"/>
          <w:b w:val="false"/>
          <w:color w:val="000000"/>
          <w:sz w:val="18"/>
        </w:rPr>
        <w:t>Subsequent to December 31, 2025, MasTec acquired 86% of the equity interest of an infrastructure services company that specializes in water and wastewater distribution networks in the south central region of the United States, which will be included within the Company’s Clean Energy and Infrastructure segment, effective in January. MasTec has the option to acquire the remaining noncontrolling interest in the entity following the third anniversary of the consummation date. The aggregate purchase price of this acquisition was $262 million and consisted of cash paid or payable on the date of the acquisition. The final amount of consideration for this acquisition remains subject to certain post-closing adjustments, including with respect to net working capital, tax estimates and other contractually agreed-upon adjustments to consideration. The Company accounted for the acquisition of the ownership interest as a business combination in accordance with ASC 805 and will consolidate the results of this entity in its consolidated financial statements. The preliminary fair value of the noncontrolling interest is estimated at $42 million, and is based on the price MasTec paid for its 86% controlling interest. The Company is in the process of performing procedures to determine the fair value of assets acquired and liabilities assumed related to this acquisition, and will include the preliminary purchase price allocations in its Quarterly Report on Form 10-Q for the quarterly period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07645"/>
                <wp:effectExtent l="0" t="0" r="0" b="0"/>
                <wp:wrapNone/>
                <wp:docPr id="75" name="Frame7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73</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18"/>
        </w:rPr>
        <w:t xml:space="preserve">2025 Acquisitions. </w:t>
      </w:r>
      <w:r>
        <w:rPr>
          <w:rFonts w:ascii="Times New Roman;serif" w:hAnsi="Times New Roman;serif"/>
          <w:b w:val="false"/>
          <w:color w:val="000000"/>
          <w:sz w:val="18"/>
        </w:rPr>
        <w:t>During 2025, MasTec acquired all of the equity interests of the following: (i) within the Company’s Communications segment: a telecommunications construction company, effective in July; (ii) within the Company’s Pipeline Infrastructure segment: a construction company specializing in roadway infrastructure, effective in August; and (iii) within the Company’s Clean Energy and Infrastructure segment: a construction company specializing in construction management and design-build services, effective in December. Additionally, MasTec acquired certain operations and assets of a business specializing in install-to-the-home services included within the Company’s Communications segment, effective in November. Determination of the estimated fair values of net assets acquired and consideration transferred for these acquisitions, which have been accounted for as business combinations under ASC 805, was preliminary as of December 31, 2025; as a result, further adjustments to these estimates may occur. The Company expects to finalize the valuation and complete the purchase price consideration allocation no later than one year from the acquisition date.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effective in July, MasTec acquired certain of the assets of an equipment company, which is accounted for as an asset acquisition under ASC 805 and included within the Company’s Pipeline Infrastructure segment.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aggregate purchase price of the Company’s 2025 acquisitions was composed of approximately $87 million, in cash, net of cash acquired, and a five year earn-out liability valued at approximately $13 million primarily with respect to one of such acquisitions. As of December 31, 2025, the remaining potential undiscounted earn-out liabilities for the 2025 acquisitions was estimated to be up to $20 million; however, there is no maximum payment amount. See Note 4 - Fair Value of Financial Instruments for fair value estimates and other details related to the Company’s earn-out arrangements. Approximately $33 million of the goodwill balance related to the 2025 acquisitions is expected to be tax deductible as of December 31, 2025.</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2024 Acquisitions. </w:t>
      </w:r>
      <w:r>
        <w:rPr>
          <w:rFonts w:ascii="Times New Roman;serif" w:hAnsi="Times New Roman;serif"/>
          <w:b w:val="false"/>
          <w:color w:val="000000"/>
          <w:sz w:val="18"/>
        </w:rPr>
        <w:t xml:space="preserve">During 2024, MasTec completed three acquisitions, which included all of the equity interests of a construction company focused on underground utility infrastructure for industrial and municipal projects, with expertise in data center utility systems, which acquisition is included within the Company’s Power Delivery segment, and was effective in July; the acquisition of certain operations of a heavy civil contractor specializing in transportation projects, which acquisition is included within the Company’s Clean Energy and Infrastructure segment and was effective in October; and effective in December, the acquisition of the equity interests of a company focused on pipeline infrastructure and heavy civil projects, which acquisition is included within the Company’s Pipeline Infrastructure segment.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aggregate purchase price of the Company’s 2024 acquisitions was composed of approximately $88 million in cash, net of cash acquired, and a five year earn-out liability valued at approximately $56 million with respect to one of such acquisitions. In connection with the acquisition within the Company’s Pipeline Infrastructure segment, MasTec acquired 60% of the equity interest of the company in exchange for consideration transferred of cash and a 40% equity interest in a MasTec Canadian subsidiary. Determination of the estimated fair values of net assets acquired and consideration transferred for these acquisitions, which have been accounted for as business combinations under ASC 805, was complete as of December 31, 2025. As of December 31, 2025, the remaining potential undiscounted earn-out liabilities for the 2024 acquisitions was estimated to be up to $27 million; however, there is no maximum payment amount. See Note 4 - Fair Value of Financial Instruments for fair value estimates and other details related to the Company’s earn-out arrangements. Approximately $47 million of the goodwill balance related to the 2024 acquisitions is expected to be tax deductible as of December 31, 2025.</w:t>
      </w:r>
    </w:p>
    <w:p>
      <w:pPr>
        <w:pStyle w:val="TextBody"/>
        <w:bidi w:val="0"/>
        <w:spacing w:lineRule="auto" w:line="288" w:before="120" w:after="120"/>
        <w:ind w:left="0" w:right="0" w:firstLine="720"/>
        <w:jc w:val="both"/>
        <w:rPr/>
      </w:pPr>
      <w:r>
        <w:rPr>
          <w:rFonts w:ascii="Times New Roman;serif" w:hAnsi="Times New Roman;serif"/>
          <w:b/>
          <w:i/>
          <w:color w:val="000000"/>
          <w:sz w:val="18"/>
        </w:rPr>
        <w:t>2023 Acquisitions.</w:t>
      </w:r>
      <w:r>
        <w:rPr>
          <w:color w:val="000000"/>
        </w:rPr>
        <w:t xml:space="preserve"> </w:t>
      </w:r>
      <w:r>
        <w:rPr>
          <w:rFonts w:ascii="Times New Roman;serif" w:hAnsi="Times New Roman;serif"/>
          <w:b w:val="false"/>
          <w:color w:val="000000"/>
          <w:sz w:val="18"/>
        </w:rPr>
        <w:t>During 2023, MasTec completed four acquisitions, including the acquisition of certain assets of a telecommunications company specializing in wireless services, which acquisition was included within the Company’s Communications segment, and was effective in January; and, effective in July, the acquisition of the equity interests of a telecommunications construction company specializing in broadband and fiber-to-the-home initiatives in the New England area, which acquisition was included within the Company’s Communications segment. Additionally, effective in May 2023, MasTec acquired certain of the equity interests of two equipment companies which were accounted for as asset acquisitions under ASC 805 and were included within the Company’s Pipeline Infrastructure segment. In the fourth quarter of 2023, the Company sold certain of the equity interests of these equipment companies to members of subsidiary management. See Note 16 - Related Party Transactions. Based on an evaluation of the respective entities’ operating agreements, the Company determined that these entities are not VIEs; however, given that the Company has voting control with respect to the entities, the Company has consolidated these entities within the Company’s results of operations, with the other parties’ interests accounted for as non-controlling interests.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aggregate purchase price of the Company’s 2023 acquisitions was composed of $70 million in cash, net of cash acquired, and an earn-out liability valued at $1 million. As of December 31, 2025, the remaining potential undiscounted earn-out liabilities for the 2023 acquisitions was estimated to be up to $0.3 million; however, there is no maximum payment amount. See Note 4 - Fair Value of Financial Instruments for fair value estimates and other details related to the Company’s earn-out arrangements. Approximately $41 million of the goodwill balance related to the 2023 acquisitions is expected to be tax deductible as of December 31, 2025.</w:t>
      </w:r>
    </w:p>
    <w:p>
      <w:pPr>
        <w:pStyle w:val="TextBody"/>
        <w:bidi w:val="0"/>
        <w:spacing w:lineRule="auto" w:line="288" w:before="120" w:after="120"/>
        <w:ind w:left="0" w:right="0" w:firstLine="720"/>
        <w:jc w:val="both"/>
        <w:rPr/>
      </w:pPr>
      <w:r>
        <w:rPr>
          <w:rFonts w:ascii="Times New Roman;serif" w:hAnsi="Times New Roman;serif"/>
          <w:b/>
          <w:i/>
          <w:color w:val="000000"/>
          <w:sz w:val="18"/>
        </w:rPr>
        <w:t>HMG Additional Payments</w:t>
      </w:r>
      <w:r>
        <w:rPr>
          <w:rFonts w:ascii="Times New Roman;serif" w:hAnsi="Times New Roman;serif"/>
          <w:b w:val="false"/>
          <w:color w:val="000000"/>
          <w:sz w:val="18"/>
        </w:rPr>
        <w:t xml:space="preserve">. The 2021 HMG purchase agreement provides for certain additional payments to be made to the sellers if certain receivables are collected by the Company (the “Additional Payments”). Pursuant to the terms of the purchase agreement, a portion of the Additional Payments will be made in cash, with the remainder due in shares of MasTec common stock. The estimated number of potential shares that could be issued related to such Additional Payments will be based on the amounts ultimately collected and the share price as defined within the purchase agreement. Changes in the estimated fair value of potential shares that could be issued, which result from changes in MasTec’s share price as compared with the share price as defined within the purchase agreement, are reflected as unrealized gains or losses within other income or expense, as appropriate. As of December 31, 2025 and 2024, the estimated fair value of remaining Additional Payments totaled approximately $18 million and $14 million, respectively, which amounts are included within other current liabilities in the consolidated balance sheet. In November 2024, the Company made Additional Payments of approximately $26 million, which were composed of cash payments of approximately $12 million, and are reflected within financing activities in the consolidated statement of cash flows, and MasTec common stock totaling approximately 93,000 shares. For the years ended December 31, 2025 and 2024, fair value adjustments related to the contingent shares totaled losses of approximately $4.1 million and $5.5 million, respectively, and for the year ended December 31, 2023, fair value adjustments related to the contingent shares totaled gains of approximately $1.3 million. The estimated number of shares that would be paid in connection with the remaining Additional Payment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07645"/>
                <wp:effectExtent l="0" t="0" r="0" b="0"/>
                <wp:wrapNone/>
                <wp:docPr id="76" name="Frame74"/>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74</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totaled approximately 50,000 shares as of both December 31, 2025 and 2024, respectively. The effect of the above referenced shares on the Company’s earnings per share calculations was immaterial.</w:t>
      </w:r>
    </w:p>
    <w:p>
      <w:pPr>
        <w:pStyle w:val="TextBody"/>
        <w:bidi w:val="0"/>
        <w:spacing w:lineRule="auto" w:line="288" w:before="120" w:after="120"/>
        <w:ind w:left="0" w:right="0" w:firstLine="720"/>
        <w:jc w:val="both"/>
        <w:rPr/>
      </w:pPr>
      <w:r>
        <w:rPr>
          <w:rFonts w:ascii="Times New Roman;serif" w:hAnsi="Times New Roman;serif"/>
          <w:b/>
          <w:i/>
          <w:color w:val="000000"/>
          <w:sz w:val="18"/>
        </w:rPr>
        <w:t>Pro forma results</w:t>
      </w:r>
      <w:r>
        <w:rPr>
          <w:rFonts w:ascii="Times New Roman;serif" w:hAnsi="Times New Roman;serif"/>
          <w:b w:val="false"/>
          <w:color w:val="000000"/>
          <w:sz w:val="18"/>
        </w:rPr>
        <w:t>. The Company’s unaudited pro forma financial results include the results of operations of acquired companies as if those companies had been 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unaudited supplemental pro forma results for the periods indicated (in millions):</w:t>
      </w:r>
    </w:p>
    <w:tbl>
      <w:tblPr>
        <w:tblW w:w="5337" w:type="dxa"/>
        <w:jc w:val="left"/>
        <w:tblInd w:w="0" w:type="dxa"/>
        <w:tblLayout w:type="fixed"/>
        <w:tblCellMar>
          <w:top w:w="28" w:type="dxa"/>
          <w:left w:w="28" w:type="dxa"/>
          <w:bottom w:w="28" w:type="dxa"/>
          <w:right w:w="28" w:type="dxa"/>
        </w:tblCellMar>
      </w:tblPr>
      <w:tblGrid>
        <w:gridCol w:w="499"/>
        <w:gridCol w:w="439"/>
        <w:gridCol w:w="442"/>
        <w:gridCol w:w="196"/>
        <w:gridCol w:w="781"/>
        <w:gridCol w:w="109"/>
        <w:gridCol w:w="109"/>
        <w:gridCol w:w="109"/>
        <w:gridCol w:w="109"/>
        <w:gridCol w:w="196"/>
        <w:gridCol w:w="781"/>
        <w:gridCol w:w="109"/>
        <w:gridCol w:w="109"/>
        <w:gridCol w:w="109"/>
        <w:gridCol w:w="109"/>
        <w:gridCol w:w="196"/>
        <w:gridCol w:w="781"/>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unaudited pro forma financial results were prepared by adding the unaudited historical results of acquired businesses to the historical results of MasTec, and then adjusting those combined results for (i) acquisition costs; (ii) amortization expense from acquired intangible assets; (iii) interest expense from cash consideration paid; (iv) interest expense from debt repaid upon acquisition; and (iv) other purchase accounting related adjustments. These unaudited pro forma financial results do not include adjustments to reflect other cost savings or synergies that may have resulted from these acquisitions. Future results may vary significantly due to future events and other factors, many of which are beyond the Company’s control.</w:t>
      </w:r>
    </w:p>
    <w:p>
      <w:pPr>
        <w:pStyle w:val="TextBody"/>
        <w:bidi w:val="0"/>
        <w:spacing w:lineRule="auto" w:line="288" w:before="120" w:after="120"/>
        <w:ind w:left="0" w:right="0" w:firstLine="720"/>
        <w:jc w:val="both"/>
        <w:rPr/>
      </w:pPr>
      <w:r>
        <w:rPr>
          <w:rFonts w:ascii="Times New Roman;serif" w:hAnsi="Times New Roman;serif"/>
          <w:b/>
          <w:i/>
          <w:color w:val="000000"/>
          <w:sz w:val="18"/>
        </w:rPr>
        <w:t>Acquisition-related results</w:t>
      </w:r>
      <w:r>
        <w:rPr>
          <w:rFonts w:ascii="Times New Roman;serif" w:hAnsi="Times New Roman;serif"/>
          <w:b w:val="false"/>
          <w:color w:val="000000"/>
          <w:sz w:val="18"/>
        </w:rPr>
        <w:t>. The Company defines “acquisition-related” results as results from acquired businesses for the first twelve months following the dates of the respective acquisitions. For the years ended December 31, 2025, 2024 and 2023, the Company’s consolidated results of operations included acquisition-related revenue of approximately $166.4 million, $42.8 million and $1,546.3 million, respectively. Acquisition-related revenue for the year ended December 31, 2023 included approximately $1,374.6 million for IEA. For both the years ended December 31, 2025 and 2024, acquisition-related net income was immaterial, and for the year ended December 31, 2023, the Company’s consolidated results of operations included acquisition-related net losses of approximately $40.0 million, based on the Company’s consolidated effective tax rates. These acquisition-related results include amortization of acquired intangible assets and certain acquisition integration costs, and exclude the effects of interest expense associated with consideration paid for the related acquisitions.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Revenue and net income from the Company’s 2025 acquisitions included within the Company’s consolidated results of operations for the year ended December 31, 2025 were immaterial.</w:t>
      </w:r>
    </w:p>
    <w:p>
      <w:pPr>
        <w:pStyle w:val="TextBody"/>
        <w:bidi w:val="0"/>
        <w:spacing w:lineRule="auto" w:line="288" w:before="120" w:after="120"/>
        <w:ind w:left="0" w:right="0" w:firstLine="720"/>
        <w:jc w:val="both"/>
        <w:rPr/>
      </w:pPr>
      <w:r>
        <w:rPr>
          <w:rFonts w:ascii="Times New Roman;serif" w:hAnsi="Times New Roman;serif"/>
          <w:b/>
          <w:i/>
          <w:color w:val="000000"/>
          <w:sz w:val="18"/>
        </w:rPr>
        <w:t>Acquisition and integration costs</w:t>
      </w:r>
      <w:r>
        <w:rPr>
          <w:rFonts w:ascii="Times New Roman;serif" w:hAnsi="Times New Roman;serif"/>
          <w:b w:val="false"/>
          <w:color w:val="000000"/>
          <w:sz w:val="18"/>
        </w:rPr>
        <w:t>. For the year ended December 31, 2025, the Company incurred approximately $4 million of acquisition costs, and for both the years ended December 31, 2024 and 2023, the Company incurred approximately $3 million of such costs, which are included within general and administrative expenses.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2021, the Company initiated a significant transformation of its end-market business operations to position the Company for expected future growth opportunities. This transformation included significant business combination activity, including expansion of the Company’s scale and capacity in renewable energy, power delivery, heavy civil and telecommunications services, which activity resulted in significant acquisition and integration costs in prior periods. These acquisition and integration activities were completed in the fourth quarter of 2023. Acquisition and integration costs for the year ended December 31, 2023 totaled approximately $71.9 million, of which $64.1 million was included within general and administrative expenses and $7.8 million was included within costs of revenue, excluding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4 – Fair Value of Financial Instruments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Acquisition-Related Contingent Consideration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Acquisition-related contingent consideration is composed of earn-outs, which represent the estimated fair value of future amounts payable for businesses, which the Company refers to as “Earn-outs,” that are contingent upon the acquired businesses achieving certain levels of earnings in the future.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as of December 31, 2025, ranged from 10.5% to 14.3%, with a weighted average rate of 11.1% based on the relative fair value of the respective Earn-out liabilities, and probability-weighted projections of EBITDA. Significant changes in any of these assumptions could result in significantly higher or lower estimated Earn-out liabilities. The ultimate payment amounts for the Company’s Earn-out liabilities will be determined based on the actual results achieved by the acquired businesses. As of December 31, 2025, the range of potential undiscounted Earn-out liabilities was estimated to be between $21 million and $88 million; however, there is no maximum payment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07645"/>
                <wp:effectExtent l="0" t="0" r="0" b="0"/>
                <wp:wrapNone/>
                <wp:docPr id="77" name="Frame75"/>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75</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Earn-out activity consists primarily of additions from new business combinations; changes in the expected fair value of future payment obligations; and payments. The following table, which may contain slight summation differences due to rounding, provides a reconciliation of changes in Earn-out liabilities measured at fair value for the periods indicated (in millions):</w:t>
      </w:r>
    </w:p>
    <w:tbl>
      <w:tblPr>
        <w:tblW w:w="5982" w:type="dxa"/>
        <w:jc w:val="left"/>
        <w:tblInd w:w="0" w:type="dxa"/>
        <w:tblLayout w:type="fixed"/>
        <w:tblCellMar>
          <w:top w:w="28" w:type="dxa"/>
          <w:left w:w="28" w:type="dxa"/>
          <w:bottom w:w="28" w:type="dxa"/>
          <w:right w:w="28" w:type="dxa"/>
        </w:tblCellMar>
      </w:tblPr>
      <w:tblGrid>
        <w:gridCol w:w="977"/>
        <w:gridCol w:w="860"/>
        <w:gridCol w:w="863"/>
        <w:gridCol w:w="196"/>
        <w:gridCol w:w="556"/>
        <w:gridCol w:w="109"/>
        <w:gridCol w:w="109"/>
        <w:gridCol w:w="109"/>
        <w:gridCol w:w="109"/>
        <w:gridCol w:w="196"/>
        <w:gridCol w:w="556"/>
        <w:gridCol w:w="109"/>
        <w:gridCol w:w="109"/>
        <w:gridCol w:w="109"/>
        <w:gridCol w:w="109"/>
        <w:gridCol w:w="196"/>
        <w:gridCol w:w="55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beginning of period </w:t>
            </w:r>
            <w:r>
              <w:rPr>
                <w:rFonts w:ascii="Times New Roman;serif" w:hAnsi="Times New Roman;serif"/>
                <w:b w:val="false"/>
                <w:color w:val="000000"/>
                <w:sz w:val="12"/>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Fair value adjustments</w:t>
            </w:r>
            <w:r>
              <w:rPr>
                <w:color w:val="000000"/>
              </w:rPr>
              <w:t xml:space="preserve"> </w:t>
            </w:r>
            <w:r>
              <w:rPr>
                <w:rFonts w:ascii="Times New Roman;serif" w:hAnsi="Times New Roman;serif"/>
                <w:b w:val="false"/>
                <w:color w:val="000000"/>
                <w:sz w:val="12"/>
              </w:rPr>
              <w:t>(b)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end of period </w:t>
            </w:r>
            <w:r>
              <w:rPr>
                <w:rFonts w:ascii="Times New Roman;serif" w:hAnsi="Times New Roman;serif"/>
                <w:b w:val="false"/>
                <w:color w:val="000000"/>
                <w:sz w:val="12"/>
              </w:rPr>
              <w:t>(a)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(a)Earn-out liabilities included within other current liabilities totaled approximately $28.2 million and $70.0 million as of December 31, 2025 and 2024, respectively.</w:t>
      </w:r>
    </w:p>
    <w:p>
      <w:pPr>
        <w:pStyle w:val="TextBody"/>
        <w:bidi w:val="0"/>
        <w:spacing w:lineRule="auto" w:line="288" w:before="12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(b)For the year ended December 31, 2025, fair value adjustments related primarily to decreases within the Power Delivery segment, which were partially offset by increases primarily within the Pipeline Infrastructure segment. For the year ended December 31, 2024, fair value adjustments related primarily to increases within the Clean Energy and Infrastructure, Power Delivery and Pipeline Infrastructure segments, which were partially offset by decreases related to acquisitions within the Communications segment. For the year ended December 31, 2023, fair value adjustments related primarily to decreases within the Communications segment, which were partially offset by net increases, primarily within the Clean Energy and Infrastructure and Power Delivery segments. The decrease in the Communications segment for the year ended December 31, 2023 included a reduction of approximately $12.3 million related to mandatorily redeemable non-controlling interests. In 2023, the Company acquired the remaining interests of an entity with which it had a mandatorily redeemable non-controlling interest arrangement.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Equity Investments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equity investments as of December 31, 2025 include the Company’s: (i) 33% equity interests in Trans-Pecos Pipeline, LLC and Comanche Trail Pipeline, LLC, collectively “Waha JVs”; (ii) 15% equity interest in Cross Country Infrastructure Services, Inc. (“CCI”); (iii) 50% equity interests in each of FM Technology Holdings, LLC, FM USA Holdings, LLC and All Communications Solutions Holdings, LLC, collectively “FM Tech”; (iv) interests in certain proportionately consolidated non-controlled joint ventures; and (v) certain other equity investments.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the fourth quarter of 2025, the Company acquired a 15% interest in a battery recycling company, which is accounted for as an equity method investment, through the conversion of approximately $49 million of outstanding accounts receivable. The effect of this transaction is excluded from investing activities in the Company’s consolidated statements of cash flows given its non-cash nature. The fair value of the 15% equity interest received represented the carrying value of the accounts receivable at conversion, and accordingly no gain or loss was recognized.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December 31, 2025 and 2024, the aggregate carrying value of the Company’s equity investments, which are recorded within other long-term assets in the consolidated balance sheets, totaled approximately $377 million and $330 million, respectively. As of December 31, 2025 and 2024, equity investments measured on an adjusted cost basis, including the Company’s $15 million investment in CCI, totaled approximately $19 million and $18 million, respectively. Except for one investment for which the Company recorded an impairment loss totaling approximately $3 million during the year ended December 31, 2023, there were no impairments related to these investments in any of the years ended December 31, 2025, 2024 or 2023.</w:t>
      </w:r>
    </w:p>
    <w:p>
      <w:pPr>
        <w:pStyle w:val="TextBody"/>
        <w:bidi w:val="0"/>
        <w:spacing w:lineRule="auto" w:line="288" w:before="120" w:after="120"/>
        <w:ind w:left="0" w:right="0" w:firstLine="720"/>
        <w:jc w:val="both"/>
        <w:rPr/>
      </w:pPr>
      <w:r>
        <w:rPr>
          <w:rFonts w:ascii="Times New Roman;serif" w:hAnsi="Times New Roman;serif"/>
          <w:b/>
          <w:i/>
          <w:color w:val="000000"/>
          <w:sz w:val="18"/>
        </w:rPr>
        <w:t>The Waha JVs.</w:t>
      </w:r>
      <w:r>
        <w:rPr>
          <w:color w:val="000000"/>
        </w:rPr>
        <w:t xml:space="preserve"> </w:t>
      </w:r>
      <w:r>
        <w:rPr>
          <w:rFonts w:ascii="Times New Roman;serif" w:hAnsi="Times New Roman;serif"/>
          <w:b w:val="false"/>
          <w:color w:val="000000"/>
          <w:sz w:val="18"/>
        </w:rPr>
        <w:t>The Waha JVs own and operate certain pipeline infrastructure in the U.S. that transports natural gas to the Mexico border for export. The Company’s investments in the Waha JVs are accounted for as equity method investments. Cumulative undistributed earnings from the Waha JVs, which represents cumulative equity in earnings for the Waha JVs less distributions of earnings, totaled $146.8 million as of December 31, 2025. The Company’s net investment in the Waha JVs, which differs from its proportionate share of the net assets of the Waha JVs due primarily to equity method goodwill associated with capitalized investment costs, totaled approximately $290 million and $287 million as of December 31, 2025 and 2024, respectively. The table below reflects the investment activity of the Waha JVs for the dates indicated (in millions):</w:t>
      </w:r>
    </w:p>
    <w:tbl>
      <w:tblPr>
        <w:tblW w:w="5097" w:type="dxa"/>
        <w:jc w:val="left"/>
        <w:tblInd w:w="0" w:type="dxa"/>
        <w:tblLayout w:type="fixed"/>
        <w:tblCellMar>
          <w:top w:w="28" w:type="dxa"/>
          <w:left w:w="28" w:type="dxa"/>
          <w:bottom w:w="28" w:type="dxa"/>
          <w:right w:w="28" w:type="dxa"/>
        </w:tblCellMar>
      </w:tblPr>
      <w:tblGrid>
        <w:gridCol w:w="755"/>
        <w:gridCol w:w="662"/>
        <w:gridCol w:w="668"/>
        <w:gridCol w:w="196"/>
        <w:gridCol w:w="466"/>
        <w:gridCol w:w="109"/>
        <w:gridCol w:w="109"/>
        <w:gridCol w:w="109"/>
        <w:gridCol w:w="109"/>
        <w:gridCol w:w="196"/>
        <w:gridCol w:w="466"/>
        <w:gridCol w:w="109"/>
        <w:gridCol w:w="109"/>
        <w:gridCol w:w="109"/>
        <w:gridCol w:w="109"/>
        <w:gridCol w:w="196"/>
        <w:gridCol w:w="46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Equity in earnings </w:t>
            </w:r>
            <w:r>
              <w:rPr>
                <w:rFonts w:ascii="Times New Roman;serif" w:hAnsi="Times New Roman;serif"/>
                <w:b w:val="false"/>
                <w:color w:val="000000"/>
                <w:sz w:val="12"/>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Distributions of earnings </w:t>
            </w:r>
            <w:r>
              <w:rPr>
                <w:rFonts w:ascii="Times New Roman;serif" w:hAnsi="Times New Roman;serif"/>
                <w:b w:val="false"/>
                <w:color w:val="000000"/>
                <w:sz w:val="12"/>
              </w:rPr>
              <w:t>(b)</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(a)Equity in earnings related to the Company’s proportionate share of income from the Waha JVs is included within the Company’s Other segment.</w:t>
      </w:r>
    </w:p>
    <w:p>
      <w:pPr>
        <w:pStyle w:val="TextBody"/>
        <w:bidi w:val="0"/>
        <w:spacing w:lineRule="auto" w:line="288" w:before="4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(b)Distributions of earnings from the Waha JVs are included within operating cash flows.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years ended December 31, 2025 and 2023, the Company’s proportionate share of unrecognized unrealized activity on the Waha JV swaps totaled losses of approximately $8.0 million and $5.0 million, respectively, or $6.0 million and $3.7 million, net of tax, respectively, and for the year ended December 31, 2024, such activity totaled gains of approximately $0.5 million, or $0.3 million, net of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07645"/>
                <wp:effectExtent l="0" t="0" r="0" b="0"/>
                <wp:wrapNone/>
                <wp:docPr id="78" name="Frame76"/>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76</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pPr>
      <w:r>
        <w:rPr>
          <w:rFonts w:ascii="Times New Roman;serif" w:hAnsi="Times New Roman;serif"/>
          <w:b/>
          <w:i/>
          <w:color w:val="000000"/>
          <w:sz w:val="18"/>
        </w:rPr>
        <w:t>Other Investments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The Company has equity interests in certain other entities that are accounted for as equity method investments. As of December 31, 2025 and 2024, the Company had an investment of approximately $15 million and $17 million, respectively, in FM Tech, which provides for additional funding upon the resolution of certain contingencies, which could range up to $7 million as of December 31, 2025. The fair value of the remaining contingent payments for FM Tech, which are included within other current liabilities, was estimated to be $3 million as of both December 31, 2025 and 2024. For the years ended December 31, 2024 and 2023, the Company made equity contributions of approximately $0.4 million and $0.2 million, respectively, to these other entities, and for the year ended December 31, 2025, there were no equity contributions to these entities. For the years ended December 31, 2025 and 2024, distributions from these entities totaled approximately $0.5 million and $1.9 million, respectively, and for the year ended December 31, 2023, there were no distributions from these entities. The Company has subcontracting arrangements with certain of these entities for the performance of construction services, and expenses recognized in connection with these arrangements totaled approximately $3.8 million, $5.4 million and $2.7 million for the years ended December 31, 2025, 2024 and 2023, respectively. As of both December 31, 2025 and 2024, related amounts payable to these entities totaled approximately $0.3 million. In addition, the Company has advanced amounts to certain of these entities, which for the years ended December 31, 2024 and 2023, totaled approximately $0.1 million and $0.7 million, respectively, and there were no such amounts for the year ended December 31, 2025. As of December 31, 2025 and 2024, receivables related to these arrangements totaled approximately $4.0 million and $4.1 million, respectively.</w:t>
      </w:r>
    </w:p>
    <w:p>
      <w:pPr>
        <w:pStyle w:val="TextBody"/>
        <w:bidi w:val="0"/>
        <w:spacing w:lineRule="auto" w:line="288" w:before="120" w:after="120"/>
        <w:ind w:left="0" w:right="0" w:firstLine="720"/>
        <w:jc w:val="both"/>
        <w:rPr/>
      </w:pPr>
      <w:r>
        <w:rPr>
          <w:rFonts w:ascii="Times New Roman;serif" w:hAnsi="Times New Roman;serif"/>
          <w:b/>
          <w:i/>
          <w:color w:val="000000"/>
          <w:sz w:val="18"/>
        </w:rPr>
        <w:t>Variable Interest Entities</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The Company has determined that certain of its investment arrangements are VIEs. See Note 1 - Business, Basis of Presentation and Significant Accounting Policies for additional information. As of December 31, 2025, management determined that the Company is the primary beneficiary of two of its VIEs, and accordingly, has consolidated these entities within the Company’s financial statements, with the other parties’ interests accounted for as non-controlling interests.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consolidated VIEs include an electric utility contractor in which the Company acquired a 49% interest in 2024. As of December 31, 2025 and 2024, the carrying values of assets associated with the Company’s consolidated VIEs totaled approximately $187.3 million and $134.8 million, respectively, which amounts consisted primarily of accounts receivable, net of allowance and contract assets. The carrying values of liabilities associated with the Company’s consolidated VIEs totaled approximately $184.6 million and $132.8 million as of December 31, 2025 and 2024, respectively, which amounts consisted primarily of accounts payable. The Company has not provided, nor is it obligated to provide, any financial support to any of its consolidated VIEs.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carrying values of the Company’s VIEs that are not consolidated totaled approximately $20 million and $23 million as of December 31, 2025 and 2024, respectively, which amounts are recorded within other long-term assets in the consolidated balance sheets. Management believes that the Company’s maximum exposure to loss for its non-consolidated VIEs, inclusive of additional financing commitments, approximated $28 million and $34 million as of December 31, 2025 and 2024, respectively.</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estimated fair values of the Company’s senior notes were determined based on an exit price approach using Level 2 inputs. See Note 8 - Debt for additional information pertaining to the Company’s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Note 5 – Accounts Receivable, Net of Allowance, and Contract Assets and Liabilities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details of accounts receivable, net of allowance, and contract assets (together “accounts receivable, net”) as of the dates indicated (in millions):</w:t>
      </w:r>
    </w:p>
    <w:tbl>
      <w:tblPr>
        <w:tblW w:w="5154" w:type="dxa"/>
        <w:jc w:val="left"/>
        <w:tblInd w:w="0" w:type="dxa"/>
        <w:tblLayout w:type="fixed"/>
        <w:tblCellMar>
          <w:top w:w="28" w:type="dxa"/>
          <w:left w:w="28" w:type="dxa"/>
          <w:bottom w:w="28" w:type="dxa"/>
          <w:right w:w="28" w:type="dxa"/>
        </w:tblCellMar>
      </w:tblPr>
      <w:tblGrid>
        <w:gridCol w:w="1011"/>
        <w:gridCol w:w="887"/>
        <w:gridCol w:w="892"/>
        <w:gridCol w:w="196"/>
        <w:gridCol w:w="691"/>
        <w:gridCol w:w="109"/>
        <w:gridCol w:w="109"/>
        <w:gridCol w:w="109"/>
        <w:gridCol w:w="109"/>
        <w:gridCol w:w="196"/>
        <w:gridCol w:w="69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Contract billings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Retainage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Unbilled receivables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Contract billings represent the amount of performance obligations that have been billed but not yet collected, whereas contract assets consist of unbilled receivables and retainage. Unbilled receivables, which are included in contract assets, represent the estimated value of unbilled work for projects with performance obligations recognized over time. Unbilled receivables include amounts for work performed for which the Company has an unconditional right to receive payment and that are not subject to the completion of any other specific task, other than the billing itself. Retainage represents a portion of the contract amount that has been billed, but for which the contract allows the customer to retain a portion of the billed amount until final contract settlement, which is generally from 5% to 10% of contract billings. Retainage is not considered to be a significant financing component because the intent is to protect the customer. Unbilled receivables and retainage amounts are generally classified as current assets within the Company’s consolidated balance sheets. Retainage that has been billed, but is not due until completion of performance and acceptance by customers, is generally expected to be collected within one year. Accounts receivable balances expected to be collected beyond one year are recorded within other long-term assets. As of December 31, 2025, 2024 and 2023, contract assets totaled approximately $2,001.9 million, $1,555.8 million and $1,756.4 million, respectively. The increase in contract assets as of December 31, 2025, was driven primarily by ordinary course activity, including in connection with increased project volume primarily within the Company’s Communications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07645"/>
                <wp:effectExtent l="0" t="0" r="0" b="0"/>
                <wp:wrapNone/>
                <wp:docPr id="79" name="Frame77"/>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77</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For the year ended December 31, 2025, provisions for credit losses totaled a recovery of approximately $0.5 million, and for the year ended December 31, 2024, provisions for credit losses totaled approximately $4.8 million, both of which included certain project-specific reserves. For the years ended December 31, 2025 and 2024, amounts charged against the allowance, including direct write-offs, totaled approximately $0.7 million and $0.8 million, respectively. Impairment losses on contract assets were not material in any of the years ended December 31, 2025, 2024 or 2023.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Contract liabilities, which are generally classified within current liabilities on the Company’s consolidated balance sheets, consist primarily of deferred revenue and also include the amount of any accrued project losses.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Deferred revenue is not considered to be a significant financing component because it is generally used to meet working capital demands that can be higher in the early stages of a contract. Total contract liabilities, including accrued project losses, totaled approximately $747.7 million, $735.6 million and $481.0 million as of December 31, 2025, 2024 and 2023, respectively, of which deferred revenue comprised approximately $741.0 million, $725.1 million and $475.2 million, respectively. For the years ended December 31, 2025, 2024 and 2023, the Company recognized revenue of approximately $705.6 million, $416.8 million and $363.3 million, respectively, related to amounts that were included in deferred revenue as of December 31, 2024, 2023 and 2022, respectively, resulting primarily from the advancement of physical progress on the related projects during the respective periods.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The Company is party to certain non-recourse financing arrangements in the ordinary course of business, under which certain receivables are sold to a financial institution in return for a nominal fee. The Company has certain additional non-recourse financing arrangements under which it continues to manage collections for the transferred receivables, and for which the corresponding servicing assets or liabilities are not material. For the years ended December 31, 2025, 2024 and 2023, the Company sold approximately $555 million, $442 million and $131 million, respectively, of receivables under financing arrangements for which it continues to manage collections for the transferred receivable, and, as of December 31, 2025 and 2024, outstanding sold receivables related thereto totaled approximately $172 million and $84 million, respectively, which amounts are excluded from accounts receivable, net of allowance, in the consolidated balance sheets. The Company’s involvement in the collection process for these receivables is not considered to constitute significant continuing involvement, and, therefore, the receivables are accounted for as a sale under ASC Topic 860, </w:t>
      </w:r>
      <w:r>
        <w:rPr>
          <w:rFonts w:ascii="Times New Roman;serif" w:hAnsi="Times New Roman;serif"/>
          <w:b w:val="false"/>
          <w:i/>
          <w:color w:val="000000"/>
          <w:sz w:val="18"/>
        </w:rPr>
        <w:t>Transfers and Servicing</w:t>
      </w:r>
      <w:r>
        <w:rPr>
          <w:rFonts w:ascii="Times New Roman;serif" w:hAnsi="Times New Roman;serif"/>
          <w:b w:val="false"/>
          <w:color w:val="000000"/>
          <w:sz w:val="18"/>
        </w:rPr>
        <w:t>. Cash collections from the sale of receivables are reflected within operating activities in the consolidated statements of cash flows. The Company is also party to arrangements with certain customers that allow for early collection of receivables for a nominal fee, at the Company’s option. Discount charges related to the above described financing arrangements, which are included within interest expense, net, totaled approximately $23.8 million, $20.7 million and $12.9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6 – Property and Equipment, Net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details of property and equipment, net, including property and equipment held under finance leases as of the dates indicated (in millions):</w:t>
      </w:r>
    </w:p>
    <w:tbl>
      <w:tblPr>
        <w:tblW w:w="8451" w:type="dxa"/>
        <w:jc w:val="left"/>
        <w:tblInd w:w="0" w:type="dxa"/>
        <w:tblLayout w:type="fixed"/>
        <w:tblCellMar>
          <w:top w:w="28" w:type="dxa"/>
          <w:left w:w="28" w:type="dxa"/>
          <w:bottom w:w="28" w:type="dxa"/>
          <w:right w:w="28" w:type="dxa"/>
        </w:tblCellMar>
      </w:tblPr>
      <w:tblGrid>
        <w:gridCol w:w="1405"/>
        <w:gridCol w:w="1232"/>
        <w:gridCol w:w="1248"/>
        <w:gridCol w:w="196"/>
        <w:gridCol w:w="691"/>
        <w:gridCol w:w="109"/>
        <w:gridCol w:w="109"/>
        <w:gridCol w:w="109"/>
        <w:gridCol w:w="109"/>
        <w:gridCol w:w="196"/>
        <w:gridCol w:w="691"/>
        <w:gridCol w:w="109"/>
        <w:gridCol w:w="109"/>
        <w:gridCol w:w="109"/>
        <w:gridCol w:w="109"/>
        <w:gridCol w:w="204"/>
        <w:gridCol w:w="204"/>
        <w:gridCol w:w="204"/>
        <w:gridCol w:w="204"/>
        <w:gridCol w:w="204"/>
        <w:gridCol w:w="204"/>
        <w:gridCol w:w="204"/>
        <w:gridCol w:w="204"/>
        <w:gridCol w:w="288"/>
      </w:tblGrid>
      <w:tr>
        <w:trPr/>
        <w:tc>
          <w:tcPr>
            <w:tcW w:w="140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Estimated Useful Lives</w:t>
            </w:r>
          </w:p>
          <w:p>
            <w:pPr>
              <w:pStyle w:val="TableContents"/>
              <w:bidi w:val="0"/>
              <w:spacing w:lineRule="auto" w:line="240" w:before="0" w:after="0"/>
              <w:ind w:left="0" w:right="0" w:hanging="180"/>
              <w:jc w:val="center"/>
              <w:rPr>
                <w:rFonts w:ascii="Times New Roman;serif" w:hAnsi="Times New Roman;serif"/>
                <w:b/>
                <w:color w:val="000000"/>
                <w:sz w:val="17"/>
              </w:rPr>
            </w:pPr>
            <w:r>
              <w:rPr>
                <w:rFonts w:ascii="Times New Roman;serif" w:hAnsi="Times New Roman;serif"/>
                <w:b/>
                <w:color w:val="000000"/>
                <w:sz w:val="17"/>
              </w:rPr>
              <w:t>(in years)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Buildings and leasehold improvements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40</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equipment and vehicles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 furniture and internal-use software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December 31, 2025 and 2024, the gross amount of capitalized internal-use software totaled $247.2 million and $228.2 million, respectively, and, net of accumulated amortization, totaled $54.0 million and $51.1 million, respectively. Accrued capital expenditures, the effects of which are excluded from capital expenditures in the Company’s consolidated statements of cash flows given their non-cash nature, totaled $15.1 million, $7.0 million and $4.4 million as of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07645"/>
                <wp:effectExtent l="0" t="0" r="0" b="0"/>
                <wp:wrapNone/>
                <wp:docPr id="80" name="Frame78"/>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78</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240" w:after="120"/>
        <w:jc w:val="left"/>
        <w:rPr>
          <w:rFonts w:ascii="Times New Roman;serif" w:hAnsi="Times New Roman;serif"/>
          <w:b/>
          <w:color w:val="000000"/>
          <w:sz w:val="18"/>
        </w:rPr>
      </w:pPr>
      <w:r>
        <w:rPr>
          <w:rFonts w:ascii="Times New Roman;serif" w:hAnsi="Times New Roman;serif"/>
          <w:b/>
          <w:color w:val="000000"/>
          <w:sz w:val="18"/>
        </w:rPr>
        <w:t>Note 7 - Other Accrued Expenses</w:t>
      </w:r>
    </w:p>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details of other accrued expenses as of the dates indicated (in millions):</w:t>
      </w:r>
    </w:p>
    <w:tbl>
      <w:tblPr>
        <w:tblW w:w="4914" w:type="dxa"/>
        <w:jc w:val="left"/>
        <w:tblInd w:w="0" w:type="dxa"/>
        <w:tblLayout w:type="fixed"/>
        <w:tblCellMar>
          <w:top w:w="28" w:type="dxa"/>
          <w:left w:w="28" w:type="dxa"/>
          <w:bottom w:w="28" w:type="dxa"/>
          <w:right w:w="28" w:type="dxa"/>
        </w:tblCellMar>
      </w:tblPr>
      <w:tblGrid>
        <w:gridCol w:w="1021"/>
        <w:gridCol w:w="896"/>
        <w:gridCol w:w="903"/>
        <w:gridCol w:w="196"/>
        <w:gridCol w:w="556"/>
        <w:gridCol w:w="109"/>
        <w:gridCol w:w="109"/>
        <w:gridCol w:w="109"/>
        <w:gridCol w:w="109"/>
        <w:gridCol w:w="196"/>
        <w:gridCol w:w="55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project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Self-insurance and related liabilities </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sales and other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See Note 15 - Commitments and Contingencies for additional information on insurance reserves.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Note 8 – Debt </w:t>
      </w:r>
    </w:p>
    <w:p>
      <w:pPr>
        <w:pStyle w:val="TextBody"/>
        <w:bidi w:val="0"/>
        <w:spacing w:lineRule="auto" w:line="288" w:before="120" w:after="18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provides details of the carrying values of debt as of the dates indicated (in millions): </w:t>
      </w:r>
    </w:p>
    <w:tbl>
      <w:tblPr>
        <w:tblW w:w="6196" w:type="dxa"/>
        <w:jc w:val="left"/>
        <w:tblInd w:w="0" w:type="dxa"/>
        <w:tblLayout w:type="fixed"/>
        <w:tblCellMar>
          <w:top w:w="28" w:type="dxa"/>
          <w:left w:w="28" w:type="dxa"/>
          <w:bottom w:w="28" w:type="dxa"/>
          <w:right w:w="28" w:type="dxa"/>
        </w:tblCellMar>
      </w:tblPr>
      <w:tblGrid>
        <w:gridCol w:w="678"/>
        <w:gridCol w:w="596"/>
        <w:gridCol w:w="600"/>
        <w:gridCol w:w="109"/>
        <w:gridCol w:w="109"/>
        <w:gridCol w:w="109"/>
        <w:gridCol w:w="434"/>
        <w:gridCol w:w="434"/>
        <w:gridCol w:w="436"/>
        <w:gridCol w:w="109"/>
        <w:gridCol w:w="109"/>
        <w:gridCol w:w="109"/>
        <w:gridCol w:w="196"/>
        <w:gridCol w:w="691"/>
        <w:gridCol w:w="109"/>
        <w:gridCol w:w="109"/>
        <w:gridCol w:w="109"/>
        <w:gridCol w:w="109"/>
        <w:gridCol w:w="196"/>
        <w:gridCol w:w="691"/>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17"/>
              </w:rPr>
              <w:t xml:space="preserve">Description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26,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Term loan </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4.500%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5.900%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6.625% Senior Notes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26,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Five-Year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and other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ind w:left="0" w:right="0" w:hanging="360"/>
        <w:jc w:val="both"/>
        <w:rPr/>
      </w:pPr>
      <w:r>
        <w:rPr>
          <w:rFonts w:ascii="Times New Roman;serif" w:hAnsi="Times New Roman;serif"/>
          <w:b w:val="false"/>
          <w:color w:val="000000"/>
          <w:sz w:val="16"/>
        </w:rPr>
        <w:t xml:space="preserve">(a)    The term loan was terminated and fully repaid as of the second quarter of </w:t>
      </w:r>
      <w:r>
        <w:rPr>
          <w:rFonts w:ascii="Times New Roman;serif" w:hAnsi="Times New Roman;serif"/>
          <w:b w:val="false"/>
          <w:color w:val="000000"/>
          <w:sz w:val="18"/>
        </w:rPr>
        <w:t>2025</w:t>
      </w:r>
      <w:r>
        <w:rPr>
          <w:rFonts w:ascii="Times New Roman;serif" w:hAnsi="Times New Roman;serif"/>
          <w:b w:val="false"/>
          <w:color w:val="000000"/>
          <w:sz w:val="16"/>
        </w:rPr>
        <w:t>, pursuant to the terms of the amended and restated senior unsecured credit facility, as described below.</w:t>
      </w:r>
    </w:p>
    <w:p>
      <w:pPr>
        <w:pStyle w:val="TextBody"/>
        <w:bidi w:val="0"/>
        <w:spacing w:lineRule="auto" w:line="288" w:before="120" w:after="120"/>
        <w:ind w:left="0" w:right="0" w:firstLine="360"/>
        <w:jc w:val="left"/>
        <w:rPr>
          <w:rFonts w:ascii="Times New Roman;serif" w:hAnsi="Times New Roman;serif"/>
          <w:b/>
          <w:i/>
          <w:color w:val="000000"/>
          <w:sz w:val="18"/>
        </w:rPr>
      </w:pPr>
      <w:r>
        <w:rPr>
          <w:rFonts w:ascii="Times New Roman;serif" w:hAnsi="Times New Roman;serif"/>
          <w:b/>
          <w:i/>
          <w:color w:val="000000"/>
          <w:sz w:val="18"/>
        </w:rPr>
        <w:t>Senior Credit Facility</w:t>
      </w:r>
    </w:p>
    <w:p>
      <w:pPr>
        <w:pStyle w:val="TextBody"/>
        <w:bidi w:val="0"/>
        <w:spacing w:lineRule="auto" w:line="288" w:before="120" w:after="120"/>
        <w:ind w:left="0" w:right="0" w:firstLine="720"/>
        <w:jc w:val="both"/>
        <w:rPr/>
      </w:pPr>
      <w:r>
        <w:rPr>
          <w:rFonts w:ascii="Times New Roman;serif" w:hAnsi="Times New Roman;serif"/>
          <w:b w:val="false"/>
          <w:color w:val="000000"/>
          <w:sz w:val="18"/>
        </w:rPr>
        <w:t>On June 26, 2025, the Company entered into an amended and restated five-year, senior unsecured credit facility (the “Credit Facility”) replacing the November 1, 2021 senior unsecured credit facility (“Existing Credit Agreement”) that would otherwise have terminated on November 1, 2026. The amendment, among other items, maintained revolving commitments of an aggregate amount of $1.9 billion, terminated the term loan under the Existing Credit Agreement, and extended the maturity of the senior unsecured credit facility from November 1, 2026 to June 26, 2030. The amendment also eliminated certain restrictions on the ability of the Company to make distributions or repurchase capital stock, the requirement of the Company to maintain a minimum consolidated interest coverage ratio and certain other negative covenants. All other material terms and conditions of the Credit Facility were substantially unchanged. The Credit Facility allows the Company to borrow up to an aggregate equivalent amount of $300 million in revolving advances in either Canadian dollars or Mexican pesos. The maximum amount available for letters of credit under the Credit Facility is $750 million, of which up to $250 million can be denominated in either Canadian dollars or Mexican pesos. The Credit Facility also provides for swing line loans of up to $125 million, and, subject to certain conditions, the Company has the option to increase revolving commitments as defined in the Credit Facility.</w:t>
      </w:r>
      <w:r>
        <w:rPr>
          <w:color w:val="EE2724"/>
        </w:rPr>
        <w:t xml:space="preserve"> </w:t>
      </w:r>
      <w:r>
        <w:rPr>
          <w:rFonts w:ascii="Times New Roman;serif" w:hAnsi="Times New Roman;serif"/>
          <w:b w:val="false"/>
          <w:color w:val="000000"/>
          <w:sz w:val="18"/>
        </w:rPr>
        <w:t>Borrowings under the Credit Facility will be used for working capital requirements, capital expenditures and other corporate purposes, including potential acquisitions, equity investments or other strategic arrangements, and/or the repurchase or prepayment of indebtedness, among other corporate borrowing requirements, including potential share repurchases. As of both December 31, 2025 and 2024, the fair value of the Credit Facility, as estimated based on an income approach utilizing significant unobservable Level 3 inputs including discount rate assumptions, approximated its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07645"/>
                <wp:effectExtent l="0" t="0" r="0" b="0"/>
                <wp:wrapNone/>
                <wp:docPr id="81" name="Frame79"/>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79</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Outstanding revolving loans under the Credit Facility bear interest, at the Company’s option, at a rate equal to either (a) Term SOFR, TIIE, or Term CORRA, in each case as defined in the Credit Facility, plus a margin of 1.125% to 1.625%, or (b) Base Rate, as defined below, plus a margin of 0.125% to 0.625%. The Base Rate equals the highest of (i) the Federal Funds Rate, as defined in the Credit Facility, plus 0.50%, (ii) Bank of America’s prime rate, and (iii) Term SOFR plus 1.00%. Financial standby letters of credit and commercial letters of credit issued under the Credit Facility are subject to a letter of credit fee ranging from 1.125% to 1.625%, and performance standby letters of credit issued under such Credit Facility are subject to a letter of credit fee ranging from 0.3125% to 0.6875%. The Company must also pay a commitment fee to the lenders ranging from 0.150% to 0.225% on any unused availability under the Credit Facility. In each of the foregoing cases, the applicable margin or fee is based on the Company’s Consolidated Leverage Ratio and Debt Rating, each as defined in the Credit Facility, as of the most recent fiscal quarter.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Revolving loans accrued interest at weighted average rates of approximately 4.56% and 4.97% per annum as of December 31, 2025 and 2024, respectively. Letters of credit of approximately $57.1 million and $64.3 million were issued as of December 31, 2025 and 2024, respectively. As of December 31, 2025 and 2024, letter of credit fees accrued at 0.4375% and 0.5625% per annum, respectively, for performance standby letters of credit, and for financial standby letters of credit, accrued at 1.250% and 1.375% per annum, respectively. Outstanding letters of credit mature at various dates and most have automatic renewal provisions, subject to prior notice of cancellation.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December 31, 2025 and 2024, availability for revolving loans totaled $1,724.9 million and $1,792.6 million, respectively, or up to $692.9 million and $585.7 million, respectively, for new letters of credit. As of December 31, 2025 and 2024, outstanding revolving borrowings denominated in foreign currencies totaled $43.0 million and $43.1 million, respectively, and accrued interest at a weighted average rate of approximately 3.81% and 4.97% per annum, respectively. Revolving loan borrowing capacity included $257.0 million and $256.9 million of availability in either Canadian dollars or Mexican pesos as of December 31, 2025 and 2024, respectively. The unused facility fee as of December 31, 2025 and 2024 accrued at rates of 0.175% and 0.200% per annum, respectively.</w:t>
      </w:r>
    </w:p>
    <w:p>
      <w:pPr>
        <w:pStyle w:val="TextBody"/>
        <w:bidi w:val="0"/>
        <w:spacing w:lineRule="auto" w:line="288" w:before="120" w:after="120"/>
        <w:ind w:left="0" w:right="0" w:firstLine="720"/>
        <w:jc w:val="both"/>
        <w:rPr/>
      </w:pPr>
      <w:r>
        <w:rPr>
          <w:rFonts w:ascii="Times New Roman;serif" w:hAnsi="Times New Roman;serif"/>
          <w:b/>
          <w:i/>
          <w:color w:val="000000"/>
          <w:sz w:val="18"/>
        </w:rPr>
        <w:t>Other Credit Facilities</w:t>
      </w:r>
      <w:r>
        <w:rPr>
          <w:rFonts w:ascii="Times New Roman;serif" w:hAnsi="Times New Roman;serif"/>
          <w:b w:val="false"/>
          <w:color w:val="000000"/>
          <w:sz w:val="18"/>
        </w:rPr>
        <w:t>. The Company has a separate credit facility, which is renewable on an annual basis, under which it may issue up to $50.0 million of performance standby letters of credit.  As of December 31, 2025 and 2024, letters of credit issued under this facility totaled $33.4 million and $17.4 million, respectively, which accrued fees at 0.50% and 0.75% per annum, respectively. The Company’s other credit facilities are subject to customary provisions and covenants.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4.500% Senior Notes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$600 million aggregate principal amount of senior unsecured notes due August 15, 2028, which bear interest at a rate of 4.500% (the “4.500% Senior Notes”), which were issued at par in a private offering. Interest on the 4.500% Senior Notes is payable semiannually in arrears on February 15 and August 15 of each year. As of December 31, 2025 and 2024, the fair value of the Company’s 4.500% Senior Notes totaled approximately $595.7 million and $581.9 million,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the option to redeem all or a portion of the 4.500% Senior Notes at the redemption prices specified in the indenture that governs the 4.500% Senior Notes (the “4.500% Senior Notes Indenture”), plus accrued and unpaid interest, if any, to, but excluding, the redemption date. If a change of control, as defined in the 4.500% Senior Notes Indenture, occurs, the Company must make an offer to repurchase all of the 4.500% Senior Notes then outstanding at a price equal to 101% of their principal amount, plus accrued and unpaid interest, if any, to, but excluding, the date of repurchase.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4.500% Senior Notes Indenture, among other things, generally limits the ability of the Company and certain of its subsidiaries to create liens and effect mergers, subject to certain exceptions. The 4.500% Senior Notes Indenture provides for customary events of default, subject to customary grace and cure periods. Generally, if an event of default occurs and is continuing, the trustee or holders of at least 30% of the 4.500% Senior Notes then outstanding may declare the principal of, premium, if any, and accrued interest on all of the 4.500% Senior Notes immediately due and payable.</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5.900% Senior Notes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June 10, 2024, the Company completed an offering of $550 million aggregate principal amount of 5.900% senior notes due June 15, 2029 (the “5.900% Senior Notes”). Interest on the 5.900% Senior Notes is payable semiannually in arrears on June 15 and December 15 of each year. The 5.900% Senior Notes are general senior unsecured obligations of the Company, and rank equal in right of payment with all of the Company’s existing and future senior unsecured indebtedness and senior in right of payment to all of the Company’s future subordinated indebtedness. The 5.900% Senior Notes are effectively subordinated to all secured indebtedness of the Company, to the extent of the value of the assets securing such indebtedness, and structurally subordinated to all of the obligations of the subsidiaries of the Company, including trade payables. Financing costs incurred in connection with the issuance of the 5.900% Senior Notes totaled approximately $5.9 million and are being amortized over the term of the 5.900% Senior Notes using the effective interest method. As of December 31, 2025 and 2024, the fair value of the Company’s 5.900% Senior Notes totaled approximately $574.1 million and $558.8 million,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the option to redeem all or a portion of the 5.900% Senior Notes at the redemption prices specified in the indenture that governs the 5.900% Senior Notes (the “5.900% Senior Notes Indenture”), plus accrued and unpaid interest, if any, to, but excluding, the redemption date. If a change of control triggering event, as defined in the 5.900% Senior Notes Indenture, occurs, each holder of the 5.900% Senior Notes will have the right to require the Company to repurchase all or any portion of such holder’s 5.900% Senior Notes then outstanding at a price equal to 101% of the principal amount of the 5.900% Senior Notes, plus accrued and unpaid interest, if any, to, but excluding, the date of repurchase, subject to the right of holders of 5.900% Senior Notes on the relevant record date to receive interest due on the relevant interest payment date.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5.900% Senior Notes Indenture, among other things, generally limits the ability of the Company and certain of its subsidiaries to create liens, enter into sale and leaseback transactions and effect mergers, subject to certain exceptions. The 5.900% Senior Notes Indenture provides for customary events of default, which include, subject, in certain cases, to customary grace and cure periods, among others, nonpayment of principal or interest; breach of other covenants or agreements in the 5.900% Senior Notes Indenture; failure to pay certain other indebtedness; and certain events of bankruptcy or insolvency. Generally, if an event of default occurs and is continuing, the trustee or holders of at least 25% of the 5.900% Senior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07645"/>
                <wp:effectExtent l="0" t="0" r="0" b="0"/>
                <wp:wrapNone/>
                <wp:docPr id="82" name="Frame80"/>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80</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Notes then outstanding may declare the principal amount, premium, if any, and accrued interest on all of the 5.900% Senior Notes to be immediately due and payable.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used a portion of the proceeds from the 5.900% Senior Notes offering in 2024 to purchase $203.7 million in aggregate principal amount of 6.625% IEA Senior Notes (as defined below). The remaining net proceeds, along with available cash, were used to repay the Company’s $400.0 million Three-Year Term Loan Facility. In connection with these transactions, the Company recorded a pre-tax debt extinguishment loss of approximately $11.3 million during the year ended December 31, 2024, which is separately presented within the Company’s consolidated statements of operations.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6.625% Senior Notes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$74.9 million aggregate principal amount of 6.625% senior unsecured notes due August 15, 2029 (the “6.625% Senior Notes”), with a carrying value of $72.3 million and $71.6 million as of December 31, 2025 and 2024, respectively. Interest on the 6.625% Senior Notes is payable semiannually in arrears on February 15 and August 15 of each year. The 6.625% Senior Notes were previously composed of $225.1 million aggregate principal amount of 6.625% IEA senior notes (the “6.625% IEA Senior Notes”) and $74.9 million aggregate principal amount of 6.625% MasTec senior notes (the “6.625% MasTec Senior Notes”).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Concurrently with the Company’s 2024 offering of the 5.900% Senior Notes, IEA Energy Services LLC (“IEA LLC”), a wholly-owned subsidiary of the Company, launched a tender offer and consent solicitation (the “IEA Tender”) for the 6.625% IEA Senior Notes due 2029. The Company used a portion of the proceeds from the 5.900% Senior Notes offering to purchase $203.7 million in aggregate principal amount of 6.625% IEA Senior Notes tendered at a price equal to 100.0% of the principal amount of the 6.625% IEA Senior Notes, plus accrued and unpaid interest to, but excluding, the payment date. In July 2024, subsequent to the IEA Tender, IEA LLC exercised its right under the indenture that governs the 6.625% IEA Senior Notes to redeem the remaining $21.4 million in aggregate principal amount of the 6.625% IEA Senior Notes at a price equal to 95.0% of the principal amount of the 6.625% IEA Senior Notes redeemed, which amount approximated their carrying value, plus accrued and unpaid interest to, but excluding, the redemption date. As of both December 31, 2025 and 2024, the fair value of the Company’s 6.625% Senior Notes approximated their carrying value.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6.625% Senior Notes are general senior unsecured obligations of the Company, and rank equal in right of payment with all of the Company’s existing and future senior unsecured indebtedness and senior in right of payment to any of the Company’s future subordinated indebtedness. The 6.625% Senior Notes are effectively subordinated to all secured indebtedness of the Company to the extent of the value of the assets securing such indebtedness and are structurally subordinated to all obligations of the subsidiaries of the Company, including trade payables.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6.625% Senior Notes Indenture provides for customary events of default, which include, subject, in certain cases, to customary grace and cure periods, among others, nonpayment of principal or interest; breach of other covenants or agreements in the 6.625% Senior Notes Indenture; failure to pay certain other indebtedness; and certain events of bankruptcy or insolvency. Generally, if an event of default occurs and is continuing, the trustee or holders of at least 30% of the 6.625% Senior Notes then outstanding may declare the principal of, premium, if any, and accrued interest on all of the 6.625% Senior Notes immediately due and payable.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If a Change of Control, as defined in the 6.625% Senior Notes Indenture, occurs, the Company must make an offer to repurchase all of the 6.625% Senior Notes, then outstanding at a price equal to 101% of their principal amount, plus accrued and unpaid interest, if any, to, but not including, the date of repurchase.</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2025 Term Loan Facility</w:t>
      </w:r>
    </w:p>
    <w:p>
      <w:pPr>
        <w:pStyle w:val="TextBody"/>
        <w:bidi w:val="0"/>
        <w:spacing w:lineRule="auto" w:line="288" w:before="120" w:after="12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On June 26, 2025, the Company entered into a new $600 million senior unsecured term loan agreement (the “2025 Term Loan Facility”). The 2025 Term Loan Facility will mature on June 26, 2028, and the loans thereunder are not subject to amortization and are not guaranteed or secured by any assets of the Company or any of its subsidiaries. As of December 31, 2025, the Company had $600 million outstanding under the 2025 Term Loan Facility. The fair value of the 2025 Term Loan Facility as of December 31, 2025, as estimated based on an income approach utilizing significant unobservable Level 3 inputs including discount rate assumptions, approximated its carrying value. Using the net proceeds from the 2025 Term Loan Facility, together with available cash, the Company repaid the $328.1 million term loan under the Existing Credit Agreement and the remaining $277.5 million of the Company’s unsecured five-year term loan (the “Five-Year Term Loan”) that would otherwise have matured on October 7, 2027.</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Outstanding loans under the 2025 Term Loan Facility bear interest, at the Company’s option, at a rate equal to either (a) Term SOFR, as defined in the 2025 Term Loan Facility, plus a margin of 1.00% to 1.50%, or (b) a Base Rate, as defined below, plus a margin of up to 0.50%. The Base Rate equals the highest of (i) the Federal Funds Rate, as defined in the 2025 Term Loan Facility, plus 0.50%, (ii) Bank of America’s prime rate, and (iii) Term SOFR plus 1.00%. In each of the foregoing cases, the applicable margin is based on the Company’s Consolidated Leverage Ratio and Debt Rating, each as defined in the 2025 Term Loan Facility, as of the most recent fiscal quarter. As of December 31, 2025, the 2025 Term Loan Facility accrued interest at a rate of 4.85%.</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Five-Year Term Loan Facility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described above, the Company used a portion of the net proceeds from the 2025 Term Loan Facility, together with available cash, to repay the remaining $277.5 million of the Five-Year Term Loan that would otherwise have matured on October 7, 2027.</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Loss on Extinguishment of Debt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the year ended December 31, 2024, the Company recognized a pre-tax debt extinguishment loss of approximately $11.3 million in connection with the repayment of the $203.7 million 6.625% IEA Senior Notes and $400.0 million Three-Year Term Loan Facility, which is separately presented within the Company’s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07645"/>
                <wp:effectExtent l="0" t="0" r="0" b="0"/>
                <wp:wrapNone/>
                <wp:docPr id="83" name="Frame81"/>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81</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Debt Covenants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Credit Facility and 2025 Term Loan Facility contain affirmative and negative covenants that, among other things, limit the Company’s ability to engage in certain activities, including, but not limited to, acquisitions, mergers and consolidations, debt incurrence, investments, asset sales and lien incurrence. In addition, the Credit Facility and 2025 Term Loan Facility provide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 The Credit Facility and 2025 Term Loan Facility require the Company to maintain a maximum Consolidated Leverage Ratio, as defined in the Credit Facility and 2025 Term Loan Facility, respectively, of not more than 3.50:1.00 as of the end of any fiscal quarter (except that, subject to certain conditions, if a permitted acquisition or series of permitted acquisitions having consideration exceeding $200 million occurs, such ratio is increased to 4.00:1.00 for the fiscal quarter in which the acquisition is completed and the four subsequent fiscal quarters). For purposes of calculating the Consolidated Leverage Ratio, funded indebtedness excludes undrawn standby performance letters of credit included in the calculation of Consolidated Funded Indebtedness, as defined in the Credit Facility and 2025 Term Loan Facility, respectively. Additionally, the Company’s Senior Notes are subject to customary provisions and covenants, as detailed above.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was in compliance with the provisions and covenants of its outstanding debt instruments as of both December 31, 2025 and 2024.</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Additional Information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connection with the amended and restated Credit Facility and the 2025 Term Loan Facility, deferred financing costs of $4.2 million and $1.2 million, respectively, were incurred and are being amortized over the respective terms of those instruments. Such amortization is included in interest expense, net in the consolidated statements of operations.</w:t>
      </w:r>
    </w:p>
    <w:p>
      <w:pPr>
        <w:pStyle w:val="TextBody"/>
        <w:bidi w:val="0"/>
        <w:spacing w:lineRule="auto" w:line="288" w:before="6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December 31, 2025 and 2024, accrued interest payable, which is recorded within other accrued expenses in the consolidated balance sheets, totaled $16.0 million and $20.8 million, respectively.</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Contractual Maturities of Debt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Contractual maturities of MasTec’s debt, which includes finance lease obligations, as of December 31, 2025 were as follows (in millions): </w:t>
      </w:r>
    </w:p>
    <w:tbl>
      <w:tblPr>
        <w:tblW w:w="1882" w:type="dxa"/>
        <w:jc w:val="left"/>
        <w:tblInd w:w="0" w:type="dxa"/>
        <w:tblLayout w:type="fixed"/>
        <w:tblCellMar>
          <w:top w:w="28" w:type="dxa"/>
          <w:left w:w="28" w:type="dxa"/>
          <w:bottom w:w="28" w:type="dxa"/>
          <w:right w:w="28" w:type="dxa"/>
        </w:tblCellMar>
      </w:tblPr>
      <w:tblGrid>
        <w:gridCol w:w="304"/>
        <w:gridCol w:w="267"/>
        <w:gridCol w:w="270"/>
        <w:gridCol w:w="196"/>
        <w:gridCol w:w="691"/>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2027</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2028</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2029</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2030</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Note 9 – Lease Obligations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Finance Leases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gross amount of assets held under finance leases as of December 31, 2025 and 2024 totaled $798.8 million and $713.9 million, respectively. Assets held under finance leases, net of accumulated depreciation, totaled $560.1 million and $473.0 million as of December 31, 2025 and 2024, respectively. Depreciation expense associated with finance leases totaled $70.8 million, $81.7 million and $103.0 million for the years ended December 31, 2025, 2024 and 2023, respectively.</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Operating Leases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Operating lease additions for the years ended December 31, 2025, 2024 and 2023 totaled $241.4 million, $166.8 million and $224.6 million, respectively. Acquisition-related additions for the year ended December 31, 2025 were immaterial.</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the years ended December 31, 2025, 2024 and 2023, rent expense for leases that have terms in excess of one year totaled approximately $229.7 million, $195.8 million and $162.1 million, respectively, of which $20.8 million, $17.8 million and $15.8 million, respectively, represented variable lease costs. The Company also incurred rent expense for leases with terms of one year or less totaling approximately $686.9 million, $547.0 million and $608.2 million for the years ended December 31, 2025, 2024, and 2023, respectively. Rent expense for operating leases is generally consistent with the amount of the related payments, which payments are included within operating activities in the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07645"/>
                <wp:effectExtent l="0" t="0" r="0" b="0"/>
                <wp:wrapNone/>
                <wp:docPr id="84" name="Frame82"/>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82</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Additional Lease Information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Future minimum lease commitments as of December 31, 2025 were as follows (in millions):</w:t>
      </w:r>
    </w:p>
    <w:tbl>
      <w:tblPr>
        <w:tblW w:w="6556" w:type="dxa"/>
        <w:jc w:val="left"/>
        <w:tblInd w:w="0" w:type="dxa"/>
        <w:tblLayout w:type="fixed"/>
        <w:tblCellMar>
          <w:top w:w="28" w:type="dxa"/>
          <w:left w:w="28" w:type="dxa"/>
          <w:bottom w:w="28" w:type="dxa"/>
          <w:right w:w="28" w:type="dxa"/>
        </w:tblCellMar>
      </w:tblPr>
      <w:tblGrid>
        <w:gridCol w:w="1404"/>
        <w:gridCol w:w="1233"/>
        <w:gridCol w:w="1247"/>
        <w:gridCol w:w="196"/>
        <w:gridCol w:w="556"/>
        <w:gridCol w:w="109"/>
        <w:gridCol w:w="109"/>
        <w:gridCol w:w="109"/>
        <w:gridCol w:w="109"/>
        <w:gridCol w:w="320"/>
        <w:gridCol w:w="911"/>
        <w:gridCol w:w="253"/>
      </w:tblGrid>
      <w:tr>
        <w:trPr/>
        <w:tc>
          <w:tcPr>
            <w:tcW w:w="140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Finance</w:t>
              <w:br/>
              <w:t>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minimum lease payments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representing interest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obligations, net of interest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lease obligations, net of interest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292.8 </w:t>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weighted average remaining lease terms and discount rates for finance and non-cancelable operating leases as of the dates indicated:</w:t>
      </w:r>
    </w:p>
    <w:tbl>
      <w:tblPr>
        <w:tblW w:w="5580" w:type="dxa"/>
        <w:jc w:val="left"/>
        <w:tblInd w:w="0" w:type="dxa"/>
        <w:tblLayout w:type="fixed"/>
        <w:tblCellMar>
          <w:top w:w="28" w:type="dxa"/>
          <w:left w:w="28" w:type="dxa"/>
          <w:bottom w:w="28" w:type="dxa"/>
          <w:right w:w="28" w:type="dxa"/>
        </w:tblCellMar>
      </w:tblPr>
      <w:tblGrid>
        <w:gridCol w:w="1427"/>
        <w:gridCol w:w="1256"/>
        <w:gridCol w:w="1261"/>
        <w:gridCol w:w="188"/>
        <w:gridCol w:w="188"/>
        <w:gridCol w:w="256"/>
        <w:gridCol w:w="109"/>
        <w:gridCol w:w="109"/>
        <w:gridCol w:w="109"/>
        <w:gridCol w:w="188"/>
        <w:gridCol w:w="188"/>
        <w:gridCol w:w="301"/>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remaining lease term (in years):</w:t>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discount rate:</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10 – Stock-Based Compensation and Other Employee Benefit Plans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stock-based compensation plans, under which shares of the Company’s common stock are reserved for issuance, include: the MasTec, Inc. Amended and Restated 2013 Incentive Compensation Plan (as amended from time to time, the “2013 Incentive Plan”), the MasTec, Inc. Amended and Restated Bargaining Units Employee Stock Purchase Plan (the “2013 Bargaining Units ESPP”) and the MasTec, Inc. Amended and Restated 2011 Employee Stock Purchase Plan (the “2011 ESPP,” and, together with the 2013 Bargaining Units ESPP, the “ESPPs”). In May 2024, MasTec’s shareholders approved amendments to the 2013 Incentive Plan and the 2011 ESPP, which included the authorization to issue an additional 1,200,000 shares under the 2013 Incentive Plan and 1,000,000 shares under the 2011 ESPP. The 2013 Incentive Plan permits a total of approximately 9,741,000 shares of the Company’s common stock to be issued. Under the Company’s ESPPs, shares of the Company’s common stock are available for purchase by eligible participants, which collectively permit the issuance of up to 4,000,000 new shares of MasTec, Inc. common stock. Under all stock-based compensation plans in effect as of December 31, 2025, there were approximately 3,994,000 shares available for future grants.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Non-cash stock-based compensation expense under all plans totaled approximately $34.0 million, $32.7 million and $33.3 million for the years ended December 31, 2025, 2024 and 2023, respectively. Income tax benefits associated with stock-based compensation arrangements totaled approximately $14.7 million, $7.6 million and $17.3 million for the years ended December 31, 2025, 2024 and 2023, respectively, including net tax benefits related to the vesting of share-based payment awards totaling approximately $8.8 million, $1.5 million and $11.0 million, respectively.</w:t>
      </w:r>
    </w:p>
    <w:p>
      <w:pPr>
        <w:pStyle w:val="TextBody"/>
        <w:bidi w:val="0"/>
        <w:spacing w:lineRule="auto" w:line="288" w:before="120" w:after="120"/>
        <w:ind w:left="0" w:right="0" w:firstLine="360"/>
        <w:jc w:val="left"/>
        <w:rPr>
          <w:rFonts w:ascii="Times New Roman;serif" w:hAnsi="Times New Roman;serif"/>
          <w:b/>
          <w:i/>
          <w:color w:val="000000"/>
          <w:sz w:val="18"/>
        </w:rPr>
      </w:pPr>
      <w:r>
        <w:rPr>
          <w:rFonts w:ascii="Times New Roman;serif" w:hAnsi="Times New Roman;serif"/>
          <w:b/>
          <w:i/>
          <w:color w:val="000000"/>
          <w:sz w:val="18"/>
        </w:rPr>
        <w:t>Restricted Shares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grants restricted stock awards and restricted stock units (together, “restricted shares”) to eligible participants, which are valued based on the closing market share price of MasTec common stock on the date of grant. During the restriction period, holders of restricted stock awards are entitled to vote the shares. As of December 31, 2025, total unearned compensation related to restricted shares was approximately $45.8 million, which amount is expected to be recognized over a weighted average period of approximately 1.9 years. The fair value of restricted shares that vested totaled approximately $73.1 million, $37.2 million and $98.4 million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07645"/>
                <wp:effectExtent l="0" t="0" r="0" b="0"/>
                <wp:wrapNone/>
                <wp:docPr id="85" name="Frame8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83</w:t>
                      </w:r>
                    </w:p>
                  </w:txbxContent>
                </v:textbox>
                <w10:wrap type="none"/>
              </v:rect>
            </w:pict>
          </mc:Fallback>
        </mc:AlternateContent>
      </w:r>
    </w:p>
    <w:p>
      <w:pPr>
        <w:pStyle w:val="TextBody"/>
        <w:bidi w:val="0"/>
        <w:spacing w:before="120" w:after="120"/>
        <w:ind w:left="0" w:right="0" w:firstLine="720"/>
        <w:jc w:val="both"/>
        <w:rPr/>
      </w:pPr>
      <w:r>
        <w:rPr/>
      </w:r>
    </w:p>
    <w:tbl>
      <w:tblPr>
        <w:tblW w:w="8063" w:type="dxa"/>
        <w:jc w:val="left"/>
        <w:tblInd w:w="0" w:type="dxa"/>
        <w:tblLayout w:type="fixed"/>
        <w:tblCellMar>
          <w:top w:w="28" w:type="dxa"/>
          <w:left w:w="28" w:type="dxa"/>
          <w:bottom w:w="28" w:type="dxa"/>
          <w:right w:w="28" w:type="dxa"/>
        </w:tblCellMar>
      </w:tblPr>
      <w:tblGrid>
        <w:gridCol w:w="1449"/>
        <w:gridCol w:w="1271"/>
        <w:gridCol w:w="1285"/>
        <w:gridCol w:w="435"/>
        <w:gridCol w:w="436"/>
        <w:gridCol w:w="311"/>
        <w:gridCol w:w="109"/>
        <w:gridCol w:w="109"/>
        <w:gridCol w:w="109"/>
        <w:gridCol w:w="551"/>
        <w:gridCol w:w="1565"/>
        <w:gridCol w:w="433"/>
      </w:tblGrid>
      <w:tr>
        <w:trPr/>
        <w:tc>
          <w:tcPr>
            <w:tcW w:w="144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 xml:space="preserve">Activity, restricted shares: </w:t>
            </w:r>
            <w:r>
              <w:rPr>
                <w:rFonts w:ascii="Times New Roman;serif" w:hAnsi="Times New Roman;serif"/>
                <w:b/>
                <w:color w:val="000000"/>
                <w:sz w:val="12"/>
              </w:rPr>
              <w:t>(a)</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Restricted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Per Share Weighted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 Grant Date Fair Value</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restricted shares, as of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1,505,996 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71.35 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268,117 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90.90 </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(344,304)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88.76 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(298,789)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restricted shares, as of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1,131,020 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75.48 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386,449 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122.25 </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(424,650)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75.16 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89.95 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restricted shares, as of December 31, 2025</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1,038,778 </w:t>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92.26 </w:t>
            </w:r>
          </w:p>
        </w:tc>
        <w:tc>
          <w:tcPr>
            <w:tcW w:w="4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pPr>
      <w:r>
        <w:rPr>
          <w:rFonts w:ascii="Times New Roman;serif" w:hAnsi="Times New Roman;serif"/>
          <w:b w:val="false"/>
          <w:color w:val="000000"/>
          <w:sz w:val="16"/>
        </w:rPr>
        <w:t>(a)    Includes 1,000 restricted stock units as of both December 31, 2024</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6"/>
        </w:rPr>
        <w:t>2023.</w:t>
      </w:r>
    </w:p>
    <w:p>
      <w:pPr>
        <w:pStyle w:val="TextBody"/>
        <w:bidi w:val="0"/>
        <w:spacing w:lineRule="auto" w:line="288" w:before="180" w:after="120"/>
        <w:ind w:left="0" w:right="0" w:firstLine="360"/>
        <w:jc w:val="both"/>
        <w:rPr/>
      </w:pPr>
      <w:r>
        <w:rPr>
          <w:rFonts w:ascii="Times New Roman;serif" w:hAnsi="Times New Roman;serif"/>
          <w:b/>
          <w:i/>
          <w:color w:val="000000"/>
          <w:sz w:val="18"/>
        </w:rPr>
        <w:t xml:space="preserve">Employee Stock Purchase Plans. </w:t>
      </w:r>
      <w:r>
        <w:rPr>
          <w:rFonts w:ascii="Times New Roman;serif" w:hAnsi="Times New Roman;serif"/>
          <w:b w:val="false"/>
          <w:color w:val="000000"/>
          <w:sz w:val="18"/>
        </w:rPr>
        <w:t>For the years ended December 31, 2025, 2024 and 2023, 72,278 shares, 95,374 shares and 119,450 shares, respectively, were purchased by participants under the Company’s ESPPs for $10.3 million, $8.2 million and $8.5 million, respectively, which shares were delivered with shares reacquired by the Company on the open market. For the year ended December 31, 2025, compensation expense associated with the Company’s ESPPs totaled approximately $1.8 million, and for both the years ended December 31, 2024 and 2023, such compensation expense totaled approximately $1.5 million.</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401(k) Plan. </w:t>
      </w:r>
      <w:r>
        <w:rPr>
          <w:rFonts w:ascii="Times New Roman;serif" w:hAnsi="Times New Roman;serif"/>
          <w:b w:val="false"/>
          <w:color w:val="000000"/>
          <w:sz w:val="18"/>
        </w:rPr>
        <w:t>MasTec has a 401(k) plan covering all eligible employees, which allows participants to contribute up to 75% of their pre-tax annual compensation to the plan, subject to certain limitations. Company contributions under the plan are based upon a percentage of the employee’s salary, subject to certain limitations as defined by the plan. During the years ended December 31, 2025, 2024 and 2023, matching contributions totaled approximately $38.1 million, $35.3 million and $36.1 million, respectively.</w:t>
      </w:r>
    </w:p>
    <w:p>
      <w:pPr>
        <w:pStyle w:val="TextBody"/>
        <w:bidi w:val="0"/>
        <w:spacing w:lineRule="auto" w:line="288" w:before="120" w:after="120"/>
        <w:ind w:left="0" w:right="0" w:firstLine="360"/>
        <w:jc w:val="both"/>
        <w:rPr/>
      </w:pPr>
      <w:r>
        <w:rPr>
          <w:rFonts w:ascii="Times New Roman;serif" w:hAnsi="Times New Roman;serif"/>
          <w:b/>
          <w:i/>
          <w:color w:val="000000"/>
          <w:sz w:val="18"/>
        </w:rPr>
        <w:t>Deferred Compensation Plans.</w:t>
      </w:r>
      <w:r>
        <w:rPr>
          <w:color w:val="000000"/>
        </w:rPr>
        <w:t xml:space="preserve"> </w:t>
      </w:r>
      <w:r>
        <w:rPr>
          <w:rFonts w:ascii="Times New Roman;serif" w:hAnsi="Times New Roman;serif"/>
          <w:b w:val="false"/>
          <w:color w:val="000000"/>
          <w:sz w:val="18"/>
        </w:rPr>
        <w:t>MasTec offers a deferred compensation plan to eligible highly compensated employees. These employees are allowed to contribute a percentage of their pre-tax annual compensation to the deferred compensation plan. The Company also offers a deferred compensation plan to its Board of Directors, under which directors may elect to defer the receipt of compensation for their services. The Company also has remaining obligations under other deferred compensation plans, primarily related to acquired companies. Total deferred compensation plan assets, which are included within other long-term assets in the consolidated balance sheets, totaled $33.7 million and $29.0 million as of December 31, 2025 and 2024, respectively. Total deferred compensation plan liabilities, which are included within other long-term liabilities in the consolidated balance sheets, totaled $36.8 million and $35.4 million as of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Note 11 – Other Retirement Plans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Multiemployer Plans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discussed in Note 1 - Business, Basis of Presentation and Significant Accounting Policies, certain of MasTec’s subsidiaries are party to various collective bargaining agreements with unions representing certain of their employees, which require the Company to pay specified wages, provide certain benefits to their union employees and contribute certain amounts to MEPPs. The PPA defines the funding rules for defined benefit pension plans and establishes funding classifications for U.S.-registered multiemployer pension plans. Under the PPA, plans are classified into one of five categories based on multiple factors, which categories are also referred to as a plan’s “zone status”: Green (safe), Yellow (endangered), Orange (seriously endangered), and Red (critical or critical and declining). Factors included in the determination of a plan’s zone status include: funded percentage, cash flow position and whether the plan is projecting a minimum funding deficiency.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 multiemployer plan that is so underfunded as to be in “endangered,” “seriously endangered,” “critical,” or “critical and declining” status, as determined under the PPA, is required to adopt a funding improvement plan (“FIP”) or a rehabilitation plan (“RP”), which, among other actions, could include decreased benefits and increased employer contributions, which could take the form of a surcharge on benefit contributions. These actions are intended to improve their funding status over a period of years. If a pension fund is in critical status, a participating employer must pay an automatic surcharge in addition to contributions otherwise required under the collective bargaining agreement (“CBA”). With some exceptions, the surcharge is equal to 5% of required contributions for the initial critical year and 10% for each succeeding plan year in which the plan remains in critical status. The surcharge ceases on the effective date of a CBA or other agreement that includes contribution and benefit terms consistent with the rehabilitation plan. Certain plans in which the Company participates are in “endangered,” “seriously endangered,” “critical,” or “critical and declining” status. The amount of additional funds, if any, that the Company could be obligated to contribute to these plans in the future cannot be estimated due to the uncertainty of the future levels of work that could be required of the union employees covered by these plans, as well as the required future contribution rates and possible surcharges applicable to these plans. See Note 15 - Commitments and Contingencies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07645"/>
                <wp:effectExtent l="0" t="0" r="0" b="0"/>
                <wp:wrapNone/>
                <wp:docPr id="86" name="Frame84"/>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84</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Details of significant multiemployer pension plans as of and for the periods indicated, based upon information available to the Company from plan administrators, as well as publicly available information on the U.S. Department of Labor website, are provided in the following table:</w:t>
      </w:r>
    </w:p>
    <w:tbl>
      <w:tblPr>
        <w:tblW w:w="10231" w:type="dxa"/>
        <w:jc w:val="left"/>
        <w:tblInd w:w="0" w:type="dxa"/>
        <w:tblLayout w:type="fixed"/>
        <w:tblCellMar>
          <w:top w:w="28" w:type="dxa"/>
          <w:left w:w="28" w:type="dxa"/>
          <w:bottom w:w="28" w:type="dxa"/>
          <w:right w:w="28" w:type="dxa"/>
        </w:tblCellMar>
      </w:tblPr>
      <w:tblGrid>
        <w:gridCol w:w="364"/>
        <w:gridCol w:w="320"/>
        <w:gridCol w:w="322"/>
        <w:gridCol w:w="310"/>
        <w:gridCol w:w="310"/>
        <w:gridCol w:w="311"/>
        <w:gridCol w:w="190"/>
        <w:gridCol w:w="190"/>
        <w:gridCol w:w="191"/>
        <w:gridCol w:w="181"/>
        <w:gridCol w:w="466"/>
        <w:gridCol w:w="109"/>
        <w:gridCol w:w="109"/>
        <w:gridCol w:w="109"/>
        <w:gridCol w:w="109"/>
        <w:gridCol w:w="181"/>
        <w:gridCol w:w="466"/>
        <w:gridCol w:w="109"/>
        <w:gridCol w:w="109"/>
        <w:gridCol w:w="109"/>
        <w:gridCol w:w="109"/>
        <w:gridCol w:w="181"/>
        <w:gridCol w:w="466"/>
        <w:gridCol w:w="109"/>
        <w:gridCol w:w="255"/>
        <w:gridCol w:w="255"/>
        <w:gridCol w:w="256"/>
        <w:gridCol w:w="155"/>
        <w:gridCol w:w="155"/>
        <w:gridCol w:w="126"/>
        <w:gridCol w:w="145"/>
        <w:gridCol w:w="145"/>
        <w:gridCol w:w="116"/>
        <w:gridCol w:w="109"/>
        <w:gridCol w:w="109"/>
        <w:gridCol w:w="109"/>
        <w:gridCol w:w="181"/>
        <w:gridCol w:w="181"/>
        <w:gridCol w:w="149"/>
        <w:gridCol w:w="145"/>
        <w:gridCol w:w="145"/>
        <w:gridCol w:w="116"/>
        <w:gridCol w:w="109"/>
        <w:gridCol w:w="109"/>
        <w:gridCol w:w="109"/>
        <w:gridCol w:w="309"/>
        <w:gridCol w:w="309"/>
        <w:gridCol w:w="238"/>
        <w:gridCol w:w="224"/>
        <w:gridCol w:w="224"/>
        <w:gridCol w:w="31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Contributions </w:t>
              <w:br/>
              <w:t>(in millions)</w:t>
              <w:br/>
              <w:t>Year Ended December 31,</w:t>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Pension Protection Act Zone 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Multiemployer Pension Plan</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Employer Identification Number</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Plan Number</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Expiration Date of CBA</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FIP/RP Status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Surcharge</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National Electrical Benefit Fund</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530181657</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12/31/2030</w:t>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Central Pension Fund of the IUOE &amp; Participating Employers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366052390</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3/31/2030</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1/31/2025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1/31/2024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Local Union No.9 IBEW and Outside Contractors Pension Fund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516077720</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5/25/2030</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10/31/2024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10/31/2023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IBEW Local 456 Pension Plan</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226238995</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12/21/2029</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NECA-IBEW Pension Trust Fund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516029903</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5/31/2028</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Pipeline Industry Pension Fund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736146433</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10/31/2026</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Central Laborers' Pension Fund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376052379</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4/30/2030</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Yellow</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(b)</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Heavy &amp; General Laborers' Local Unions 472 and 172 of New Jersey Pension Fund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226032103</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2/28/2027</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3/31/2025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3/31/2024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Indiana Laborers Pension Fund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356027150</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5/31/2027</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 &amp; Vicinity Laborers' District Council Pension Plan</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362514514</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002</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5/31/2028</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Midwest Operating Engineers Pension Trust Fund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366140097</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5/31/2028</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Construction Laborers Pension Trust for Southern California</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436159056</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5/31/2028</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Fox Valley &amp; Vicinity Laborers Pension Fund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366147409</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5/31/2026</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5/31/2024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5/31/2023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Teamsters National Pipe Line Pension Plan</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461102851</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6/30/2026</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Laborers' National Pension Fund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751280827</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11/30/2028</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Red</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Red</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Implemented</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Laborers' Local Union No.158 Pension Plan</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236580323</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5/31/2027</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IBEW Local 1249 Pension Plan</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156035161</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5/6/2029</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Carpenters Pension Fund of Illinois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366147396</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4/30/2029</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 County Construction Laborers' Pension Trust Fund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956090541</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Varies through 6/30/2026</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8/31/2024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8/31/2023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Engineers' Local 324 Pension Fund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381900637</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5/31/2026</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Red</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Red</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Implemented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Laborers District Council of Virginia Pension Plan</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546117299</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5/31/2026</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West Virginia Laborers' Pension Trust Fund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556026775</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5/31/2026</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3/31/2025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3/31/2024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(a)</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funds</w:t>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multiemployer pension plan contributions</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Company’s contributions to this plan represent greater than 5% of the plan’s total contributions.</w:t>
      </w:r>
    </w:p>
    <w:p>
      <w:pPr>
        <w:pStyle w:val="TextBody"/>
        <w:bidi w:val="0"/>
        <w:spacing w:lineRule="auto" w:line="288" w:before="6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(b)This plan has utilized extended amortization provisions, which provide plans with extensions of time to amortize pension funding shortfalls.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07645"/>
                <wp:effectExtent l="0" t="0" r="0" b="0"/>
                <wp:wrapNone/>
                <wp:docPr id="87" name="Frame85"/>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85</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 </w:t>
      </w:r>
    </w:p>
    <w:tbl>
      <w:tblPr>
        <w:tblW w:w="8720" w:type="dxa"/>
        <w:jc w:val="center"/>
        <w:tblInd w:w="0" w:type="dxa"/>
        <w:tblLayout w:type="fixed"/>
        <w:tblCellMar>
          <w:top w:w="28" w:type="dxa"/>
          <w:left w:w="28" w:type="dxa"/>
          <w:bottom w:w="28" w:type="dxa"/>
          <w:right w:w="28" w:type="dxa"/>
        </w:tblCellMar>
      </w:tblPr>
      <w:tblGrid>
        <w:gridCol w:w="777"/>
        <w:gridCol w:w="683"/>
        <w:gridCol w:w="685"/>
        <w:gridCol w:w="292"/>
        <w:gridCol w:w="264"/>
        <w:gridCol w:w="180"/>
        <w:gridCol w:w="180"/>
        <w:gridCol w:w="180"/>
        <w:gridCol w:w="180"/>
        <w:gridCol w:w="323"/>
        <w:gridCol w:w="323"/>
        <w:gridCol w:w="180"/>
        <w:gridCol w:w="109"/>
        <w:gridCol w:w="109"/>
        <w:gridCol w:w="109"/>
        <w:gridCol w:w="196"/>
        <w:gridCol w:w="556"/>
        <w:gridCol w:w="109"/>
        <w:gridCol w:w="109"/>
        <w:gridCol w:w="109"/>
        <w:gridCol w:w="109"/>
        <w:gridCol w:w="437"/>
        <w:gridCol w:w="1043"/>
        <w:gridCol w:w="245"/>
        <w:gridCol w:w="109"/>
        <w:gridCol w:w="109"/>
        <w:gridCol w:w="109"/>
        <w:gridCol w:w="196"/>
        <w:gridCol w:w="55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Multiemployer Plans</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Covered Employees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Contributions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December 31:</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Multiemployer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fluctuations in the number of employees covered under multiemployer plans and associated contributions in the table above related primarily to the timing of activity for the Company’s union resource-based projects, as well as the effects of the Company’s acquisitions. For the years ended December 31, 2025, 2024 and 2023, multiemployer plan activity was driven primarily by project work within the Company’s Power Delivery and Pipeline Infrastructure operations. In 2023, multiemployer plan activity also included acquisition-related project work within the Company’s Clean Energy and Infrastructure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Note 12 – Equity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Share Activity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share repurchase program provides for the repurchase, from time to time, of MasTec common shares in open market transactions or in privately negotiated transactions in accordance with applicable securities laws. The timing and the amount of any repurchases is determined based on market conditions, legal requirements, cash flow and liquidity needs, and other factors. The Company’s share repurchase program, under which the Company undertakes share repurchases for strategic purposes, including (i) when management believes that the market price of the Company’s stock is undervalued, (ii) such repurchases will enhance long-term shareholder value, (iii) the Company has adequate liquidity, and (iv) management believes that such repurchases are appropriate uses of capital,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 Treasury stock is recorded at cost. Share repurchases are recorded as of the trade date, whereas payments for share repurchases are made on the date the trade is settled.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the year ended December 31, 2025, the Company repurchased 0.7 million shares of its common stock for an aggregate purchase price totaling $77.3 million, which completed the Company’s $150 million March 2020 share repurchase program during the second quarter of 2025. There were no share repurchases under the Company’s share repurchase program for either of the years ended December 31, 2024 or 2023. In May 2025, the Company’s Board of Directors authorized a new $250 million share repurchase program, for which the full amount remains available for future share repurchases as of December 31, 2025.</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fourth quarter of 2024, the Company reissued approximately 0.1 million shares of its treasury stock with a cost basis of $3.1 million in settlement of certain Additional Payments in connection with the HMG acquisition. For additional information related to shares issued for acquisitions, see Note 2 - Earnings Per Share and Note 3 - Acquisitions, Goodwill and Other Intangible Assets, Net.</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Accumulated Other Comprehensive Loss</w:t>
      </w:r>
    </w:p>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 rollforward of activity within accumulated other comprehensive income (loss) for the periods indicated was as follows (in thousands):</w:t>
      </w:r>
    </w:p>
    <w:tbl>
      <w:tblPr>
        <w:tblW w:w="12748" w:type="dxa"/>
        <w:jc w:val="left"/>
        <w:tblInd w:w="0" w:type="dxa"/>
        <w:tblLayout w:type="fixed"/>
        <w:tblCellMar>
          <w:top w:w="28" w:type="dxa"/>
          <w:left w:w="28" w:type="dxa"/>
          <w:bottom w:w="28" w:type="dxa"/>
          <w:right w:w="28" w:type="dxa"/>
        </w:tblCellMar>
      </w:tblPr>
      <w:tblGrid>
        <w:gridCol w:w="680"/>
        <w:gridCol w:w="215"/>
        <w:gridCol w:w="216"/>
        <w:gridCol w:w="109"/>
        <w:gridCol w:w="109"/>
        <w:gridCol w:w="109"/>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196"/>
        <w:gridCol w:w="661"/>
        <w:gridCol w:w="154"/>
      </w:tblGrid>
      <w:tr>
        <w:trPr/>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0"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Consideration transferred in a foreign subsidiary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(50,841)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(44,033)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(53,607)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(65,408)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(52,997)</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Unrealized foreign currency translation activity, net, for the three years in the period ended December 31, 2025 relates primarily to the Company’s activities in Canada and Mexico. Other unrealized activity within accumulated comprehensive loss for the three years in the period ended December 31, 2025 primarily relates to unrealized investment gains or losses associated with interest rate swaps for the Waha JVs. See Note 4 - Fair Value of Financial Instruments for additional information. Consideration transferred in a foreign subsidiary relates to the 40% equity interest of a MasTec subsidiary that was included as consideration transferred for a 2024 acquisition. See Note 3 - Acquisitions, Goodwill and Other Intangible Assets, Net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07645"/>
                <wp:effectExtent l="0" t="0" r="0" b="0"/>
                <wp:wrapNone/>
                <wp:docPr id="88" name="Frame86"/>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86</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13 – Income Taxes</w:t>
      </w:r>
    </w:p>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components of income or loss before income taxes for the periods indicated were as follows (in millions):</w:t>
      </w:r>
    </w:p>
    <w:tbl>
      <w:tblPr>
        <w:tblW w:w="4063" w:type="dxa"/>
        <w:jc w:val="center"/>
        <w:tblInd w:w="0" w:type="dxa"/>
        <w:tblLayout w:type="fixed"/>
        <w:tblCellMar>
          <w:top w:w="28" w:type="dxa"/>
          <w:left w:w="28" w:type="dxa"/>
          <w:bottom w:w="28" w:type="dxa"/>
          <w:right w:w="28" w:type="dxa"/>
        </w:tblCellMar>
      </w:tblPr>
      <w:tblGrid>
        <w:gridCol w:w="288"/>
        <w:gridCol w:w="253"/>
        <w:gridCol w:w="255"/>
        <w:gridCol w:w="196"/>
        <w:gridCol w:w="556"/>
        <w:gridCol w:w="109"/>
        <w:gridCol w:w="109"/>
        <w:gridCol w:w="109"/>
        <w:gridCol w:w="109"/>
        <w:gridCol w:w="196"/>
        <w:gridCol w:w="556"/>
        <w:gridCol w:w="109"/>
        <w:gridCol w:w="109"/>
        <w:gridCol w:w="109"/>
        <w:gridCol w:w="109"/>
        <w:gridCol w:w="196"/>
        <w:gridCol w:w="541"/>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Domestic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Foreign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provision for income taxes for the periods indicated were as follows (in millions):</w:t>
      </w:r>
    </w:p>
    <w:tbl>
      <w:tblPr>
        <w:tblW w:w="6401" w:type="dxa"/>
        <w:jc w:val="left"/>
        <w:tblInd w:w="0" w:type="dxa"/>
        <w:tblLayout w:type="fixed"/>
        <w:tblCellMar>
          <w:top w:w="28" w:type="dxa"/>
          <w:left w:w="28" w:type="dxa"/>
          <w:bottom w:w="28" w:type="dxa"/>
          <w:right w:w="28" w:type="dxa"/>
        </w:tblCellMar>
      </w:tblPr>
      <w:tblGrid>
        <w:gridCol w:w="1107"/>
        <w:gridCol w:w="972"/>
        <w:gridCol w:w="980"/>
        <w:gridCol w:w="196"/>
        <w:gridCol w:w="556"/>
        <w:gridCol w:w="109"/>
        <w:gridCol w:w="109"/>
        <w:gridCol w:w="109"/>
        <w:gridCol w:w="109"/>
        <w:gridCol w:w="196"/>
        <w:gridCol w:w="541"/>
        <w:gridCol w:w="109"/>
        <w:gridCol w:w="109"/>
        <w:gridCol w:w="109"/>
        <w:gridCol w:w="109"/>
        <w:gridCol w:w="196"/>
        <w:gridCol w:w="631"/>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720"/>
        <w:jc w:val="both"/>
        <w:rPr/>
      </w:pPr>
      <w:r>
        <w:rPr>
          <w:rFonts w:ascii="Times New Roman;serif" w:hAnsi="Times New Roman;serif"/>
          <w:b w:val="false"/>
          <w:color w:val="000000"/>
          <w:sz w:val="18"/>
        </w:rPr>
        <w:t xml:space="preserve">The Company adopted ASU 2023-09, </w:t>
      </w:r>
      <w:r>
        <w:rPr>
          <w:rFonts w:ascii="Times New Roman;serif" w:hAnsi="Times New Roman;serif"/>
          <w:b w:val="false"/>
          <w:i/>
          <w:color w:val="000000"/>
          <w:sz w:val="18"/>
        </w:rPr>
        <w:t>Income Taxes (Topic 740): Improvements to Income Tax Disclosures,</w:t>
      </w:r>
      <w:r>
        <w:rPr>
          <w:color w:val="000000"/>
        </w:rPr>
        <w:t xml:space="preserve"> </w:t>
      </w:r>
      <w:r>
        <w:rPr>
          <w:rFonts w:ascii="Times New Roman;serif" w:hAnsi="Times New Roman;serif"/>
          <w:b w:val="false"/>
          <w:color w:val="000000"/>
          <w:sz w:val="18"/>
        </w:rPr>
        <w:t>on a prospective basis beginning with the year ended December 31, 2025. The following table presents the required disclosure pursuant to ASU 2023-09 for income taxes paid, net of refunds, for the year ended December 31, 2025 (in millions):</w:t>
      </w:r>
    </w:p>
    <w:tbl>
      <w:tblPr>
        <w:tblW w:w="4994" w:type="dxa"/>
        <w:jc w:val="left"/>
        <w:tblInd w:w="0" w:type="dxa"/>
        <w:tblLayout w:type="fixed"/>
        <w:tblCellMar>
          <w:top w:w="28" w:type="dxa"/>
          <w:left w:w="28" w:type="dxa"/>
          <w:bottom w:w="28" w:type="dxa"/>
          <w:right w:w="28" w:type="dxa"/>
        </w:tblCellMar>
      </w:tblPr>
      <w:tblGrid>
        <w:gridCol w:w="1025"/>
        <w:gridCol w:w="805"/>
        <w:gridCol w:w="644"/>
        <w:gridCol w:w="605"/>
        <w:gridCol w:w="1439"/>
        <w:gridCol w:w="476"/>
      </w:tblGrid>
      <w:tr>
        <w:trPr/>
        <w:tc>
          <w:tcPr>
            <w:tcW w:w="102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taxes</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State taxes</w:t>
            </w:r>
          </w:p>
        </w:tc>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   </w:t>
            </w:r>
            <w:r>
              <w:rPr>
                <w:rFonts w:ascii="Times New Roman;serif" w:hAnsi="Times New Roman;serif"/>
                <w:b w:val="false"/>
                <w:color w:val="000000"/>
                <w:sz w:val="18"/>
              </w:rPr>
              <w:t>Virginia</w:t>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   </w:t>
            </w:r>
            <w:r>
              <w:rPr>
                <w:rFonts w:ascii="Times New Roman;serif" w:hAnsi="Times New Roman;serif"/>
                <w:b w:val="false"/>
                <w:color w:val="000000"/>
                <w:sz w:val="18"/>
              </w:rPr>
              <w:t>Pennsylvania</w:t>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   </w:t>
            </w:r>
            <w:r>
              <w:rPr>
                <w:rFonts w:ascii="Times New Roman;serif" w:hAnsi="Times New Roman;serif"/>
                <w:b w:val="false"/>
                <w:color w:val="000000"/>
                <w:sz w:val="18"/>
              </w:rPr>
              <w:t>Other state jurisdictions</w:t>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taxes</w:t>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net of refunds</w:t>
            </w:r>
          </w:p>
        </w:tc>
        <w:tc>
          <w:tcPr>
            <w:tcW w:w="6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4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income taxes paid, net of refunds, for the years ended December 31, 2024 and 2023, prior to the adoption of ASU 2023-09 (in millions):</w:t>
      </w:r>
    </w:p>
    <w:tbl>
      <w:tblPr>
        <w:tblW w:w="4659" w:type="dxa"/>
        <w:jc w:val="left"/>
        <w:tblInd w:w="0" w:type="dxa"/>
        <w:tblLayout w:type="fixed"/>
        <w:tblCellMar>
          <w:top w:w="28" w:type="dxa"/>
          <w:left w:w="28" w:type="dxa"/>
          <w:bottom w:w="28" w:type="dxa"/>
          <w:right w:w="28" w:type="dxa"/>
        </w:tblCellMar>
      </w:tblPr>
      <w:tblGrid>
        <w:gridCol w:w="895"/>
        <w:gridCol w:w="786"/>
        <w:gridCol w:w="794"/>
        <w:gridCol w:w="235"/>
        <w:gridCol w:w="559"/>
        <w:gridCol w:w="130"/>
        <w:gridCol w:w="130"/>
        <w:gridCol w:w="130"/>
        <w:gridCol w:w="130"/>
        <w:gridCol w:w="235"/>
        <w:gridCol w:w="451"/>
        <w:gridCol w:w="184"/>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net of refunds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20"/>
        <w:ind w:left="0" w:right="0" w:firstLine="720"/>
        <w:jc w:val="both"/>
        <w:rPr/>
      </w:pPr>
      <w:r>
        <w:rPr/>
      </w:r>
    </w:p>
    <w:p>
      <w:pPr>
        <w:pStyle w:val="TextBody"/>
        <w:bidi w:val="0"/>
        <w:spacing w:before="180" w:after="120"/>
        <w:ind w:left="0" w:right="0" w:firstLine="720"/>
        <w:jc w:val="both"/>
        <w:rPr/>
      </w:pPr>
      <w:r>
        <w:rPr/>
      </w:r>
    </w:p>
    <w:p>
      <w:pPr>
        <w:pStyle w:val="TextBody"/>
        <w:bidi w:val="0"/>
        <w:spacing w:before="180" w:after="120"/>
        <w:ind w:left="0" w:right="0" w:firstLine="720"/>
        <w:jc w:val="both"/>
        <w:rPr/>
      </w:pPr>
      <w:r>
        <w:rPr/>
      </w:r>
    </w:p>
    <w:p>
      <w:pPr>
        <w:pStyle w:val="TextBody"/>
        <w:bidi w:val="0"/>
        <w:spacing w:before="180" w:after="120"/>
        <w:ind w:left="0" w:right="0" w:firstLine="720"/>
        <w:jc w:val="both"/>
        <w:rPr/>
      </w:pPr>
      <w:r>
        <w:rPr/>
      </w:r>
    </w:p>
    <w:p>
      <w:pPr>
        <w:pStyle w:val="TextBody"/>
        <w:bidi w:val="0"/>
        <w:spacing w:before="180" w:after="120"/>
        <w:ind w:left="0" w:right="0" w:firstLine="720"/>
        <w:jc w:val="both"/>
        <w:rPr/>
      </w:pPr>
      <w:r>
        <w:rPr/>
      </w:r>
    </w:p>
    <w:p>
      <w:pPr>
        <w:pStyle w:val="TextBody"/>
        <w:bidi w:val="0"/>
        <w:spacing w:before="18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07645"/>
                <wp:effectExtent l="0" t="0" r="0" b="0"/>
                <wp:wrapNone/>
                <wp:docPr id="89" name="Frame87"/>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87</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8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tax effects of significant items comprising the Company’s net deferred tax liability as of the dates indicated were as follows (in millions):</w:t>
      </w:r>
    </w:p>
    <w:tbl>
      <w:tblPr>
        <w:tblW w:w="5514" w:type="dxa"/>
        <w:jc w:val="center"/>
        <w:tblInd w:w="0" w:type="dxa"/>
        <w:tblLayout w:type="fixed"/>
        <w:tblCellMar>
          <w:top w:w="28" w:type="dxa"/>
          <w:left w:w="28" w:type="dxa"/>
          <w:bottom w:w="28" w:type="dxa"/>
          <w:right w:w="28" w:type="dxa"/>
        </w:tblCellMar>
      </w:tblPr>
      <w:tblGrid>
        <w:gridCol w:w="1186"/>
        <w:gridCol w:w="1037"/>
        <w:gridCol w:w="1047"/>
        <w:gridCol w:w="196"/>
        <w:gridCol w:w="631"/>
        <w:gridCol w:w="109"/>
        <w:gridCol w:w="109"/>
        <w:gridCol w:w="109"/>
        <w:gridCol w:w="109"/>
        <w:gridCol w:w="196"/>
        <w:gridCol w:w="631"/>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insurance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carryforwards and tax credits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remeasurement of equity investee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entities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tax liabilities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assessing the ability to realize the Company’s deferred tax assets, management considers whether it is more likely than not that some portion, or all, of its deferred tax assets will not be realized. The ultimate realization of deferred tax assets is dependent upon the generation of future taxable income during the periods in which these temporary differences become deductible. Management considers the Company’s projected future taxable income and prudent and feasible tax planning strategies in making this assessment. The Company’s valuation allowances as of both December 31, 2025 and 2024 are related primarily to foreign and state net operating losses and deferred tax assets.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deferred tax assets for its state net operating loss carryforwards, which may be carried forward from 5 years to indefinitely, depending on the jurisdiction, totaled approximately $25.9 million and $28.7 million as of December 31, 2025 and 2024, respectively. The Company’s deferred tax assets for its foreign net operating loss carryforwards, which are primarily related to the Company’s Canadian operations, totaled approximately $54.9 million and $56.0 million as of December 31, 2025 and 2024, respectively, and begin to expire in 2026. As of both December 31, 2025 and December 31, 2024, the Company had no deferred tax assets for its federal net operating loss carryforwards.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is generally free of additional U.S. federal tax consequences on distributed foreign subsidiary earnings due to a dividends received deduction implemented as part of the move to a territorial tax system in connection with the Tax Cuts and Jobs Act of 2017 (“TCJA”). The Company has generally not made a provision for income taxes on unremitted foreign earnings because such earnings are insignificant and are intended to be indefinitely reinvested outside the United States. The Company expects that domestic cash resources will be sufficient to fund its domestic operations and cash commitments in the future.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07645"/>
                <wp:effectExtent l="0" t="0" r="0" b="0"/>
                <wp:wrapNone/>
                <wp:docPr id="90" name="Frame88"/>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88</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adopted ASU 2023-09 on a prospective basis beginning with the year ended December 31, 2025. The following table presents the required disclosure pursuant to ASU 2023-09 and reconciles the U.S. statutory federal income tax rate related to pretax income to the effective amount and tax rate for the year ended December 31, 2025 (dollar amounts in millions):</w:t>
      </w:r>
    </w:p>
    <w:tbl>
      <w:tblPr>
        <w:tblW w:w="7217" w:type="dxa"/>
        <w:jc w:val="left"/>
        <w:tblInd w:w="0" w:type="dxa"/>
        <w:tblLayout w:type="fixed"/>
        <w:tblCellMar>
          <w:top w:w="28" w:type="dxa"/>
          <w:left w:w="28" w:type="dxa"/>
          <w:bottom w:w="28" w:type="dxa"/>
          <w:right w:w="28" w:type="dxa"/>
        </w:tblCellMar>
      </w:tblPr>
      <w:tblGrid>
        <w:gridCol w:w="1859"/>
        <w:gridCol w:w="1636"/>
        <w:gridCol w:w="1649"/>
        <w:gridCol w:w="196"/>
        <w:gridCol w:w="556"/>
        <w:gridCol w:w="109"/>
        <w:gridCol w:w="109"/>
        <w:gridCol w:w="109"/>
        <w:gridCol w:w="109"/>
        <w:gridCol w:w="233"/>
        <w:gridCol w:w="233"/>
        <w:gridCol w:w="419"/>
      </w:tblGrid>
      <w:tr>
        <w:trPr/>
        <w:tc>
          <w:tcPr>
            <w:tcW w:w="185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statutory federal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State and local income tax, net of federal (national) income tax effect</w:t>
            </w:r>
            <w:r>
              <w:rPr>
                <w:color w:val="000000"/>
              </w:rPr>
              <w:t xml:space="preserve"> </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effects: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valuation allowances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foreign jurisdictions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employee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unrecognized tax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4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While no state jurisdiction is individually material, California, Florida, Pennsylvania and Virginia made up the majority (greater than 50%) of the Company’s state taxes.</w:t>
      </w:r>
    </w:p>
    <w:p>
      <w:pPr>
        <w:pStyle w:val="TextBody"/>
        <w:bidi w:val="0"/>
        <w:spacing w:lineRule="auto" w:line="288" w:before="18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the required disclosures prior to the adoption of ASU 2023-09 and reconciles the U.S. statutory federal income tax rate related to pretax income to the effective tax rate for the years ended December 31, 2024 and 2023: </w:t>
      </w:r>
    </w:p>
    <w:tbl>
      <w:tblPr>
        <w:tblW w:w="6229" w:type="dxa"/>
        <w:jc w:val="center"/>
        <w:tblInd w:w="0" w:type="dxa"/>
        <w:tblLayout w:type="fixed"/>
        <w:tblCellMar>
          <w:top w:w="28" w:type="dxa"/>
          <w:left w:w="28" w:type="dxa"/>
          <w:bottom w:w="28" w:type="dxa"/>
          <w:right w:w="28" w:type="dxa"/>
        </w:tblCellMar>
      </w:tblPr>
      <w:tblGrid>
        <w:gridCol w:w="1339"/>
        <w:gridCol w:w="1179"/>
        <w:gridCol w:w="1186"/>
        <w:gridCol w:w="269"/>
        <w:gridCol w:w="271"/>
        <w:gridCol w:w="419"/>
        <w:gridCol w:w="178"/>
        <w:gridCol w:w="178"/>
        <w:gridCol w:w="178"/>
        <w:gridCol w:w="269"/>
        <w:gridCol w:w="271"/>
        <w:gridCol w:w="492"/>
      </w:tblGrid>
      <w:tr>
        <w:trP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U.S. statutory federal rate applied to pretax income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 income taxes, net of federal benefit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rate differential</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expenses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tax rate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basis adjustment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 for deferred tax assets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4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4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07645"/>
                <wp:effectExtent l="0" t="0" r="0" b="0"/>
                <wp:wrapNone/>
                <wp:docPr id="91" name="Frame89"/>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89</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6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 reconciliation of the beginning and ending amount of uncertain tax positions, excluding interest and penalties, follows in the table below (in millions).</w:t>
      </w:r>
    </w:p>
    <w:tbl>
      <w:tblPr>
        <w:tblW w:w="7287" w:type="dxa"/>
        <w:jc w:val="center"/>
        <w:tblInd w:w="0" w:type="dxa"/>
        <w:tblLayout w:type="fixed"/>
        <w:tblCellMar>
          <w:top w:w="28" w:type="dxa"/>
          <w:left w:w="28" w:type="dxa"/>
          <w:bottom w:w="28" w:type="dxa"/>
          <w:right w:w="28" w:type="dxa"/>
        </w:tblCellMar>
      </w:tblPr>
      <w:tblGrid>
        <w:gridCol w:w="1548"/>
        <w:gridCol w:w="1359"/>
        <w:gridCol w:w="1368"/>
        <w:gridCol w:w="196"/>
        <w:gridCol w:w="466"/>
        <w:gridCol w:w="109"/>
        <w:gridCol w:w="109"/>
        <w:gridCol w:w="109"/>
        <w:gridCol w:w="109"/>
        <w:gridCol w:w="196"/>
        <w:gridCol w:w="466"/>
        <w:gridCol w:w="109"/>
        <w:gridCol w:w="109"/>
        <w:gridCol w:w="109"/>
        <w:gridCol w:w="109"/>
        <w:gridCol w:w="196"/>
        <w:gridCol w:w="46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based on tax positions related to the current year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for tax positions of prior years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for tax positions of prior years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Lapse of statute of limitations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classifies interest, penalties and recoveries related to uncertain tax positions as a component of income tax expense in the consolidated statements of operations. For the year ended December 31, 2025, interest and penalties totaled a benefit of approximately $2.5 million and for the years ended December 31, 2024 and 2023, totaled an expense of approximately $0.7 million and $2.6 million, respectively. Accrued interest and penalties related to uncertain tax positions were $5.3 million and $7.8 million as of December 31, 2025 and 2024, respectively. The effect on the Company’s tax rate if it were to recognize its gross unrecognized tax benefits as of December 31, 2025 approximates $63.8 million, including interest and penalties. While it is possible that there could be audit settlements and/or lapses in certain statutes of limitation relating to uncertain tax positions, management has determined that it is too difficult to predict the outcome of such matters.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IRS has examined the Company’s federal income tax returns through 2017. Certain foreign and state taxing authorities are examining various years. The final outcome of these examinations is not yet determinable. With few exceptions, as of December 31, 2025, the Company is no longer subject to state examinations by taxing authorities for years before 2020.</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July 4, 2025, new tax legislation was signed into law, known as the One Big Beautiful Bill Act (the “OBBBA”), which makes permanent many of the tax provisions enacted in 2017 as part of the TCJA that were set to expire at the end of 2025. In addition, the OBBBA makes changes to certain U.S. corporate tax provisions, but many are generally not effective until 2026. The Company incorporated the provisions of the new law in preparing its financial statements for the year ended December 31, 2025, which did not have a material impact on its effective annual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Note 14 – Segments and Related Information </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Segment Discussion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manages its operations under five operating segments, which represent its five reportable segments: (1) Communications; (2) Clean Energy and Infrastructure; (3) Power Delivery; (4) Pipeline Infrastructure and (5) Other. The reportable segments comprise the structure used by the Company’s Chief Executive Officer who is determined to be the Chief Operating Decision Maker (“CODM”) to make key operating decisions and assess performance. This structure is generally focused on broad end-user markets for the Company’s labor-based construction services. All five reportable segments derive their revenue primarily from the engineering, installation and maintenance of infrastructure, primarily in North America.</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Communications segment performs engineering, construction, maintenance and customer fulfillment activities related to communications and digital infrastructure, primarily for wireless and wireline/fiber networks, data center buildout and interconnection, wireless integration and optimization and install-to-the-home services, as well as select utility infrastructure,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services, including roads, bridges and rail; and environmental remediation services. The Power Delivery segment primarily serves the energy, utility and data center infrastructure industries through the engineering, construction and maintenance of power transmission and distribution infrastructure, including electrical and gas lines, power reserve and battery infrastructure, and distribution network systems, substations and grid modernization; emergency restoration services following natural disasters and accidents; and environmental planning and compliance services. The Pipeline Infrastructure segment performs engineering, construction, maintenance and other services for pipeline infrastructure, including natural gas, water and carbon capture sequestration pipelines, as well as pipeline integrity, including the repair of pipeline infrastructure and facilitating their safe use throughout their lifecycle, and other services for the energy and utilities industries. The Other segment includes certain equity investees, the services of which may vary from those provided by the Company’s primary segments, as well as other small business units with activities in certain international end-markets.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the first quarter of 2025, the Company made changes to its Communications and Power Delivery segment structures to more closely align with the segments’ end markets and to better correspond with the operational management reporting structure of both segments. These changes included moving a component with utility operations previously reported in the Communications segment to the Power Delivery segment. These changes did not impact the Company’s consolidated financial statements, but did impact its reportable segments, including historical financial information. The segment data presented below have been recast for the historical periods to reflect these segment changes.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accounting policies of the reportable segments are the same as those described in Note 1 - Business, Basis of Presentation and Significant Accounting Policies. Intercompany revenue and costs among the reportable segments are accounted for as if the sales were to third parties because these items are based on negotiated fees between the segments involved. All intercompany transactions and balances are eliminated in consolidation. Intercompany revenue and costs between entities within a reportable segment are eliminated to arrive at segment totals.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07645"/>
                <wp:effectExtent l="0" t="0" r="0" b="0"/>
                <wp:wrapNone/>
                <wp:docPr id="92" name="Frame90"/>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90</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Eliminations between segments are separately presented. Corporate results include amounts related to corporate and administrative functions, such as treasury, legal and other professional activities, including certain settlements; changes in the fair value of Earn-outs, other liabilities and certain investments; acquisition-related transaction costs; and other discrete items, including certain integration activities and debt transaction costs. Segment results include certain allocations of centralized costs such as general liability, medical and workers’ compensation, and auto liability insurance and certain information technology and interest costs, as well as certain discrete items, including certain acquisition and business integration and/or streamlining costs. Income tax expense, which is recorded within Corporate results, is managed on a consolidated basis and is not allocated to the reportable segments.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EBITDA is the measure of profitability used by the Company’s CODM to manage its segments and for segment reporting purposes.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used to allocate resources, such as employees, financial and capital resources, for each segment and management monitors segment results compared to prior period, forecasted results and the annual plan. Segment EBITDA is calculated in a manner consistent with consolidated EBITDA.</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Summarized financial information for MasTec’s reportable segments is presented and reconciled to consolidated financial information for total MasTec in the following tables, including a reconciliation of segment EBITDA to consolidated income (loss) before income taxes, all of which are presented in millions. The tables below, which may contain slight summation differences due to rounding, reflect certain financial data for each reportable segment and have been recast as described above.</w:t>
      </w:r>
    </w:p>
    <w:tbl>
      <w:tblPr>
        <w:tblW w:w="10790" w:type="dxa"/>
        <w:jc w:val="left"/>
        <w:tblInd w:w="0" w:type="dxa"/>
        <w:tblLayout w:type="fixed"/>
        <w:tblCellMar>
          <w:top w:w="28" w:type="dxa"/>
          <w:left w:w="28" w:type="dxa"/>
          <w:bottom w:w="28" w:type="dxa"/>
          <w:right w:w="28" w:type="dxa"/>
        </w:tblCellMar>
      </w:tblPr>
      <w:tblGrid>
        <w:gridCol w:w="426"/>
        <w:gridCol w:w="282"/>
        <w:gridCol w:w="283"/>
        <w:gridCol w:w="280"/>
        <w:gridCol w:w="989"/>
        <w:gridCol w:w="157"/>
        <w:gridCol w:w="109"/>
        <w:gridCol w:w="109"/>
        <w:gridCol w:w="109"/>
        <w:gridCol w:w="239"/>
        <w:gridCol w:w="843"/>
        <w:gridCol w:w="134"/>
        <w:gridCol w:w="109"/>
        <w:gridCol w:w="109"/>
        <w:gridCol w:w="109"/>
        <w:gridCol w:w="196"/>
        <w:gridCol w:w="691"/>
        <w:gridCol w:w="109"/>
        <w:gridCol w:w="109"/>
        <w:gridCol w:w="109"/>
        <w:gridCol w:w="109"/>
        <w:gridCol w:w="239"/>
        <w:gridCol w:w="843"/>
        <w:gridCol w:w="134"/>
        <w:gridCol w:w="109"/>
        <w:gridCol w:w="109"/>
        <w:gridCol w:w="109"/>
        <w:gridCol w:w="196"/>
        <w:gridCol w:w="466"/>
        <w:gridCol w:w="109"/>
        <w:gridCol w:w="109"/>
        <w:gridCol w:w="109"/>
        <w:gridCol w:w="109"/>
        <w:gridCol w:w="269"/>
        <w:gridCol w:w="661"/>
        <w:gridCol w:w="151"/>
        <w:gridCol w:w="109"/>
        <w:gridCol w:w="109"/>
        <w:gridCol w:w="109"/>
        <w:gridCol w:w="196"/>
        <w:gridCol w:w="781"/>
        <w:gridCol w:w="154"/>
      </w:tblGrid>
      <w:tr>
        <w:trPr/>
        <w:tc>
          <w:tcPr>
            <w:tcW w:w="4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December 31,</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Clean Energy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Power Delivery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Pipeline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2025:</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w:t>
            </w:r>
            <w:r>
              <w:rPr>
                <w:rFonts w:ascii="Times New Roman;serif" w:hAnsi="Times New Roman;serif"/>
                <w:b w:val="false"/>
                <w:color w:val="000000"/>
                <w:sz w:val="12"/>
              </w:rPr>
              <w:t>(a)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(b)</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2024:</w:t>
            </w:r>
            <w:r>
              <w:rPr>
                <w:color w:val="000000"/>
              </w:rPr>
              <w:t xml:space="preserve"> </w:t>
            </w:r>
            <w:r>
              <w:rPr>
                <w:rFonts w:ascii="Times New Roman;serif" w:hAnsi="Times New Roman;serif"/>
                <w:b w:val="false"/>
                <w:color w:val="000000"/>
                <w:sz w:val="12"/>
              </w:rPr>
              <w:t>(c)</w:t>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w:t>
            </w:r>
            <w:r>
              <w:rPr>
                <w:rFonts w:ascii="Times New Roman;serif" w:hAnsi="Times New Roman;serif"/>
                <w:b w:val="false"/>
                <w:color w:val="000000"/>
                <w:sz w:val="12"/>
              </w:rPr>
              <w:t>(a)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(b)</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2023:</w:t>
            </w:r>
            <w:r>
              <w:rPr>
                <w:color w:val="000000"/>
              </w:rPr>
              <w:t xml:space="preserve"> </w:t>
            </w:r>
            <w:r>
              <w:rPr>
                <w:rFonts w:ascii="Times New Roman;serif" w:hAnsi="Times New Roman;serif"/>
                <w:b w:val="false"/>
                <w:color w:val="000000"/>
                <w:sz w:val="12"/>
              </w:rPr>
              <w:t>(c)</w:t>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w:t>
            </w:r>
            <w:r>
              <w:rPr>
                <w:rFonts w:ascii="Times New Roman;serif" w:hAnsi="Times New Roman;serif"/>
                <w:b w:val="false"/>
                <w:color w:val="000000"/>
                <w:sz w:val="12"/>
              </w:rPr>
              <w:t>(a)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3,616.9 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(b)</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Total consolidated revenue equals total reportable segment revenue of $14,299.2 million, $12,303.5 million and $11,995.9 million for the years ended December 31, 2025, 2024 and 2023, respectively, as there is no revenue recorded within Corporate results.</w:t>
      </w:r>
    </w:p>
    <w:p>
      <w:pPr>
        <w:pStyle w:val="TextBody"/>
        <w:bidi w:val="0"/>
        <w:spacing w:lineRule="auto" w:line="288" w:before="6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    For each of the years ended December 31, 2025, 2024 and 2023, other segment items for each reportable segment includes general and administrative expenses, equity in earnings or losses of unconsolidated affiliates, net, and other income or expense, net.</w:t>
      </w:r>
    </w:p>
    <w:p>
      <w:pPr>
        <w:pStyle w:val="TextBody"/>
        <w:bidi w:val="0"/>
        <w:spacing w:lineRule="auto" w:line="288" w:before="6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(c)    Recast to reflect 2025 segment changes. </w:t>
      </w:r>
    </w:p>
    <w:p>
      <w:pPr>
        <w:pStyle w:val="TextBody"/>
        <w:bidi w:val="0"/>
        <w:spacing w:before="12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07645"/>
                <wp:effectExtent l="0" t="0" r="0" b="0"/>
                <wp:wrapNone/>
                <wp:docPr id="93" name="Frame91"/>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91</w:t>
                      </w:r>
                    </w:p>
                  </w:txbxContent>
                </v:textbox>
                <w10:wrap type="none"/>
              </v:rect>
            </w:pict>
          </mc:Fallback>
        </mc:AlternateContent>
      </w:r>
    </w:p>
    <w:p>
      <w:pPr>
        <w:pStyle w:val="TextBody"/>
        <w:bidi w:val="0"/>
        <w:spacing w:before="120" w:after="120"/>
        <w:ind w:left="0" w:right="0" w:firstLine="720"/>
        <w:jc w:val="both"/>
        <w:rPr/>
      </w:pPr>
      <w:r>
        <w:rPr/>
      </w:r>
    </w:p>
    <w:tbl>
      <w:tblPr>
        <w:tblW w:w="9447" w:type="dxa"/>
        <w:jc w:val="left"/>
        <w:tblInd w:w="0" w:type="dxa"/>
        <w:tblLayout w:type="fixed"/>
        <w:tblCellMar>
          <w:top w:w="28" w:type="dxa"/>
          <w:left w:w="28" w:type="dxa"/>
          <w:bottom w:w="28" w:type="dxa"/>
          <w:right w:w="28" w:type="dxa"/>
        </w:tblCellMar>
      </w:tblPr>
      <w:tblGrid>
        <w:gridCol w:w="2135"/>
        <w:gridCol w:w="1875"/>
        <w:gridCol w:w="1885"/>
        <w:gridCol w:w="196"/>
        <w:gridCol w:w="691"/>
        <w:gridCol w:w="109"/>
        <w:gridCol w:w="109"/>
        <w:gridCol w:w="109"/>
        <w:gridCol w:w="109"/>
        <w:gridCol w:w="196"/>
        <w:gridCol w:w="691"/>
        <w:gridCol w:w="109"/>
        <w:gridCol w:w="109"/>
        <w:gridCol w:w="109"/>
        <w:gridCol w:w="109"/>
        <w:gridCol w:w="196"/>
        <w:gridCol w:w="556"/>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Segment EBITDA to Income (Loss) Before Income Taxes: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For the years ended December 31, 2025 and 2024, Corporate results included approximately $0.7 million and $10.7 million, respectively, of expenses related to changes in fair value of acquisition-related contingent items, and for the year ended December 31, 2023, such activity included income of approximately $13.9 million. In addition, for the year ended December 31, 2024, Corporate results included a loss on debt extinguishment of $11.3 million, and for the year ended December 31, 2023, Corporate results included fair value losses related to an investment of $0.2 million. For the year ended December 31, 2023, Communications, Clean Energy and Infrastructure, and Power Delivery EBITDA included $22.5 million, $37.1 million, and $8.5 million, respectively, of acquisition and integration costs related to certain transformative acquisitions, and Corporate results included $3.8 million of such costs. These acquisition and integration activities were completed in the fourth quarter of 2023. </w:t>
      </w:r>
    </w:p>
    <w:tbl>
      <w:tblPr>
        <w:tblW w:w="6446" w:type="dxa"/>
        <w:jc w:val="left"/>
        <w:tblInd w:w="0" w:type="dxa"/>
        <w:tblLayout w:type="fixed"/>
        <w:tblCellMar>
          <w:top w:w="28" w:type="dxa"/>
          <w:left w:w="28" w:type="dxa"/>
          <w:bottom w:w="28" w:type="dxa"/>
          <w:right w:w="28" w:type="dxa"/>
        </w:tblCellMar>
      </w:tblPr>
      <w:tblGrid>
        <w:gridCol w:w="1145"/>
        <w:gridCol w:w="1007"/>
        <w:gridCol w:w="1012"/>
        <w:gridCol w:w="196"/>
        <w:gridCol w:w="556"/>
        <w:gridCol w:w="109"/>
        <w:gridCol w:w="109"/>
        <w:gridCol w:w="109"/>
        <w:gridCol w:w="109"/>
        <w:gridCol w:w="196"/>
        <w:gridCol w:w="556"/>
        <w:gridCol w:w="109"/>
        <w:gridCol w:w="109"/>
        <w:gridCol w:w="109"/>
        <w:gridCol w:w="109"/>
        <w:gridCol w:w="196"/>
        <w:gridCol w:w="55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depreciation and amortization</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72" w:type="dxa"/>
        <w:jc w:val="left"/>
        <w:tblInd w:w="0" w:type="dxa"/>
        <w:tblLayout w:type="fixed"/>
        <w:tblCellMar>
          <w:top w:w="28" w:type="dxa"/>
          <w:left w:w="28" w:type="dxa"/>
          <w:bottom w:w="28" w:type="dxa"/>
          <w:right w:w="28" w:type="dxa"/>
        </w:tblCellMar>
      </w:tblPr>
      <w:tblGrid>
        <w:gridCol w:w="863"/>
        <w:gridCol w:w="758"/>
        <w:gridCol w:w="764"/>
        <w:gridCol w:w="196"/>
        <w:gridCol w:w="691"/>
        <w:gridCol w:w="109"/>
        <w:gridCol w:w="109"/>
        <w:gridCol w:w="109"/>
        <w:gridCol w:w="109"/>
        <w:gridCol w:w="196"/>
        <w:gridCol w:w="691"/>
        <w:gridCol w:w="109"/>
        <w:gridCol w:w="109"/>
        <w:gridCol w:w="109"/>
        <w:gridCol w:w="109"/>
        <w:gridCol w:w="196"/>
        <w:gridCol w:w="691"/>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assets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9,373.5 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72" w:type="dxa"/>
        <w:jc w:val="left"/>
        <w:tblInd w:w="0" w:type="dxa"/>
        <w:tblLayout w:type="fixed"/>
        <w:tblCellMar>
          <w:top w:w="28" w:type="dxa"/>
          <w:left w:w="28" w:type="dxa"/>
          <w:bottom w:w="28" w:type="dxa"/>
          <w:right w:w="28" w:type="dxa"/>
        </w:tblCellMar>
      </w:tblPr>
      <w:tblGrid>
        <w:gridCol w:w="902"/>
        <w:gridCol w:w="793"/>
        <w:gridCol w:w="795"/>
        <w:gridCol w:w="196"/>
        <w:gridCol w:w="556"/>
        <w:gridCol w:w="109"/>
        <w:gridCol w:w="109"/>
        <w:gridCol w:w="109"/>
        <w:gridCol w:w="109"/>
        <w:gridCol w:w="196"/>
        <w:gridCol w:w="556"/>
        <w:gridCol w:w="109"/>
        <w:gridCol w:w="109"/>
        <w:gridCol w:w="109"/>
        <w:gridCol w:w="109"/>
        <w:gridCol w:w="196"/>
        <w:gridCol w:w="55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capital expenditures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pPr>
      <w:r>
        <w:rPr>
          <w:rFonts w:ascii="Times New Roman;serif" w:hAnsi="Times New Roman;serif"/>
          <w:b/>
          <w:i/>
          <w:color w:val="000000"/>
          <w:sz w:val="18"/>
          <w:shd w:fill="FFFFFF" w:val="clear"/>
        </w:rPr>
        <w:t>Foreign Operations</w:t>
      </w:r>
      <w:r>
        <w:rPr>
          <w:rFonts w:ascii="Times New Roman;serif" w:hAnsi="Times New Roman;serif"/>
          <w:b/>
          <w:i/>
          <w:color w:val="000000"/>
          <w:sz w:val="18"/>
        </w:rPr>
        <w:t xml:space="preserve">. </w:t>
      </w:r>
      <w:r>
        <w:rPr>
          <w:rFonts w:ascii="Times New Roman;serif" w:hAnsi="Times New Roman;serif"/>
          <w:b w:val="false"/>
          <w:color w:val="000000"/>
          <w:sz w:val="18"/>
        </w:rPr>
        <w:t xml:space="preserve">MasTec operates primarily within the United States and Canada. Revenue derived from foreign operations totaled $177.2 million, $93.3 million and $95.1 million for the years ended December 31, 2025, 2024 and 2023, respectively. Revenue from foreign operations was derived primarily from the Company’s Canadian operations in its Pipeline Infrastructure segment. Long-lived assets held by the Company’s businesses in foreign countries included property and equipment, net, of $23.0 million, $25.3 million and $17.5 million, as of December 31, 2025, 2024 and 2023, respectively, and intangible assets and goodwill, net, of $108.8 million as of both December 31, 2025 and 2024, and $32.6 million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07645"/>
                <wp:effectExtent l="0" t="0" r="0" b="0"/>
                <wp:wrapNone/>
                <wp:docPr id="94" name="Frame92"/>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92</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8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of December 31, 2023. Substantially all of the Company’s long-lived and intangible assets and goodwill in foreign countries relate to its Canadian operations. As of each of December 31, 2025, 2024 and 2023, amounts due from customers from which foreign revenue was derived accounted for approximately 1% of the Company’s consolidated net accounts receivable position, which is calculated as accounts receivable, net, less deferred revenue. </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Significant Customers. </w:t>
      </w:r>
      <w:r>
        <w:rPr>
          <w:rFonts w:ascii="Times New Roman;serif" w:hAnsi="Times New Roman;serif"/>
          <w:b w:val="false"/>
          <w:color w:val="000000"/>
          <w:sz w:val="18"/>
        </w:rPr>
        <w:t>For the year ended December 31, 2025, AT&amp;T represented approximately 10% of the Company’s total consolidated revenue. The Company’s relationship with AT&amp;T is based upon multiple separate master service and other service agreements, including for maintenance services and construction/installation contracts for wireless and wireline, and for which the related revenue is included primarily within the Communications segment. No customer represented greater than 10% of the Company’s total consolidated revenue in either of the years ended December 31, 2024 and 2023. Revenue from governmental entities totaled approximately 13% of total revenue for both the years ended December 31, 2025 and 2024, and 11% for the year ended December 31, 2023, substantially all of which was derived from its U.S.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Note 15 – Commitments and Contingencies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Other Commitments and Contingencies</w:t>
      </w:r>
    </w:p>
    <w:p>
      <w:pPr>
        <w:pStyle w:val="TextBody"/>
        <w:bidi w:val="0"/>
        <w:spacing w:lineRule="auto" w:line="288" w:before="120" w:after="120"/>
        <w:ind w:left="0" w:right="0" w:firstLine="720"/>
        <w:jc w:val="both"/>
        <w:rPr/>
      </w:pPr>
      <w:r>
        <w:rPr>
          <w:rFonts w:ascii="Times New Roman;serif" w:hAnsi="Times New Roman;serif"/>
          <w:b/>
          <w:i/>
          <w:color w:val="000000"/>
          <w:sz w:val="18"/>
        </w:rPr>
        <w:t>Leases.</w:t>
      </w:r>
      <w:r>
        <w:rPr>
          <w:color w:val="000000"/>
        </w:rPr>
        <w:t xml:space="preserve"> </w:t>
      </w:r>
      <w:r>
        <w:rPr>
          <w:rFonts w:ascii="Times New Roman;serif" w:hAnsi="Times New Roman;serif"/>
          <w:b w:val="false"/>
          <w:color w:val="000000"/>
          <w:sz w:val="18"/>
        </w:rPr>
        <w:t>In the ordinary course of business, the Company enters into non-cancelable operating leases for certain of its facility, vehicle and equipment needs, including certain related party leases. See Note 9 - Lease Obligations and Note 16 - Related Party Transactions.</w:t>
      </w:r>
    </w:p>
    <w:p>
      <w:pPr>
        <w:pStyle w:val="TextBody"/>
        <w:bidi w:val="0"/>
        <w:spacing w:lineRule="auto" w:line="288" w:before="120" w:after="120"/>
        <w:ind w:left="0" w:right="0" w:firstLine="720"/>
        <w:jc w:val="both"/>
        <w:rPr/>
      </w:pPr>
      <w:r>
        <w:rPr>
          <w:rFonts w:ascii="Times New Roman;serif" w:hAnsi="Times New Roman;serif"/>
          <w:b/>
          <w:i/>
          <w:color w:val="000000"/>
          <w:sz w:val="18"/>
        </w:rPr>
        <w:t>Letters of Credit.</w:t>
      </w:r>
      <w:r>
        <w:rPr>
          <w:color w:val="000000"/>
        </w:rPr>
        <w:t xml:space="preserve"> </w:t>
      </w:r>
      <w:r>
        <w:rPr>
          <w:rFonts w:ascii="Times New Roman;serif" w:hAnsi="Times New Roman;serif"/>
          <w:b w:val="false"/>
          <w:color w:val="000000"/>
          <w:sz w:val="18"/>
        </w:rPr>
        <w:t>In the ordinary course of business, the Company is required to post letters of credit for its insurance carriers and surety bond providers and in support of performance under certain contracts as well as certain obligations associated with the Company’s equity investments and other strategic arrangements, including its VIEs. In addition, from time to time, certain customers require the Company to post letters of credit to ensure payment of subcontractors and vendors, and guarantee performance under contracts.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December 31, 2025 and 2024, there were $90.5 million and $81.7 million, respectively, of letters of credit issued under the Company’s credit facilities. Letter of credit claims have historically not been material. The Company is not aware of any material claims relating to its outstanding letters of credit as of December 31, 2025 or 2024.</w:t>
      </w:r>
    </w:p>
    <w:p>
      <w:pPr>
        <w:pStyle w:val="TextBody"/>
        <w:bidi w:val="0"/>
        <w:spacing w:lineRule="auto" w:line="288" w:before="120" w:after="120"/>
        <w:ind w:left="0" w:right="0" w:firstLine="720"/>
        <w:jc w:val="both"/>
        <w:rPr/>
      </w:pPr>
      <w:r>
        <w:rPr>
          <w:rFonts w:ascii="Times New Roman;serif" w:hAnsi="Times New Roman;serif"/>
          <w:b/>
          <w:i/>
          <w:color w:val="000000"/>
          <w:sz w:val="18"/>
        </w:rPr>
        <w:t>Performance and Payment Bonds.</w:t>
      </w:r>
      <w:r>
        <w:rPr>
          <w:color w:val="000000"/>
        </w:rPr>
        <w:t xml:space="preserve"> </w:t>
      </w:r>
      <w:r>
        <w:rPr>
          <w:rFonts w:ascii="Times New Roman;serif" w:hAnsi="Times New Roman;serif"/>
          <w:b w:val="false"/>
          <w:color w:val="000000"/>
          <w:sz w:val="18"/>
        </w:rPr>
        <w:t>In the ordinary course of business, MasTec is required by certain customers to provide performance and payment bonds for 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December 31, 2025 and 2024, outstanding performance and payment bonds approximated $10.9 billion and $7.6 billion, respectively, and estimated costs to complete projects secured by these bonds totaled $4.6 billion and $2.2 billion as of December 31, 2025 and 2024, respectively. Included in these balances as of December 31, 2025 and 2024 are $1.1 billion and $838.7 million,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pStyle w:val="TextBody"/>
        <w:bidi w:val="0"/>
        <w:spacing w:lineRule="auto" w:line="288" w:before="120" w:after="120"/>
        <w:ind w:left="0" w:right="0" w:firstLine="720"/>
        <w:jc w:val="both"/>
        <w:rPr/>
      </w:pPr>
      <w:r>
        <w:rPr>
          <w:rFonts w:ascii="Times New Roman;serif" w:hAnsi="Times New Roman;serif"/>
          <w:b/>
          <w:i/>
          <w:color w:val="000000"/>
          <w:sz w:val="18"/>
        </w:rPr>
        <w:t>Investment and Strategic Arrangements.</w:t>
      </w:r>
      <w:r>
        <w:rPr>
          <w:color w:val="000000"/>
        </w:rPr>
        <w:t xml:space="preserve"> </w:t>
      </w:r>
      <w:r>
        <w:rPr>
          <w:rFonts w:ascii="Times New Roman;serif" w:hAnsi="Times New Roman;serif"/>
          <w:b w:val="false"/>
          <w:color w:val="000000"/>
          <w:sz w:val="18"/>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nine civil construction projects. Income and/or loss incurred by these joint ventures is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December 31, 2025, the Company was not aware of material future claims against it in connection with these arrangements. For the year ended December 31, 2023 the Company provided $0.5 million of project-related financing to its contractual joint ventures, which amount was outstanding as of both the years ended December 31, 2025 and 2024.</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One of the Company’s subsidiaries has a subcontracting arrangement with a contractual joint venture in which it holds a 35% undivided interest, for which the related project was completed in 2022. Outstanding performance guarantees on behalf of this contractual joint venture totaled Canadian $9.7 million as of both December 31, 2025 and 2024, or approximately $7.1 million and $6.7 million, respectively. The Company has other investment and strategic arrangements, under which it may incur costs or provide financing, performance, financial and/or other guarantees. See Note 4 - Fair Value of Financial Instruments and Note 16 - Related Party Transactions for additional information pertaining to the Company’s investment and strategic arrangements.</w:t>
      </w:r>
    </w:p>
    <w:p>
      <w:pPr>
        <w:pStyle w:val="TextBody"/>
        <w:bidi w:val="0"/>
        <w:spacing w:lineRule="auto" w:line="288" w:before="120" w:after="120"/>
        <w:ind w:left="0" w:right="0" w:firstLine="720"/>
        <w:jc w:val="both"/>
        <w:rPr/>
      </w:pPr>
      <w:r>
        <w:rPr>
          <w:rFonts w:ascii="Times New Roman;serif" w:hAnsi="Times New Roman;serif"/>
          <w:b/>
          <w:i/>
          <w:color w:val="000000"/>
          <w:sz w:val="18"/>
        </w:rPr>
        <w:t>Self-Insurance.</w:t>
      </w:r>
      <w:r>
        <w:rPr>
          <w:color w:val="000000"/>
        </w:rPr>
        <w:t xml:space="preserve"> </w:t>
      </w:r>
      <w:r>
        <w:rPr>
          <w:rFonts w:ascii="Times New Roman;serif" w:hAnsi="Times New Roman;serif"/>
          <w:b w:val="false"/>
          <w:color w:val="000000"/>
          <w:sz w:val="18"/>
        </w:rPr>
        <w:t>MasTec maintains insurance policies for workers’ compensation, general liability and automobile liability, which are subject to per claim 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limits. Captive insurance-related cash balances totaled approximately $3.3 million and $2.2 million as of December 31, 2025 and 2024, respectively, which amounts are generally not available for use in the Company’s other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07645"/>
                <wp:effectExtent l="0" t="0" r="0" b="0"/>
                <wp:wrapNone/>
                <wp:docPr id="95" name="Frame9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93</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December 31, 2025 and 2024, MasTec’s estimated gross liability for unpaid claims and associated expenses, including incurred but not reported losses related to these policies, totaled $306.8 million and $251.0 million, respectively, of which $224.9 million and $184.1 million, respectively, were reflected within other long-term liabilities, with the remainder reflected within other accrued expenses, in the consolidated balance sheets as of the respective periods. Related insurance recoveries/receivables totaled $25.2 million and $24.4 million as of December 31, 2025 and 2024, respectively, of which $22.4 million and $21.4 million was reflected within other long-term assets, with the remainder reflected within other current assets, in the consolidated balance sheets as of the respective periods. MasTec also maintains an insurance policy with respect to employee group medical claims, which is subject to annual per employee maximum losses. MasTec’s estimated liability for employee group medical claims totaled $2.3 million and $4.7 million as of December 31, 2025 and 2024,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$7.4 million and $8.7 million as of December 31, 2025 and 2024, respectively. Outstanding surety bonds related to self-insurance programs amounted to $198.6 million and $196.3 million as of December 31, 2025 and 2024, respectively.</w:t>
      </w:r>
    </w:p>
    <w:p>
      <w:pPr>
        <w:pStyle w:val="TextBody"/>
        <w:bidi w:val="0"/>
        <w:spacing w:lineRule="auto" w:line="288" w:before="120" w:after="120"/>
        <w:ind w:left="0" w:right="0" w:firstLine="720"/>
        <w:jc w:val="both"/>
        <w:rPr/>
      </w:pPr>
      <w:r>
        <w:rPr>
          <w:rFonts w:ascii="Times New Roman;serif" w:hAnsi="Times New Roman;serif"/>
          <w:b/>
          <w:i/>
          <w:color w:val="000000"/>
          <w:sz w:val="18"/>
        </w:rPr>
        <w:t>Employment Agreements.</w:t>
      </w:r>
      <w:r>
        <w:rPr>
          <w:color w:val="000000"/>
        </w:rPr>
        <w:t xml:space="preserve"> </w:t>
      </w:r>
      <w:r>
        <w:rPr>
          <w:rFonts w:ascii="Times New Roman;serif" w:hAnsi="Times New Roman;serif"/>
          <w:b w:val="false"/>
          <w:color w:val="000000"/>
          <w:sz w:val="18"/>
        </w:rPr>
        <w:t>The Company has employment agreements with certain executives and other employees, which provide for compensation and certain 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related employees, which vary with the level of the employees’ respective responsibility.</w:t>
      </w:r>
    </w:p>
    <w:p>
      <w:pPr>
        <w:pStyle w:val="TextBody"/>
        <w:bidi w:val="0"/>
        <w:spacing w:lineRule="auto" w:line="288" w:before="120" w:after="120"/>
        <w:ind w:left="0" w:right="0" w:firstLine="720"/>
        <w:jc w:val="both"/>
        <w:rPr/>
      </w:pPr>
      <w:r>
        <w:rPr>
          <w:rFonts w:ascii="Times New Roman;serif" w:hAnsi="Times New Roman;serif"/>
          <w:b/>
          <w:i/>
          <w:color w:val="000000"/>
          <w:sz w:val="18"/>
        </w:rPr>
        <w:t>Collective Bargaining Agreements and Multiemployer Plans.</w:t>
      </w:r>
      <w:r>
        <w:rPr>
          <w:color w:val="000000"/>
        </w:rPr>
        <w:t xml:space="preserve"> </w:t>
      </w:r>
      <w:r>
        <w:rPr>
          <w:rFonts w:ascii="Times New Roman;serif" w:hAnsi="Times New Roman;serif"/>
          <w:b w:val="false"/>
          <w:color w:val="000000"/>
          <w:sz w:val="18"/>
        </w:rPr>
        <w:t>As discussed in Note 1 - Business, Basis of Presentation and Significant Accounting Policies and Note 11 - Other Retirement Plans, certain of MasTec’s subsidiaries are party to 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currently contributes, and in the past, has contributed, to plans that are underfunded, and, therefore, could have potential liability associated with a voluntary or involuntary withdrawal from, or termination of, these plans. As of December 31, 2025,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 In connection with the IEA acquisition in 2022, the Company assumed a multiemployer pension plan withdrawal liability, under which IEA was obligated to make monthly payments of approximately $10,000. As of December 31, 2024, the remaining obligation approximated $1.3 million, which the Company settled in January 2025 by issuing a lump-sum payment. </w:t>
      </w:r>
    </w:p>
    <w:p>
      <w:pPr>
        <w:pStyle w:val="TextBody"/>
        <w:bidi w:val="0"/>
        <w:spacing w:lineRule="auto" w:line="288" w:before="120" w:after="120"/>
        <w:ind w:left="0" w:right="0" w:firstLine="720"/>
        <w:jc w:val="both"/>
        <w:rPr/>
      </w:pPr>
      <w:r>
        <w:rPr>
          <w:rFonts w:ascii="Times New Roman;serif" w:hAnsi="Times New Roman;serif"/>
          <w:b/>
          <w:i/>
          <w:color w:val="000000"/>
          <w:sz w:val="18"/>
        </w:rPr>
        <w:t>Indemnities.</w:t>
      </w:r>
      <w:r>
        <w:rPr>
          <w:color w:val="000000"/>
        </w:rPr>
        <w:t xml:space="preserve"> </w:t>
      </w:r>
      <w:r>
        <w:rPr>
          <w:rFonts w:ascii="Times New Roman;serif" w:hAnsi="Times New Roman;serif"/>
          <w:b w:val="false"/>
          <w:color w:val="000000"/>
          <w:sz w:val="18"/>
        </w:rPr>
        <w:t>The Company generally indemnifies its customers for the services it provides under its contracts, as well as other specified liabilities, which may subject the Company to indemnity claims, liabilities and related litigation. As of December 31, 2025 and 2024, the Company had accrued project close-out liabilities of approximately $5 million and $20 million, respectively. The Company is not aware of any other material asserted or unasserted claims in connection with its potential indemnity obligations.</w:t>
      </w:r>
    </w:p>
    <w:p>
      <w:pPr>
        <w:pStyle w:val="TextBody"/>
        <w:bidi w:val="0"/>
        <w:spacing w:lineRule="auto" w:line="288" w:before="120" w:after="120"/>
        <w:ind w:left="0" w:right="0" w:firstLine="720"/>
        <w:jc w:val="both"/>
        <w:rPr/>
      </w:pPr>
      <w:r>
        <w:rPr>
          <w:rFonts w:ascii="Times New Roman;serif" w:hAnsi="Times New Roman;serif"/>
          <w:b/>
          <w:i/>
          <w:color w:val="000000"/>
          <w:sz w:val="18"/>
        </w:rPr>
        <w:t>Other Guarantees.</w:t>
      </w:r>
      <w:r>
        <w:rPr>
          <w:color w:val="000000"/>
        </w:rPr>
        <w:t xml:space="preserve"> </w:t>
      </w:r>
      <w:r>
        <w:rPr>
          <w:rFonts w:ascii="Times New Roman;serif" w:hAnsi="Times New Roman;serif"/>
          <w:b w:val="false"/>
          <w:color w:val="000000"/>
          <w:sz w:val="18"/>
        </w:rPr>
        <w:t>From time to time in the ordinary course of its business, MasTec guarantees the obligations of its subsidiaries, including obligations under 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pStyle w:val="TextBody"/>
        <w:bidi w:val="0"/>
        <w:spacing w:lineRule="auto" w:line="288" w:before="120" w:after="120"/>
        <w:ind w:left="0" w:right="0" w:firstLine="720"/>
        <w:jc w:val="both"/>
        <w:rPr/>
      </w:pPr>
      <w:r>
        <w:rPr>
          <w:rFonts w:ascii="Times New Roman;serif" w:hAnsi="Times New Roman;serif"/>
          <w:b/>
          <w:i/>
          <w:color w:val="000000"/>
          <w:sz w:val="18"/>
        </w:rPr>
        <w:t>Concentrations of Risk.</w:t>
      </w:r>
      <w:r>
        <w:rPr>
          <w:color w:val="000000"/>
        </w:rPr>
        <w:t xml:space="preserve"> </w:t>
      </w:r>
      <w:r>
        <w:rPr>
          <w:rFonts w:ascii="Times New Roman;serif" w:hAnsi="Times New Roman;serif"/>
          <w:b w:val="false"/>
          <w:color w:val="000000"/>
          <w:sz w:val="18"/>
        </w:rPr>
        <w:t xml:space="preserve">The Company is subject to certain risk factors, including, but not limited to: risks related to market conditions, market uncertainty, including from economic downturns or other economic factors, including levels of inflation and rates of interest; supply chain disruptions; governmental and/or regulatory changes, including trade policies, governmental permitting, or from climate-related matters, or other factors affecting the industries in which the Company operates; changes in customers’ capital spending plans; the Company’s ability to manage projects effectively and in accordance with management’s estimates and resolution of unapproved change orders; risks related to the Company’s acquisitions, including acquisition integration and financing; availability of qualified employees; risks related to rapid technological changes or customer consolidation; competition; the nature of the Company’s contracts, which do not obligate its customers to undertake any infrastructure projects and may be canceled on short notice; customer disputes related to the performance of services; exposure to litigation; seasonality, adverse weather conditions and fluctuations in operational factors; potential exposure to environmental liabilities; exposure from system or information technology interruptions; recoverability of goodwill; collectibility of receivables; the adequacy of the Company’s reserves; public health matters; exposure related to strategic investments or foreign operations; and exposure to multiemployer pension plan liabilities. The Company grants credit, generally without collateral, to its customers. Consequently, the Company is subject to potential credit risk related to changes in business and economic factors, including from current economic uncertainty. However, MasTec generally has certain lien rights on that work and maintains a diverse customer base. The Company believes its billing and collection policies are adequate to minimize potential credit risk. MasTec’s customers include: wireless and wireline/fiber service providers; broadband operators; install-to-the-home service providers; public and private energy providers, including renewable and other energy providers; pipeline operators; civil, transportation and industrial infrastructure providers;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07645"/>
                <wp:effectExtent l="0" t="0" r="0" b="0"/>
                <wp:wrapNone/>
                <wp:docPr id="96" name="Frame94"/>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94</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government entities. The industries served by MasTec’s customers include the communications, energy and utilities industries, including the power industry, among others.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had approximately 1,800 customers for the year ended December 31, 2025. As of December 31, 2025, one customer accounted for approximately 10% of the Company’s consolidated net accounts receivable position, which is calculated as accounts receivable, net, less deferred revenue. As of December 31, 2024, no customer represented greater than 10% of the Company’s consolidated net accounts receivable position. For the years ended December 31, 2025, 2024 and 2023, the Company derived 34%, 35% and 38%, respectively, of its revenue from its top ten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Note 16 – Related Party Transactions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rents and leases equipment and purchases certain supplies and servicing from CCI, an entity in which Juan Carlos Mas, who is an immediate family member of the Company’s CEO and its Chairman of the Board, serves as the chairman. Additionally, a member of management of a MasTec subsidiary and an entity that is owned by the Mas family are minority owners of CCI. For the years ended December 31, 2025, 2024 and 2023, MasTec paid CCI $6.4 million, $11.7 million and $7.3 million, respectively, for such services, and related amounts payable totaled approximately $0.8 million and $0.7 million as of December 31, 2025 and 2024, respectively. The Company also rents equipment to CCI and revenue from such rentals totaled approximately $0.3 million and $0.5 million for the years ended December 31, 2025 and 2024, respectively, and for the year ended December 31, 2023, there was no revenue from such arrangements.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has a subcontracting arrangement with an entity for the performance of construction services, the minority owners of which include an entity controlled by Jorge Mas and José R. Mas, along with two members of management of a MasTec subsidiary. For the years ended December 31, 2025, 2024 and 2023, MasTec incurred subcontracting expenses in connection with this arrangement of approximately $3.5 million, $5.8 million and $8.7 million, respectively. Related amounts payable were immaterial as of both December 31, 2025 and 2024.</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has an aircraft leasing arrangement with an entity that is owned by Jorge Mas. For the years ended December 31, 2025, 2024 and 2023, MasTec paid approximately $5.6 million, $6.3 million and $2.7 million, respectively, related to this leasing arrangement.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performs construction services on behalf of a professional Miami soccer franchise (the “Franchise”) in which Jorge Mas and José R. Mas are majority owners. Construction services include, and have included, the construction of a soccer facility and stadium as well as utility and wireless infrastructure services. Construction services related to site preparation for a new soccer complex began in 2023. For the years ended December 31, 2025, 2024 and 2023, revenue under these arrangements totaled approximately $77.6 million, $24.9 million and $10.7 million, respectively, and related amounts receivable totaled approximately $37.5 million and $12.8 million as of December 31, 2025 and 2024, respectively. Payments for other expenses related to the Franchise totaled $1.0 million, $0.9 million and $1.2 million for the years ended December 31, 2025, 2024 and 2023,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has a subcontracting arrangement to perform construction services for an entity in which José R. Mas had a minority interest, and a member of management of a MasTec subsidiary owned the remaining interest. On January 1, 2024, MasTec acquired José R. Mas’ interest in this entity for approximately $0.7 million.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previously acquired a construction management firm specializing in steel building systems, of which Juan Carlos Mas was a minority owner at the time of acquisition. In 2023, the Company paid $16.1 million of contingent consideration in connection with the finalization of the earn-out arrangement, of which approximately 25% was paid to Juan Carlos Mas pursuant to the terms of the purchase agreement.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has an amended and restated split dollar life insurance agreement with (i) Jorge Mas, and José R. Mas and Juan Carlos Mas, as trustees of the Jorge Mas Irrevocable Trust (the “Jorge Mas trust”); and (ii) José R. Mas, and Jorge Mas, Juan Carlos Mas and Patricia Mas, as trustees of the José Ramon Mas Irrevocable Trust (the “José R. Mas trust”). The Company is the sole owner of each of the policies and is designated as the named fiduciary under each split dollar agreement, and the policies subject to the split dollar agreement may not be surrendered without the express written consent of the applicable trust. The total maximum face amount of the insurance policies subject to the split dollar agreements is capped at $200 million in the case of Jorge Mas and $75 million in the case of José R. Mas. Upon the death of the applicable executive or the survivor of the applicable executive and his wife, the Company is entitled to receive a portion of the death benefit under the policy equal to the greater of (i) premiums paid by the Company on the policy and (ii) the then cash value of the policy, excluding surrender charges or other similar charges or reductions, immediately before the triggering death. In addition, each executive is entitled to purchase the applicable policy under certain events, including a change in control of the Company. The Company paid approximately $0.4 million and $1.4 million, net, in connection with these agreements for the years ended December 31, 2024 and 2023, respectively. In 2025, no payments were made in connection with these agreements. Life insurance assets associated with these agreements, which amounts are included within other long-term assets, totaled approximately $27.5 million as of both December 31, 2025 and 2024.</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any given year, the Company may engage in certain transactions on behalf of or to former owners of acquired businesses (“former owners”) and/or entities in which members of subsidiary management have ownership or commercial interests (“related entities or entity”). A summary of these related party transactions for the years ended December 31, 2025, 2024 and 2023 is noted below.</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purchases, rents and leases equipment and purchases various types of supplies and services used in its business, and from time to time, rents equipment to, sells certain supplies, or performs construction services on behalf of, related entities. For the years ended December 31, 2025, 2024 and 2023, payments to these related entities totaled approximately $36.0 million, $33.7 million and $42.5 million, respectively, and revenue from such arrangements totaled approximately $11.3 million, $18.4 million and $14.0 million, respectively. Payables associated with such arrangements totaled approximately $4.2 million and $2.8 million as of December 31, 2025 and 2024, respectively. As of both December 31, 2025 and 2024, accounts receivable, net, less deferred revenue related to these arrangements totaled a receivable of approximately $3.9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07645"/>
                <wp:effectExtent l="0" t="0" r="0" b="0"/>
                <wp:wrapNone/>
                <wp:docPr id="97" name="Frame95"/>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95</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made advances of $0.3 million and $0.6 million on behalf of or to former owners during the years ended December 31, 2024 and 2023, respectively, which were obligated to be repaid under the provisions of the related purchase agreements. As of December 31, 2024, amounts receivable for such advances totaled approximately $0.2 million, which were repaid in 2025.</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the Company had certain arrangements with a related entity, including a fee arrangement in conjunction with a $15.0 million letter of credit issued by the Company on behalf of this entity. This letter of credit was cancelled as of March 31, 2025. Income recognized in connection with these arrangements totaled approximately $0.2 million for the year ended December 31, 2025, and for both the years ended December 31, 2024 and 2023, totaled approximately $0.8 million. As of December 31, 2024, related amounts receivable totaled approximately $0.4 million, which were repaid in 2025.</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Non-controlling interests in entities consolidated by the Company represent ownership interests held by members of management of certain of the Company’s subsidiaries. The Company sold certain minority interests in these entities to members of management of a MasTec subsidiary for $7.1 million of notes receivable in a prior year. These notes, of which approximately $0.4 million and $3.2 million was outstanding as of December 31, 2025 and 2024, respectively, are recorded within other current or long-term assets, as appropriate, in the consolidated financial statements. The notes bear interest at a rate of 5.0% per annum. In 2023, the Company acquired the remaining 15% equity interests in one of its subsidiaries from two members of subsidiary management for $10.0 million in cash, plus 120,000 shares of MasTec common stock, valued at approximately $11.6 million. See Note 3 - Acquisitions, Goodwill and Other Intangible Assets, Net for additional </w:t>
      </w:r>
      <w:bookmarkStart w:id="2" w:name="i0ed85c719e364f1b8d345aef41fef545_12960"/>
      <w:bookmarkEnd w:id="2"/>
      <w:r>
        <w:rPr>
          <w:rFonts w:ascii="Times New Roman;serif" w:hAnsi="Times New Roman;serif"/>
          <w:b w:val="false"/>
          <w:color w:val="000000"/>
          <w:sz w:val="18"/>
        </w:rPr>
        <w:t>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07645"/>
                <wp:effectExtent l="0" t="0" r="0" b="0"/>
                <wp:wrapNone/>
                <wp:docPr id="98" name="Frame96"/>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96</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300" w:after="120"/>
        <w:ind w:left="0" w:right="0" w:hanging="1440"/>
        <w:jc w:val="left"/>
        <w:rPr>
          <w:rFonts w:ascii="Times New Roman;serif" w:hAnsi="Times New Roman;serif"/>
          <w:b/>
          <w:color w:val="000000"/>
          <w:sz w:val="18"/>
        </w:rPr>
      </w:pPr>
      <w:r>
        <w:rPr>
          <w:rFonts w:ascii="Times New Roman;serif" w:hAnsi="Times New Roman;serif"/>
          <w:b/>
          <w:color w:val="000000"/>
          <w:sz w:val="18"/>
        </w:rPr>
        <w:t>Item 9.     CHANGES IN AND DISAGREEMENTS WITH ACCOUNTANTS ON ACCOUNTING AND FINANCIAL DISCLOSURE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ind w:left="0" w:right="0" w:hanging="1440"/>
        <w:jc w:val="both"/>
        <w:rPr>
          <w:rFonts w:ascii="Times New Roman;serif" w:hAnsi="Times New Roman;serif"/>
          <w:b/>
          <w:color w:val="000000"/>
          <w:sz w:val="18"/>
        </w:rPr>
      </w:pPr>
      <w:r>
        <w:rPr>
          <w:rFonts w:ascii="Times New Roman;serif" w:hAnsi="Times New Roman;serif"/>
          <w:b/>
          <w:color w:val="000000"/>
          <w:sz w:val="18"/>
        </w:rPr>
        <w:t xml:space="preserve">Item 9A.     CONTROLS AND PROCEDURES </w:t>
      </w:r>
    </w:p>
    <w:p>
      <w:pPr>
        <w:pStyle w:val="TextBody"/>
        <w:bidi w:val="0"/>
        <w:spacing w:lineRule="auto" w:line="288" w:before="120" w:after="120"/>
        <w:ind w:left="0" w:right="0" w:firstLine="720"/>
        <w:jc w:val="both"/>
        <w:rPr/>
      </w:pPr>
      <w:r>
        <w:rPr>
          <w:rFonts w:ascii="Times New Roman;serif" w:hAnsi="Times New Roman;serif"/>
          <w:b/>
          <w:i/>
          <w:color w:val="000000"/>
          <w:sz w:val="18"/>
        </w:rPr>
        <w:t>Evaluation of Disclosure Controls and Procedures.</w:t>
      </w:r>
      <w:r>
        <w:rPr>
          <w:color w:val="000000"/>
        </w:rPr>
        <w:t xml:space="preserve"> </w:t>
      </w:r>
      <w:r>
        <w:rPr>
          <w:rFonts w:ascii="Times New Roman;serif" w:hAnsi="Times New Roman;serif"/>
          <w:b w:val="false"/>
          <w:color w:val="000000"/>
          <w:sz w:val="18"/>
        </w:rPr>
        <w:t>As of the end of the period covered by this Form 10-K,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Based on management’s evaluation, our Chief Executive Officer and Chief Financial Officer concluded that our disclosure controls and procedures were effective at the reasonable assurance level as of December 31, 2025.</w:t>
      </w:r>
    </w:p>
    <w:p>
      <w:pPr>
        <w:pStyle w:val="TextBody"/>
        <w:bidi w:val="0"/>
        <w:spacing w:lineRule="auto" w:line="288" w:before="120" w:after="120"/>
        <w:ind w:left="0" w:right="0" w:firstLine="720"/>
        <w:jc w:val="both"/>
        <w:rPr/>
      </w:pPr>
      <w:r>
        <w:rPr>
          <w:rFonts w:ascii="Times New Roman;serif" w:hAnsi="Times New Roman;serif"/>
          <w:b/>
          <w:i/>
          <w:color w:val="000000"/>
          <w:sz w:val="18"/>
        </w:rPr>
        <w:t>Management’s Report on Internal Control Over Financial Reporting.</w:t>
      </w:r>
      <w:r>
        <w:rPr>
          <w:color w:val="000000"/>
        </w:rPr>
        <w:t xml:space="preserve"> </w:t>
      </w:r>
      <w:r>
        <w:rPr>
          <w:rFonts w:ascii="Times New Roman;serif" w:hAnsi="Times New Roman;serif"/>
          <w:b w:val="false"/>
          <w:color w:val="000000"/>
          <w:sz w:val="18"/>
        </w:rPr>
        <w:t>Our management is responsible for establishing and maintaining adequate internal control over financial reporting as defined in Exchange Act Rule 13a-15(f). Internal control over financial reporting is a process designed by, or under the supervision of, our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 pertain to the maintenance of records that, in reasonable detail, accurately and fairly reflect the transactions and dispositions of our assets;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(iii) 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Because of its inherent limitations, internal control over financial reporting may not prevent or detect misstatements.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Management’s assessment of the effectiveness of internal control over financial reporting did not include the internal control over financial reporting of four entities we acquired in 2025, related to a July and a November acquisition in our Communications segment, an August acquisition in our Pipeline Infrastructure segment, and a December acquisition in our Clean Energy and Infrastructure segment. These acquisitions are included in the 2025 consolidated financial statements in this Form 10-K. Collectively, these four acquisitions’ total assets constituted approximately 2% of the Company’s total assets as of December 31, 2025 and less than 1% of the Company’s revenue for the year then ended.</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Management, including our Chief Executive Officer and Chief Financial Officer, evaluated the effectiveness of our internal control over financial reporting as of the end of the period covered by this report. In making this assessment, management used the criteria set forth by the Committee of Sponsoring Organizations of the Treadway Commission (COSO) in “Internal Control-Integrated Framework” (2013). Based on this assessment, management has concluded that our internal control over financial reporting was effective as of December 31, 2025.</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PricewaterhouseCoopers LLP, an independent registered public accounting firm, has audited our internal control over financial reporting as of December 31, 2025 and has expressed an unqualified opinion thereon, as stated in their report that is included in </w:t>
      </w:r>
      <w:hyperlink w:anchor="if4b0bf616dbc41b2b15400916ea5db26_82">
        <w:r>
          <w:rPr>
            <w:rStyle w:val="InternetLink"/>
            <w:rFonts w:ascii="Times New Roman;serif" w:hAnsi="Times New Roman;serif"/>
            <w:b w:val="false"/>
            <w:color w:val="0000FF"/>
            <w:sz w:val="18"/>
            <w:u w:val="single"/>
          </w:rPr>
          <w:t>Item 8</w:t>
        </w:r>
      </w:hyperlink>
      <w:r>
        <w:rPr>
          <w:rFonts w:ascii="Times New Roman;serif" w:hAnsi="Times New Roman;serif"/>
          <w:b w:val="false"/>
          <w:color w:val="000000"/>
          <w:sz w:val="18"/>
        </w:rPr>
        <w:t>.</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Changes in Internal Control Over Financial Reporting. </w:t>
      </w:r>
      <w:r>
        <w:rPr>
          <w:rFonts w:ascii="Times New Roman;serif" w:hAnsi="Times New Roman;serif"/>
          <w:b w:val="false"/>
          <w:color w:val="000000"/>
          <w:sz w:val="18"/>
        </w:rPr>
        <w:t>There have been no changes in the Company’s internal control over financial reporting during the fourth quarter ended December 31, 2025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07645"/>
                <wp:effectExtent l="0" t="0" r="0" b="0"/>
                <wp:wrapNone/>
                <wp:docPr id="99" name="Frame97"/>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97</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300" w:after="120"/>
        <w:ind w:left="0" w:right="0" w:hanging="1440"/>
        <w:jc w:val="both"/>
        <w:rPr>
          <w:rFonts w:ascii="Times New Roman;serif" w:hAnsi="Times New Roman;serif"/>
          <w:b/>
          <w:color w:val="000000"/>
          <w:sz w:val="18"/>
        </w:rPr>
      </w:pPr>
      <w:r>
        <w:rPr>
          <w:rFonts w:ascii="Times New Roman;serif" w:hAnsi="Times New Roman;serif"/>
          <w:b/>
          <w:color w:val="000000"/>
          <w:sz w:val="18"/>
        </w:rPr>
        <w:t xml:space="preserve">ITEM 9B.    OTHER INFORMATION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December 31, 2025, no director or officer (as defined in Rule 16a-1(f) of the Exchange Act) adopted, modified or terminated a contract, instruction or written plan for the purchase or sale of our securities that was intended to satisfy the affirmative defense conditions of Rule 10b5-1(c) or a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9C.    DISCLOSURE REGARDING FOREIGN JURISDICTIONS THAT PREVENT INSPECTIONS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18"/>
        </w:rPr>
      </w:pPr>
      <w:r>
        <w:rPr>
          <w:rFonts w:ascii="Times New Roman;serif" w:hAnsi="Times New Roman;serif"/>
          <w:b/>
          <w:color w:val="000000"/>
          <w:sz w:val="1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10.    DIRECTORS, EXECUTIVE OFFICERS AND CORPORATE GOVERNANCE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Except as set forth below, the information about directors, executive officers and corporate governance required for this item is incorporated by reference from our Proxy Statement to be filed in connection with our 2026 Annual Meeting of Shareholders.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We have adopted a code of business conduct and ethics, called the Code of Business Conduct and Ethics, that applies to all of our directors, officers, including our principal executive, financial and accounting officers, and employees and includes additional criteria that are applicable to our Chief Executive Officer, Chief Operating Officer, Chief Financial Officer and senior financial and other officers. The full text of the Code of Business Conduct and Ethics is available in the Investor section of MasTec’s website at </w:t>
      </w:r>
      <w:r>
        <w:rPr>
          <w:rFonts w:ascii="Times New Roman;serif" w:hAnsi="Times New Roman;serif"/>
          <w:b w:val="false"/>
          <w:color w:val="000000"/>
          <w:sz w:val="18"/>
          <w:u w:val="single"/>
        </w:rPr>
        <w:t>www.mastec.com</w:t>
      </w:r>
      <w:r>
        <w:rPr>
          <w:color w:val="000000"/>
        </w:rPr>
        <w:t xml:space="preserve"> </w:t>
      </w:r>
      <w:r>
        <w:rPr>
          <w:rFonts w:ascii="Times New Roman;serif" w:hAnsi="Times New Roman;serif"/>
          <w:b w:val="false"/>
          <w:color w:val="000000"/>
          <w:sz w:val="18"/>
        </w:rPr>
        <w:t xml:space="preserve">under the tab “Corporate Governance” and is available in print to any shareholder who requests it. See also </w:t>
      </w:r>
      <w:r>
        <w:rPr>
          <w:rFonts w:ascii="Times New Roman;serif" w:hAnsi="Times New Roman;serif"/>
          <w:b w:val="false"/>
          <w:color w:val="0000FF"/>
          <w:sz w:val="18"/>
          <w:u w:val="single"/>
        </w:rPr>
        <w:t>Item 1.</w:t>
      </w:r>
      <w:r>
        <w:rPr>
          <w:color w:val="000000"/>
        </w:rPr>
        <w:t xml:space="preserve"> “</w:t>
      </w:r>
      <w:r>
        <w:rPr>
          <w:rFonts w:ascii="Times New Roman;serif" w:hAnsi="Times New Roman;serif"/>
          <w:b w:val="false"/>
          <w:color w:val="000000"/>
          <w:sz w:val="18"/>
        </w:rPr>
        <w:t>Business - Available Information.” We intend to provide amendments or waivers to our Code of Business Conduct and Ethics for any of our directors and principal officers on our website within four business days after such amendment or waiver. The reference to our website address does not constitute incorporation by reference of any of the information contained on the website, and such information is not a part of this Annual Report.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an insider trading policy governing the purchase, sale and other dispositions of MasTec’s securities that applies to all personnel of MasTec and our subsidiaries, including directors, officers, employees and certain other persons associated with the foregoing categories of persons. The policy also applies to the securities of other companies with which we have a business relationship, such as customers, suppliers or vendors of MasTec and those with which we may be negotiating transactions, such as an acquisition, investment or sale. We believe that our insider trading policy is reasonably designed to promote compliance with insider trading laws, rules and regulations, as well as applicable listing standards. A copy of MasTec’s insider trading policy is included in Exhibit 19.1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ind w:left="0" w:right="0" w:hanging="1440"/>
        <w:jc w:val="both"/>
        <w:rPr>
          <w:rFonts w:ascii="Times New Roman;serif" w:hAnsi="Times New Roman;serif"/>
          <w:b/>
          <w:color w:val="000000"/>
          <w:sz w:val="18"/>
        </w:rPr>
      </w:pPr>
      <w:r>
        <w:rPr>
          <w:rFonts w:ascii="Times New Roman;serif" w:hAnsi="Times New Roman;serif"/>
          <w:b/>
          <w:color w:val="000000"/>
          <w:sz w:val="18"/>
        </w:rPr>
        <w:t xml:space="preserve">ITEM 11.    EXECUTIVE COMPENSATION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information required for this item is incorporated by reference from our Proxy Statement to be filed in connection with our 2026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ind w:left="0" w:right="0" w:hanging="1440"/>
        <w:jc w:val="left"/>
        <w:rPr>
          <w:rFonts w:ascii="Times New Roman;serif" w:hAnsi="Times New Roman;serif"/>
          <w:b/>
          <w:color w:val="000000"/>
          <w:sz w:val="18"/>
        </w:rPr>
      </w:pPr>
      <w:r>
        <w:rPr>
          <w:rFonts w:ascii="Times New Roman;serif" w:hAnsi="Times New Roman;serif"/>
          <w:b/>
          <w:color w:val="000000"/>
          <w:sz w:val="18"/>
        </w:rPr>
        <w:t>ITEM 12.    SECURITY OWNERSHIP OF CERTAIN BENEFICIAL OWNERS AND MANAGEMENT AND RELATED SHAREHOLDER MATTERS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Equity Compensation Plans</w:t>
      </w:r>
    </w:p>
    <w:p>
      <w:pPr>
        <w:pStyle w:val="TextBody"/>
        <w:bidi w:val="0"/>
        <w:spacing w:lineRule="auto" w:line="288" w:before="120" w:after="6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information about our common stock that may be issued under all of our equity compensation plans as of December 31, 2025, which included: the 2013 Incentive Plan; the 2011 ESPP; and the 2013 Bargaining Units ESPP.</w:t>
      </w:r>
    </w:p>
    <w:tbl>
      <w:tblPr>
        <w:tblW w:w="10205" w:type="dxa"/>
        <w:jc w:val="left"/>
        <w:tblInd w:w="0" w:type="dxa"/>
        <w:tblLayout w:type="fixed"/>
        <w:tblCellMar>
          <w:top w:w="28" w:type="dxa"/>
          <w:left w:w="28" w:type="dxa"/>
          <w:bottom w:w="28" w:type="dxa"/>
          <w:right w:w="28" w:type="dxa"/>
        </w:tblCellMar>
      </w:tblPr>
      <w:tblGrid>
        <w:gridCol w:w="402"/>
        <w:gridCol w:w="354"/>
        <w:gridCol w:w="355"/>
        <w:gridCol w:w="130"/>
        <w:gridCol w:w="130"/>
        <w:gridCol w:w="130"/>
        <w:gridCol w:w="430"/>
        <w:gridCol w:w="430"/>
        <w:gridCol w:w="430"/>
        <w:gridCol w:w="430"/>
        <w:gridCol w:w="430"/>
        <w:gridCol w:w="436"/>
        <w:gridCol w:w="109"/>
        <w:gridCol w:w="109"/>
        <w:gridCol w:w="109"/>
        <w:gridCol w:w="377"/>
        <w:gridCol w:w="377"/>
        <w:gridCol w:w="377"/>
        <w:gridCol w:w="377"/>
        <w:gridCol w:w="377"/>
        <w:gridCol w:w="382"/>
        <w:gridCol w:w="109"/>
        <w:gridCol w:w="109"/>
        <w:gridCol w:w="109"/>
        <w:gridCol w:w="938"/>
        <w:gridCol w:w="938"/>
        <w:gridCol w:w="939"/>
        <w:gridCol w:w="109"/>
        <w:gridCol w:w="109"/>
        <w:gridCol w:w="16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Plan Category</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(a)</w:t>
            </w:r>
          </w:p>
          <w:p>
            <w:pPr>
              <w:pStyle w:val="TableContents"/>
              <w:bidi w:val="0"/>
              <w:spacing w:lineRule="auto" w:line="240" w:before="0" w:after="40"/>
              <w:jc w:val="center"/>
              <w:rPr/>
            </w:pPr>
            <w:r>
              <w:rPr>
                <w:rFonts w:ascii="Times New Roman;serif" w:hAnsi="Times New Roman;serif"/>
                <w:b/>
                <w:color w:val="000000"/>
                <w:sz w:val="18"/>
              </w:rPr>
              <w:t>Number of Securities to be Issued Upon Exercise of Outstanding Options,</w:t>
            </w:r>
            <w:r>
              <w:rPr>
                <w:color w:val="000000"/>
              </w:rPr>
              <w:t xml:space="preserve"> </w:t>
            </w:r>
            <w:r>
              <w:rPr>
                <w:rFonts w:ascii="Times New Roman;serif" w:hAnsi="Times New Roman;serif"/>
                <w:b/>
                <w:color w:val="000000"/>
                <w:sz w:val="18"/>
              </w:rPr>
              <w:t>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(b)</w:t>
            </w:r>
          </w:p>
          <w:p>
            <w:pPr>
              <w:pStyle w:val="TableContents"/>
              <w:bidi w:val="0"/>
              <w:spacing w:lineRule="auto" w:line="240" w:before="0" w:after="40"/>
              <w:jc w:val="center"/>
              <w:rPr/>
            </w:pPr>
            <w:r>
              <w:rPr>
                <w:rFonts w:ascii="Times New Roman;serif" w:hAnsi="Times New Roman;serif"/>
                <w:b/>
                <w:color w:val="000000"/>
                <w:sz w:val="18"/>
              </w:rPr>
              <w:t>Weighted Average</w:t>
            </w:r>
            <w:r>
              <w:rPr>
                <w:color w:val="000000"/>
              </w:rPr>
              <w:t xml:space="preserve"> </w:t>
            </w:r>
            <w:r>
              <w:rPr>
                <w:rFonts w:ascii="Times New Roman;serif" w:hAnsi="Times New Roman;serif"/>
                <w:b/>
                <w:color w:val="000000"/>
                <w:sz w:val="18"/>
              </w:rPr>
              <w:t>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(c)</w:t>
            </w:r>
          </w:p>
          <w:p>
            <w:pPr>
              <w:pStyle w:val="TableContents"/>
              <w:bidi w:val="0"/>
              <w:spacing w:lineRule="auto" w:line="240" w:before="0" w:after="40"/>
              <w:jc w:val="center"/>
              <w:rPr/>
            </w:pPr>
            <w:r>
              <w:rPr>
                <w:rFonts w:ascii="Times New Roman;serif" w:hAnsi="Times New Roman;serif"/>
                <w:b/>
                <w:color w:val="000000"/>
                <w:sz w:val="18"/>
              </w:rPr>
              <w:t>Number of Securities</w:t>
            </w:r>
            <w:r>
              <w:rPr>
                <w:color w:val="000000"/>
              </w:rPr>
              <w:t xml:space="preserve"> </w:t>
            </w:r>
            <w:r>
              <w:rPr>
                <w:rFonts w:ascii="Times New Roman;serif" w:hAnsi="Times New Roman;serif"/>
                <w:b/>
                <w:color w:val="000000"/>
                <w:sz w:val="18"/>
              </w:rPr>
              <w:t>Remaining Available for Future Issuance Under Equity Compensation Plans (Excluding Securities Reflected in Column (a))</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compensation plans approved by security holders</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3,994,019 </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(1)</w:t>
            </w:r>
          </w:p>
        </w:tc>
      </w:tr>
      <w:tr>
        <w:trPr/>
        <w:tc>
          <w:tcPr>
            <w:tcW w:w="15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compensation plans not approved by security holders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2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3,994,019 </w:t>
            </w:r>
          </w:p>
        </w:tc>
        <w:tc>
          <w:tcPr>
            <w:tcW w:w="9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(1)Under the 2013 Incentive Plan, 2,029,278 shares were available for issuance as of December 31, 2025. Under the 2011 ESPP and 2013 Bargaining Units ESPP, 1,089,816 shares and 874,925 shares, respectively, were available for issuance as of December 31, 2025.</w:t>
      </w:r>
    </w:p>
    <w:p>
      <w:pPr>
        <w:pStyle w:val="TextBody"/>
        <w:bidi w:val="0"/>
        <w:spacing w:lineRule="auto" w:line="288" w:before="18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other information required by this item is incorporated by reference from our Proxy Statement to be filed in connection with our 2026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07645"/>
                <wp:effectExtent l="0" t="0" r="0" b="0"/>
                <wp:wrapNone/>
                <wp:docPr id="100" name="Frame98"/>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98</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30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13.    CERTAIN RELATIONSHIPS AND RELATED TRANSACTIONS, AND DIRECTOR INDEPENDENCE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information required for this item is incorporated by reference from our Proxy Statement to be filed in connection with our 2026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ind w:left="0" w:right="0" w:hanging="1440"/>
        <w:jc w:val="both"/>
        <w:rPr>
          <w:rFonts w:ascii="Times New Roman;serif" w:hAnsi="Times New Roman;serif"/>
          <w:b/>
          <w:color w:val="000000"/>
          <w:sz w:val="18"/>
        </w:rPr>
      </w:pPr>
      <w:r>
        <w:rPr>
          <w:rFonts w:ascii="Times New Roman;serif" w:hAnsi="Times New Roman;serif"/>
          <w:b/>
          <w:color w:val="000000"/>
          <w:sz w:val="18"/>
        </w:rPr>
        <w:t xml:space="preserve">ITEM 14.    PRINCIPAL ACCOUNTING FEES AND SERVICES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information required for this item is incorporated by reference from our Proxy Statement to be filed in connection with our 2026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18"/>
        </w:rPr>
      </w:pPr>
      <w:r>
        <w:rPr>
          <w:rFonts w:ascii="Times New Roman;serif" w:hAnsi="Times New Roman;serif"/>
          <w:b/>
          <w:color w:val="000000"/>
          <w:sz w:val="1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15.    EXHIBITS AND FINANCIAL STATEMENT SCHEDULES</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The following financial statements, schedules and exhibits are filed as part of this Form 10-K:</w:t>
      </w:r>
    </w:p>
    <w:p>
      <w:pPr>
        <w:pStyle w:val="TextBody"/>
        <w:bidi w:val="0"/>
        <w:spacing w:lineRule="auto" w:line="288" w:before="120" w:after="120"/>
        <w:ind w:left="0" w:right="0" w:hanging="720"/>
        <w:jc w:val="both"/>
        <w:rPr/>
      </w:pPr>
      <w:r>
        <w:rPr>
          <w:rFonts w:ascii="Times New Roman;serif" w:hAnsi="Times New Roman;serif"/>
          <w:b w:val="false"/>
          <w:color w:val="000000"/>
          <w:sz w:val="18"/>
        </w:rPr>
        <w:t>(a)    1.    </w:t>
      </w:r>
      <w:r>
        <w:rPr>
          <w:rFonts w:ascii="Times New Roman;serif" w:hAnsi="Times New Roman;serif"/>
          <w:b w:val="false"/>
          <w:i/>
          <w:color w:val="000000"/>
          <w:sz w:val="18"/>
        </w:rPr>
        <w:t>Financial Statements</w:t>
      </w:r>
      <w:r>
        <w:rPr>
          <w:color w:val="000000"/>
        </w:rPr>
        <w:t xml:space="preserve"> – </w:t>
      </w:r>
      <w:r>
        <w:rPr>
          <w:rFonts w:ascii="Times New Roman;serif" w:hAnsi="Times New Roman;serif"/>
          <w:b w:val="false"/>
          <w:color w:val="000000"/>
          <w:sz w:val="18"/>
        </w:rPr>
        <w:t xml:space="preserve">the consolidated financial statements and the reports of the Independent Registered Public Accounting firms are listed on pages </w:t>
      </w:r>
      <w:hyperlink w:anchor="if4b0bf616dbc41b2b15400916ea5db26_82">
        <w:r>
          <w:rPr>
            <w:rStyle w:val="InternetLink"/>
            <w:rFonts w:ascii="Times New Roman;serif" w:hAnsi="Times New Roman;serif"/>
            <w:b w:val="false"/>
            <w:color w:val="0000FF"/>
            <w:sz w:val="18"/>
            <w:u w:val="single"/>
          </w:rPr>
          <w:t>52</w:t>
        </w:r>
      </w:hyperlink>
      <w:r>
        <w:rPr>
          <w:color w:val="000000"/>
        </w:rPr>
        <w:t xml:space="preserve"> </w:t>
      </w:r>
      <w:r>
        <w:rPr>
          <w:rFonts w:ascii="Times New Roman;serif" w:hAnsi="Times New Roman;serif"/>
          <w:b w:val="false"/>
          <w:color w:val="000000"/>
          <w:sz w:val="18"/>
        </w:rPr>
        <w:t xml:space="preserve">through </w:t>
      </w:r>
      <w:hyperlink w:anchor="i0ed85c719e364f1b8d345aef41fef545_12960">
        <w:r>
          <w:rPr>
            <w:rStyle w:val="InternetLink"/>
            <w:rFonts w:ascii="Times New Roman;serif" w:hAnsi="Times New Roman;serif"/>
            <w:b w:val="false"/>
            <w:color w:val="0000FF"/>
            <w:sz w:val="18"/>
            <w:u w:val="single"/>
          </w:rPr>
          <w:t>97</w:t>
        </w:r>
      </w:hyperlink>
      <w:r>
        <w:rPr>
          <w:rFonts w:ascii="Times New Roman;serif" w:hAnsi="Times New Roman;serif"/>
          <w:b w:val="false"/>
          <w:color w:val="000000"/>
          <w:sz w:val="18"/>
        </w:rPr>
        <w:t>.</w:t>
      </w:r>
    </w:p>
    <w:p>
      <w:pPr>
        <w:pStyle w:val="TextBody"/>
        <w:bidi w:val="0"/>
        <w:spacing w:lineRule="auto" w:line="288" w:before="40" w:after="120"/>
        <w:jc w:val="both"/>
        <w:rPr/>
      </w:pPr>
      <w:r>
        <w:rPr>
          <w:rFonts w:ascii="Times New Roman;serif" w:hAnsi="Times New Roman;serif"/>
          <w:b w:val="false"/>
          <w:color w:val="000000"/>
          <w:sz w:val="18"/>
        </w:rPr>
        <w:t>2.    </w:t>
      </w:r>
      <w:r>
        <w:rPr>
          <w:rFonts w:ascii="Times New Roman;serif" w:hAnsi="Times New Roman;serif"/>
          <w:b w:val="false"/>
          <w:i/>
          <w:color w:val="000000"/>
          <w:sz w:val="18"/>
        </w:rPr>
        <w:t>Financial Statement Schedules</w:t>
      </w:r>
      <w:r>
        <w:rPr>
          <w:color w:val="000000"/>
        </w:rPr>
        <w:t xml:space="preserve"> – </w:t>
      </w:r>
      <w:hyperlink w:anchor="if4b0bf616dbc41b2b15400916ea5db26_214">
        <w:r>
          <w:rPr>
            <w:rStyle w:val="InternetLink"/>
            <w:rFonts w:ascii="Times New Roman;serif" w:hAnsi="Times New Roman;serif"/>
            <w:b w:val="false"/>
            <w:color w:val="0000FF"/>
            <w:sz w:val="18"/>
            <w:u w:val="single"/>
          </w:rPr>
          <w:t>Schedule II - Valuation and Qualifying Accounts</w:t>
        </w:r>
      </w:hyperlink>
      <w:r>
        <w:rPr>
          <w:rFonts w:ascii="Times New Roman;serif" w:hAnsi="Times New Roman;serif"/>
          <w:b w:val="false"/>
          <w:color w:val="000000"/>
          <w:sz w:val="18"/>
        </w:rPr>
        <w:t>.</w:t>
      </w:r>
    </w:p>
    <w:p>
      <w:pPr>
        <w:pStyle w:val="TextBody"/>
        <w:bidi w:val="0"/>
        <w:spacing w:lineRule="auto" w:line="288" w:before="40" w:after="120"/>
        <w:ind w:left="0" w:right="0" w:hanging="360"/>
        <w:jc w:val="both"/>
        <w:rPr/>
      </w:pPr>
      <w:r>
        <w:rPr>
          <w:rFonts w:ascii="Times New Roman;serif" w:hAnsi="Times New Roman;serif"/>
          <w:b w:val="false"/>
          <w:color w:val="000000"/>
          <w:sz w:val="18"/>
        </w:rPr>
        <w:t>3.    </w:t>
      </w:r>
      <w:r>
        <w:rPr>
          <w:rFonts w:ascii="Times New Roman;serif" w:hAnsi="Times New Roman;serif"/>
          <w:b w:val="false"/>
          <w:i/>
          <w:color w:val="000000"/>
          <w:sz w:val="18"/>
        </w:rPr>
        <w:t xml:space="preserve">Exhibits including those incorporated by reference </w:t>
      </w:r>
      <w:r>
        <w:rPr>
          <w:color w:val="000000"/>
        </w:rPr>
        <w:t xml:space="preserve">– </w:t>
      </w:r>
      <w:r>
        <w:rPr>
          <w:rFonts w:ascii="Times New Roman;serif" w:hAnsi="Times New Roman;serif"/>
          <w:b w:val="false"/>
          <w:color w:val="000000"/>
          <w:sz w:val="18"/>
        </w:rPr>
        <w:t>The Exhibit Index below contains a list of exhibits filed or furnished with this Form 10-K.</w:t>
      </w:r>
    </w:p>
    <w:p>
      <w:pPr>
        <w:pStyle w:val="TextBody"/>
        <w:bidi w:val="0"/>
        <w:spacing w:lineRule="auto" w:line="288" w:before="180" w:after="120"/>
        <w:jc w:val="left"/>
        <w:rPr>
          <w:rFonts w:ascii="Times New Roman;serif" w:hAnsi="Times New Roman;serif"/>
          <w:b/>
          <w:color w:val="000000"/>
          <w:sz w:val="18"/>
          <w:u w:val="single"/>
        </w:rPr>
      </w:pPr>
      <w:r>
        <w:rPr>
          <w:rFonts w:ascii="Times New Roman;serif" w:hAnsi="Times New Roman;serif"/>
          <w:b/>
          <w:color w:val="000000"/>
          <w:sz w:val="18"/>
          <w:u w:val="single"/>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01"/>
        <w:gridCol w:w="2692"/>
        <w:gridCol w:w="377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Description (1)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Composite Articles of Incorporation of MasTec, Inc.</w:t>
              </w:r>
            </w:hyperlink>
            <w:r>
              <w:rPr>
                <w:rFonts w:ascii="Times New Roman;serif" w:hAnsi="Times New Roman;serif"/>
                <w:b w:val="false"/>
                <w:color w:val="000000"/>
                <w:sz w:val="18"/>
              </w:rPr>
              <w:t>, filed as Exhibit 3.1 to our Annual Report on Form 10-K filed with the SEC on February 25, 2010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8"/>
                  <w:u w:val="single"/>
                </w:rPr>
                <w:t>Amended and Restated By-laws of MasTec, Inc., amended and restated as of January 22, 2010</w:t>
              </w:r>
            </w:hyperlink>
            <w:r>
              <w:rPr>
                <w:rFonts w:ascii="Times New Roman;serif" w:hAnsi="Times New Roman;serif"/>
                <w:b w:val="false"/>
                <w:color w:val="000000"/>
                <w:sz w:val="18"/>
              </w:rPr>
              <w:t>, filed as Exhibit 3.1 to our Current Report on Form 8-K filed with the SEC on January 28, 2010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18"/>
                  <w:u w:val="single"/>
                </w:rPr>
                <w:t>Indenture, dated June 5, 2009, by and among MasTec, Inc., MasTec Inc.’s subsidiaries party thereto, as guarantors, and U.S. Bank National Association, as trustee</w:t>
              </w:r>
            </w:hyperlink>
            <w:r>
              <w:rPr>
                <w:rFonts w:ascii="Times New Roman;serif" w:hAnsi="Times New Roman;serif"/>
                <w:b w:val="false"/>
                <w:color w:val="000000"/>
                <w:sz w:val="18"/>
              </w:rPr>
              <w:t>, filed as Exhibit 4.2 to our Current Report on Form 8-K filed with the SEC on June 5, 2009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18"/>
                  <w:u w:val="single"/>
                </w:rPr>
                <w:t>Twenty-First Supplemental Indenture</w:t>
              </w:r>
            </w:hyperlink>
            <w:r>
              <w:rPr>
                <w:rFonts w:ascii="Times New Roman;serif" w:hAnsi="Times New Roman;serif"/>
                <w:b w:val="false"/>
                <w:color w:val="000000"/>
                <w:sz w:val="18"/>
              </w:rPr>
              <w:t>, dated as of June 10, 2024, between MasTec, Inc. and U.S. Bank Trust Company, National Association, as trustee, filed as Exhibit 4.2 to our Current Report on Form 8-K filed with the SEC on June 10, 2024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18"/>
                  <w:u w:val="single"/>
                </w:rPr>
                <w:t>Form of 5.900% Senior Note due 2029</w:t>
              </w:r>
            </w:hyperlink>
            <w:r>
              <w:rPr>
                <w:rFonts w:ascii="Times New Roman;serif" w:hAnsi="Times New Roman;serif"/>
                <w:b w:val="false"/>
                <w:color w:val="000000"/>
                <w:sz w:val="18"/>
              </w:rPr>
              <w:t>, incorporated by reference to Exhibit A of Exhibit 4.2 and filed as Exhibit 4.3 to our Current Report on Form 8-K filed with the SEC on June 10, 2024.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8"/>
                <w:u w:val="single"/>
                <w:b w:val="false"/>
                <w:rFonts w:ascii="Times New Roman;serif" w:hAnsi="Times New Roman;serif"/>
                <w:color w:val="0000FF"/>
              </w:rPr>
              <w:instrText xml:space="preserve"> HYPERLINK "https://www.sec.gov/Archives/edgar/data/15615/000119312520209447/d79552dex42.htm" \l "cov"</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Indenture, dated August 4, 2020, by and among the Company, certain of the Company’s subsidiaries and U.S. Bank National Association, as trustee</w:t>
            </w:r>
            <w:r>
              <w:rPr>
                <w:rStyle w:val="InternetLink"/>
                <w:sz w:val="18"/>
                <w:u w:val="single"/>
                <w:b w:val="false"/>
                <w:rFonts w:ascii="Times New Roman;serif" w:hAnsi="Times New Roman;serif"/>
                <w:color w:val="0000FF"/>
              </w:rPr>
              <w:fldChar w:fldCharType="end"/>
            </w:r>
            <w:r>
              <w:rPr>
                <w:rFonts w:ascii="Times New Roman;serif" w:hAnsi="Times New Roman;serif"/>
                <w:b w:val="false"/>
                <w:color w:val="000000"/>
                <w:sz w:val="18"/>
              </w:rPr>
              <w:t>, filed as Exhibit 4.2 to our Current Report on Form 8-K filed with the SEC on August 4, 2020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both"/>
              <w:rPr/>
            </w:pPr>
            <w:r>
              <w:fldChar w:fldCharType="begin"/>
            </w:r>
            <w:r>
              <w:rPr>
                <w:rStyle w:val="InternetLink"/>
                <w:sz w:val="18"/>
                <w:u w:val="single"/>
                <w:b w:val="false"/>
                <w:rFonts w:ascii="Times New Roman;serif" w:hAnsi="Times New Roman;serif"/>
                <w:color w:val="0000FF"/>
              </w:rPr>
              <w:instrText xml:space="preserve"> HYPERLINK "https://www.sec.gov/Archives/edgar/data/15615/000119312520209447/d79552dex42.htm" \l "exa"</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Form of 4.500% Senior Note due 2028</w:t>
            </w:r>
            <w:r>
              <w:rPr>
                <w:rStyle w:val="InternetLink"/>
                <w:sz w:val="18"/>
                <w:u w:val="single"/>
                <w:b w:val="false"/>
                <w:rFonts w:ascii="Times New Roman;serif" w:hAnsi="Times New Roman;serif"/>
                <w:color w:val="0000FF"/>
              </w:rPr>
              <w:fldChar w:fldCharType="end"/>
            </w:r>
            <w:r>
              <w:rPr>
                <w:rFonts w:ascii="Times New Roman;serif" w:hAnsi="Times New Roman;serif"/>
                <w:b w:val="false"/>
                <w:color w:val="000000"/>
                <w:sz w:val="18"/>
              </w:rPr>
              <w:t>, incorporated by reference to Exhibit A of Exhibit 4.2 and filed as Exhibit 4.1 to our Current Report on Form 8-K filed with the SEC on August 4, 2020.</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18"/>
                  <w:u w:val="single"/>
                </w:rPr>
                <w:t>Description of Capital Stock</w:t>
              </w:r>
            </w:hyperlink>
            <w:r>
              <w:rPr>
                <w:rFonts w:ascii="Times New Roman;serif" w:hAnsi="Times New Roman;serif"/>
                <w:b w:val="false"/>
                <w:color w:val="000000"/>
                <w:sz w:val="18"/>
              </w:rPr>
              <w:t>, filed as Exhibit 4.17 to our Annual Report on Form 10-K filed with the SEC on February 27, 2020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18"/>
                  <w:u w:val="single"/>
                </w:rPr>
                <w:t>Split Dollar Agreement, dated as of February 26, 2018, by and between MasTec, Inc., Jorge Mas, and José Ramon Mas and Juan Carlos Mas, as Trustees of the Jorge Mas Irrevocable Trust, dated June 1, 2012</w:t>
              </w:r>
            </w:hyperlink>
            <w:r>
              <w:rPr>
                <w:rFonts w:ascii="Times New Roman;serif" w:hAnsi="Times New Roman;serif"/>
                <w:b w:val="false"/>
                <w:color w:val="000000"/>
                <w:sz w:val="18"/>
              </w:rPr>
              <w:t>, filed as Exhibit 10.1 to our Annual Report on Form 10-K filed with the SEC on February 27, 2018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18"/>
                  <w:u w:val="single"/>
                </w:rPr>
                <w:t>Split Dollar Agreement, dated as of February 26, 2018, by and between MasTec, Inc., José Ramon Mas, and Patricia C. Mas, Jorge Mas and Juan Carlos Mas, as Trustees of the José Ramon Mas Irrevocable Trust, dated December 7, 2012</w:t>
              </w:r>
            </w:hyperlink>
            <w:r>
              <w:rPr>
                <w:rFonts w:ascii="Times New Roman;serif" w:hAnsi="Times New Roman;serif"/>
                <w:b w:val="false"/>
                <w:color w:val="000000"/>
                <w:sz w:val="18"/>
              </w:rPr>
              <w:t>, filed as Exhibit 10.2 to our Annual Report on Form 10-K filed with the SEC on February 27, 2018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18"/>
                  <w:u w:val="single"/>
                </w:rPr>
                <w:t>Employment Agreement, dated April 18, 2007, by and between MasTec, Inc. and José R. Mas</w:t>
              </w:r>
            </w:hyperlink>
            <w:r>
              <w:rPr>
                <w:rFonts w:ascii="Times New Roman;serif" w:hAnsi="Times New Roman;serif"/>
                <w:b w:val="false"/>
                <w:color w:val="000000"/>
                <w:sz w:val="18"/>
              </w:rPr>
              <w:t>, filed as Exhibit 10.1 to our Current Report on Form 8-K filed with the SEC on April 20, 2007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18"/>
                  <w:u w:val="single"/>
                </w:rPr>
                <w:t>First Amendment to the Employment Agreement between MasTec, Inc. and Jose R. Mas, dated March 31, 2014</w:t>
              </w:r>
            </w:hyperlink>
            <w:r>
              <w:rPr>
                <w:rFonts w:ascii="Times New Roman;serif" w:hAnsi="Times New Roman;serif"/>
                <w:b w:val="false"/>
                <w:color w:val="000000"/>
                <w:sz w:val="18"/>
              </w:rPr>
              <w:t>, filed as Exhibit 10.2 to our Current Report on Form 8-K filed with the SEC on April 4, 2014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18"/>
                  <w:u w:val="single"/>
                </w:rPr>
                <w:t>Employment Agreement, effective as of January 1, 2010, between MasTec, Inc. and Robert Apple</w:t>
              </w:r>
            </w:hyperlink>
            <w:r>
              <w:rPr>
                <w:rFonts w:ascii="Times New Roman;serif" w:hAnsi="Times New Roman;serif"/>
                <w:b w:val="false"/>
                <w:color w:val="000000"/>
                <w:sz w:val="18"/>
              </w:rPr>
              <w:t>, filed as Exhibit 10.2 to our Current Report on Form 8-K filed with the SEC on January 28, 2010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18"/>
                  <w:u w:val="single"/>
                </w:rPr>
                <w:t>First Amendment to the Employment Agreement between MasTec, Inc. and Robert Apple, dated March 31, 2014</w:t>
              </w:r>
            </w:hyperlink>
            <w:r>
              <w:rPr>
                <w:rFonts w:ascii="Times New Roman;serif" w:hAnsi="Times New Roman;serif"/>
                <w:b w:val="false"/>
                <w:color w:val="000000"/>
                <w:sz w:val="18"/>
              </w:rPr>
              <w:t>, filed as Exhibit 10.4 to our Current Report on Form 8-K filed with the SEC on April 4, 2014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18"/>
                  <w:u w:val="single"/>
                </w:rPr>
                <w:t>Employment Agreement, dated as of March 31, 2014, by and between MasTec, Inc. and Alberto de Cardenas</w:t>
              </w:r>
            </w:hyperlink>
            <w:r>
              <w:rPr>
                <w:rFonts w:ascii="Times New Roman;serif" w:hAnsi="Times New Roman;serif"/>
                <w:b w:val="false"/>
                <w:color w:val="000000"/>
                <w:sz w:val="18"/>
              </w:rPr>
              <w:t>, filed as Exhibit 10.1 to our Current Report on Form 8-K filed with the SEC on April 4, 2014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18"/>
                  <w:u w:val="single"/>
                </w:rPr>
                <w:t>Employment Agreement, dated March 30, 2023, by and between MasTec, Inc. and Paul DiMarco</w:t>
              </w:r>
            </w:hyperlink>
            <w:r>
              <w:rPr>
                <w:rFonts w:ascii="Times New Roman;serif" w:hAnsi="Times New Roman;serif"/>
                <w:b w:val="false"/>
                <w:color w:val="000000"/>
                <w:sz w:val="18"/>
              </w:rPr>
              <w:t>, filed as Exhibit 10.1 to our Quarterly Report on Form 10-Q filed with the SEC on May 4, 2023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18"/>
                  <w:u w:val="single"/>
                </w:rPr>
                <w:t>Amended and Restated Employment Agreement, dated March 31, 2023, by and between MasTec, Inc. and George Pita</w:t>
              </w:r>
            </w:hyperlink>
            <w:r>
              <w:rPr>
                <w:rFonts w:ascii="Times New Roman;serif" w:hAnsi="Times New Roman;serif"/>
                <w:b w:val="false"/>
                <w:color w:val="000000"/>
                <w:sz w:val="18"/>
              </w:rPr>
              <w:t>, filed as Exhibit 10.2 to our Quarterly Report on Form 10-Q filed with the SEC on May 4, 2023 and incorporated by reference herein.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18"/>
                  <w:u w:val="single"/>
                </w:rPr>
                <w:t>MasTec, Inc. Deferred Fee Plan for Directors (as amended and restated)</w:t>
              </w:r>
            </w:hyperlink>
            <w:r>
              <w:rPr>
                <w:rFonts w:ascii="Times New Roman;serif" w:hAnsi="Times New Roman;serif"/>
                <w:b w:val="false"/>
                <w:color w:val="000000"/>
                <w:sz w:val="18"/>
              </w:rPr>
              <w:t>, filed as Exhibit 10.38 to our Form 8-K filed with the SEC on December 23, 2005 and incorporated by reference herein.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1445"/>
                <wp:effectExtent l="0" t="0" r="0" b="0"/>
                <wp:wrapNone/>
                <wp:docPr id="101"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99</w:t>
                      </w:r>
                    </w:p>
                  </w:txbxContent>
                </v:textbox>
                <w10:wrap type="none"/>
              </v:rect>
            </w:pict>
          </mc:Fallback>
        </mc:AlternateContent>
      </w:r>
    </w:p>
    <w:p>
      <w:pPr>
        <w:pStyle w:val="TextBody"/>
        <w:bidi w:val="0"/>
        <w:spacing w:before="120" w:after="12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16"/>
        <w:gridCol w:w="190"/>
        <w:gridCol w:w="192"/>
        <w:gridCol w:w="109"/>
        <w:gridCol w:w="109"/>
        <w:gridCol w:w="109"/>
        <w:gridCol w:w="3100"/>
        <w:gridCol w:w="2558"/>
        <w:gridCol w:w="3622"/>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18"/>
                  <w:u w:val="single"/>
                </w:rPr>
                <w:t>MasTec, Inc. Amended and Restated Deferred Compensation Plan</w:t>
              </w:r>
            </w:hyperlink>
            <w:r>
              <w:rPr>
                <w:rFonts w:ascii="Times New Roman;serif" w:hAnsi="Times New Roman;serif"/>
                <w:b w:val="false"/>
                <w:color w:val="000000"/>
                <w:sz w:val="18"/>
              </w:rPr>
              <w:t>, filed as Exhibit 10.3 to our Annual Report on Form 10-K filed with the SEC on February 25, 2021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18"/>
                  <w:u w:val="single"/>
                </w:rPr>
                <w:t>MasTec, Inc. Amended and Restated Bargaining Units ESPP</w:t>
              </w:r>
            </w:hyperlink>
            <w:r>
              <w:rPr>
                <w:rFonts w:ascii="Times New Roman;serif" w:hAnsi="Times New Roman;serif"/>
                <w:b w:val="false"/>
                <w:color w:val="000000"/>
                <w:sz w:val="18"/>
              </w:rPr>
              <w:t>, filed as Exhibit 10.12 to our Annual Report on Form 10-K filed with the SEC on February 25, 2021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18"/>
                  <w:u w:val="single"/>
                </w:rPr>
                <w:t>Amendment to the MasTec, Inc. Amended and Restated Bargaining Units ESPP</w:t>
              </w:r>
            </w:hyperlink>
            <w:r>
              <w:rPr>
                <w:rFonts w:ascii="Times New Roman;serif" w:hAnsi="Times New Roman;serif"/>
                <w:b w:val="false"/>
                <w:color w:val="000000"/>
                <w:sz w:val="18"/>
              </w:rPr>
              <w:t>, filed as Exhibit 10.1 to our Quarterly Report on Form 10-Q filed with the SEC on May 5, 2022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18"/>
                  <w:u w:val="single"/>
                </w:rPr>
                <w:t>Amendment to the MasTec, Inc. Amended and Restated Bargaining Units ESPP</w:t>
              </w:r>
            </w:hyperlink>
            <w:r>
              <w:rPr>
                <w:rFonts w:ascii="Times New Roman;serif" w:hAnsi="Times New Roman;serif"/>
                <w:b w:val="false"/>
                <w:color w:val="000000"/>
                <w:sz w:val="18"/>
              </w:rPr>
              <w:t>, filed as Exhibit 10.4 to our Quarterly Report on Form 10-Q filed with the SEC on May 4, 2023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60" w:after="283"/>
              <w:jc w:val="both"/>
              <w:rPr/>
            </w:pPr>
            <w:hyperlink r:id="rId24">
              <w:r>
                <w:rPr>
                  <w:rStyle w:val="InternetLink"/>
                  <w:rFonts w:ascii="Times New Roman;serif" w:hAnsi="Times New Roman;serif"/>
                  <w:b w:val="false"/>
                  <w:color w:val="0000FF"/>
                  <w:sz w:val="18"/>
                  <w:u w:val="single"/>
                </w:rPr>
                <w:t>MasTec, Inc. Amended and Restated 2011 Employee Stock Purchase Plan</w:t>
              </w:r>
            </w:hyperlink>
            <w:r>
              <w:rPr>
                <w:rFonts w:ascii="Times New Roman;serif" w:hAnsi="Times New Roman;serif"/>
                <w:b w:val="false"/>
                <w:color w:val="000000"/>
                <w:sz w:val="18"/>
              </w:rPr>
              <w:t>, filed as Annex B to our Definitive Proxy Statement filed with the SEC on April 4, 2024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60" w:after="283"/>
              <w:jc w:val="both"/>
              <w:rPr/>
            </w:pPr>
            <w:hyperlink r:id="rId25">
              <w:r>
                <w:rPr>
                  <w:rStyle w:val="InternetLink"/>
                  <w:rFonts w:ascii="Times New Roman;serif" w:hAnsi="Times New Roman;serif"/>
                  <w:b w:val="false"/>
                  <w:color w:val="0000FF"/>
                  <w:sz w:val="18"/>
                  <w:u w:val="single"/>
                </w:rPr>
                <w:t>MasTec, Inc. Amended and Restated 2013 Incentive Compensation Plan</w:t>
              </w:r>
            </w:hyperlink>
            <w:r>
              <w:rPr>
                <w:rFonts w:ascii="Times New Roman;serif" w:hAnsi="Times New Roman;serif"/>
                <w:b w:val="false"/>
                <w:color w:val="000000"/>
                <w:sz w:val="18"/>
              </w:rPr>
              <w:t>, filed as Annex A to our Definitive Proxy Statement filed with the SEC on April 4, 2024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18"/>
                  <w:u w:val="single"/>
                </w:rPr>
                <w:t>Form of Executive Restricted Stock Agreement for the MasTec, Inc. Amended and Restated 2013 Incentive Compensation Plan</w:t>
              </w:r>
            </w:hyperlink>
            <w:r>
              <w:rPr>
                <w:color w:val="000000"/>
              </w:rPr>
              <w:t xml:space="preserve"> </w:t>
            </w:r>
            <w:r>
              <w:rPr>
                <w:rFonts w:ascii="Times New Roman;serif" w:hAnsi="Times New Roman;serif"/>
                <w:b w:val="false"/>
                <w:color w:val="000000"/>
                <w:sz w:val="18"/>
              </w:rPr>
              <w:t>(for awards made after May 14, 2020), filed as Exhibit 10.1 to our Quarterly Report on Form 10-Q filed with the SEC on July 31, 2020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18"/>
                  <w:u w:val="single"/>
                </w:rPr>
                <w:t>Form of Executive (Jorge Mas) Restricted Stock Agreement for the MasTec, Inc. Amended and Restated 2013 Incentive Compensation Plan</w:t>
              </w:r>
            </w:hyperlink>
            <w:r>
              <w:rPr>
                <w:rFonts w:ascii="Times New Roman;serif" w:hAnsi="Times New Roman;serif"/>
                <w:b w:val="false"/>
                <w:color w:val="000000"/>
                <w:sz w:val="18"/>
              </w:rPr>
              <w:t>, filed as Exhibit 10.2 to our Quarterly Report on Form 10-Q filed with the SEC on July 31, 2020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12312510-kex1019.htm">
              <w:r>
                <w:rPr>
                  <w:rStyle w:val="InternetLink"/>
                  <w:rFonts w:ascii="Times New Roman;serif" w:hAnsi="Times New Roman;serif"/>
                  <w:b w:val="false"/>
                  <w:color w:val="0000FF"/>
                  <w:sz w:val="18"/>
                  <w:u w:val="single"/>
                </w:rPr>
                <w:t>Form of Employee Restricted Stock Agreement for the MasTec, Inc. Amended and Restated 2013 Incentive Compensation Plan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12312510-kex1020.htm">
              <w:r>
                <w:rPr>
                  <w:rStyle w:val="InternetLink"/>
                  <w:rFonts w:ascii="Times New Roman;serif" w:hAnsi="Times New Roman;serif"/>
                  <w:b w:val="false"/>
                  <w:color w:val="0000FF"/>
                  <w:sz w:val="18"/>
                  <w:u w:val="single"/>
                </w:rPr>
                <w:t>Form of Non-Employee Restricted Stock Agreement for the MasTec, Inc. Amended and Restated 2013 Incentive Compensation Plan</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18"/>
                  <w:u w:val="single"/>
                </w:rPr>
                <w:t>Form of Employee Restricted Stock Units Agreement for the MasTec, Inc. Amended and Restated 2013 Incentive Compensation Plan</w:t>
              </w:r>
            </w:hyperlink>
            <w:r>
              <w:rPr>
                <w:rFonts w:ascii="Times New Roman;serif" w:hAnsi="Times New Roman;serif"/>
                <w:b w:val="false"/>
                <w:color w:val="000000"/>
                <w:sz w:val="18"/>
              </w:rPr>
              <w:t>, filed as Exhibit 10.20 to our Annual Report on Form 10-K filed with the SEC on March 16, 2023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18"/>
                  <w:u w:val="single"/>
                </w:rPr>
                <w:t>Amended and Restated Credit Agreement, dated as of June 26, 2025, by and among MasTec, Inc. and MasTec North America, Inc. as Borrowers, Bank of America, N.A., as Administrative Agent, Swing Line Lender and L/C Issuer, and the other lenders party thereto</w:t>
              </w:r>
            </w:hyperlink>
            <w:r>
              <w:rPr>
                <w:rFonts w:ascii="Times New Roman;serif" w:hAnsi="Times New Roman;serif"/>
                <w:b w:val="false"/>
                <w:color w:val="000000"/>
                <w:sz w:val="18"/>
              </w:rPr>
              <w:t>, filed as Exhibit 10.1 to our Current Report on Form 8-K filed with the SEC on June 27, 2025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18"/>
                  <w:u w:val="single"/>
                </w:rPr>
                <w:t>Term Loan Agreement, dated as of June 26, 2025, by and among MasTec, Inc. and MasTec North America, Inc., as Borrowers, Bank of America, N.A., as Administrative Agent, and the other lenders party thereto</w:t>
              </w:r>
            </w:hyperlink>
            <w:r>
              <w:rPr>
                <w:rFonts w:ascii="Times New Roman;serif" w:hAnsi="Times New Roman;serif"/>
                <w:b w:val="false"/>
                <w:color w:val="000000"/>
                <w:sz w:val="18"/>
              </w:rPr>
              <w:t>, filed as Exhibit 10.2 to our Current Report on Form 8-K filed with the SEC on June 27, 2025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18"/>
                  <w:u w:val="single"/>
                </w:rPr>
                <w:t>Letter from BDO USA, P.C.</w:t>
              </w:r>
            </w:hyperlink>
            <w:r>
              <w:rPr>
                <w:rFonts w:ascii="Times New Roman;serif" w:hAnsi="Times New Roman;serif"/>
                <w:b w:val="false"/>
                <w:color w:val="000000"/>
                <w:sz w:val="18"/>
              </w:rPr>
              <w:t>, dated March 7, 2024, filed as Exhibit 16.1 to our Current Report on Form 8-K filed with the SEC on March 8, 2024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18"/>
                  <w:u w:val="single"/>
                </w:rPr>
                <w:t>Policy Regarding Insider Trading</w:t>
              </w:r>
            </w:hyperlink>
            <w:r>
              <w:rPr>
                <w:rFonts w:ascii="Times New Roman;serif" w:hAnsi="Times New Roman;serif"/>
                <w:b w:val="false"/>
                <w:color w:val="000000"/>
                <w:sz w:val="18"/>
              </w:rPr>
              <w:t>, filed as Exhibit 19.1 to our Annual Report on Form 10-K filed with the SEC on February 28, 2025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12312510-kex211.htm">
              <w:r>
                <w:rPr>
                  <w:rStyle w:val="InternetLink"/>
                  <w:rFonts w:ascii="Times New Roman;serif" w:hAnsi="Times New Roman;serif"/>
                  <w:b w:val="false"/>
                  <w:color w:val="0000FF"/>
                  <w:sz w:val="18"/>
                  <w:u w:val="single"/>
                </w:rPr>
                <w:t>Subsidiaries of MasTec, Inc.</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12312510-kex231.htm">
              <w:r>
                <w:rPr>
                  <w:rStyle w:val="InternetLink"/>
                  <w:rFonts w:ascii="Times New Roman;serif" w:hAnsi="Times New Roman;serif"/>
                  <w:b w:val="false"/>
                  <w:color w:val="0000FF"/>
                  <w:sz w:val="18"/>
                  <w:u w:val="single"/>
                </w:rPr>
                <w:t>Consent of BDO USA, P.C.</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12312510-kex232.htm">
              <w:r>
                <w:rPr>
                  <w:rStyle w:val="InternetLink"/>
                  <w:rFonts w:ascii="Times New Roman;serif" w:hAnsi="Times New Roman;serif"/>
                  <w:b w:val="false"/>
                  <w:color w:val="0000FF"/>
                  <w:sz w:val="18"/>
                  <w:u w:val="single"/>
                </w:rPr>
                <w:t>Consent of Deloitte &amp; Touche LLP</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12312510-kex233.htm">
              <w:r>
                <w:rPr>
                  <w:rStyle w:val="InternetLink"/>
                  <w:rFonts w:ascii="Times New Roman;serif" w:hAnsi="Times New Roman;serif"/>
                  <w:b w:val="false"/>
                  <w:color w:val="0000FF"/>
                  <w:sz w:val="18"/>
                  <w:u w:val="single"/>
                </w:rPr>
                <w:t>Consent of PricewaterhouseCoopers LLP</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12312510-kex311.htm">
              <w:r>
                <w:rPr>
                  <w:rStyle w:val="InternetLink"/>
                  <w:rFonts w:ascii="Times New Roman;serif" w:hAnsi="Times New Roman;serif"/>
                  <w:b w:val="false"/>
                  <w:color w:val="0000FF"/>
                  <w:sz w:val="18"/>
                  <w:u w:val="single"/>
                </w:rPr>
                <w:t>Certifications required by Section 302(a) of the Sarbanes-Oxley Act of 2002.</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12312510-kex312.htm">
              <w:r>
                <w:rPr>
                  <w:rStyle w:val="InternetLink"/>
                  <w:rFonts w:ascii="Times New Roman;serif" w:hAnsi="Times New Roman;serif"/>
                  <w:b w:val="false"/>
                  <w:color w:val="0000FF"/>
                  <w:sz w:val="18"/>
                  <w:u w:val="single"/>
                </w:rPr>
                <w:t>Certifications required by Section 302(a) of the Sarbanes-Oxley Act of 2002.</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12312510-kex321.htm">
              <w:r>
                <w:rPr>
                  <w:rStyle w:val="InternetLink"/>
                  <w:rFonts w:ascii="Times New Roman;serif" w:hAnsi="Times New Roman;serif"/>
                  <w:b w:val="false"/>
                  <w:color w:val="0000FF"/>
                  <w:sz w:val="18"/>
                  <w:u w:val="single"/>
                </w:rPr>
                <w:t>Certifications required by Section 906 of the Sarbanes-Oxley Act of 2002.</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12312510-kex322.htm">
              <w:r>
                <w:rPr>
                  <w:rStyle w:val="InternetLink"/>
                  <w:rFonts w:ascii="Times New Roman;serif" w:hAnsi="Times New Roman;serif"/>
                  <w:b w:val="false"/>
                  <w:color w:val="0000FF"/>
                  <w:sz w:val="18"/>
                  <w:u w:val="single"/>
                </w:rPr>
                <w:t>Certifications required by Section 906 of the Sarbanes-Oxley Act of 2002.</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95.1*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12312510-kex951.htm">
              <w:r>
                <w:rPr>
                  <w:rStyle w:val="InternetLink"/>
                  <w:rFonts w:ascii="Times New Roman;serif" w:hAnsi="Times New Roman;serif"/>
                  <w:b w:val="false"/>
                  <w:color w:val="0000FF"/>
                  <w:sz w:val="18"/>
                  <w:u w:val="single"/>
                </w:rPr>
                <w:t>Mine Safety Disclosure.</w:t>
              </w:r>
            </w:hyperlink>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18"/>
                  <w:u w:val="single"/>
                </w:rPr>
                <w:t>Policy Regarding the Mandatory Recovery of Compensation</w:t>
              </w:r>
            </w:hyperlink>
            <w:r>
              <w:rPr>
                <w:rFonts w:ascii="Times New Roman;serif" w:hAnsi="Times New Roman;serif"/>
                <w:b w:val="false"/>
                <w:color w:val="000000"/>
                <w:sz w:val="18"/>
              </w:rPr>
              <w:t>, filed as Exhibit 97.1 to our Annual Report on Form 10-K filed with the SEC on March 1, 2024 and incorporated by reference herein.</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The cover page of MasTec, Inc.’s Annual Report on Form 10-K for the year ended December 31, 2025, formatted in Inline XBRL (included with the Exhibit 101 attachments).</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______________</w:t>
      </w:r>
    </w:p>
    <w:p>
      <w:pPr>
        <w:pStyle w:val="TextBody"/>
        <w:bidi w:val="0"/>
        <w:spacing w:lineRule="auto" w:line="288" w:before="60" w:after="60"/>
        <w:jc w:val="both"/>
        <w:rPr>
          <w:rFonts w:ascii="Times New Roman;serif" w:hAnsi="Times New Roman;serif"/>
          <w:b w:val="false"/>
          <w:color w:val="000000"/>
          <w:sz w:val="18"/>
        </w:rPr>
      </w:pPr>
      <w:r>
        <w:rPr>
          <w:rFonts w:ascii="Times New Roman;serif" w:hAnsi="Times New Roman;serif"/>
          <w:b w:val="false"/>
          <w:color w:val="000000"/>
          <w:sz w:val="18"/>
        </w:rPr>
        <w:t>(1)    SEC file number for all Securities Exchange Act reports referenced in the exhibit list is 001 - 08106.</w:t>
      </w:r>
    </w:p>
    <w:p>
      <w:pPr>
        <w:pStyle w:val="TextBody"/>
        <w:bidi w:val="0"/>
        <w:spacing w:lineRule="auto" w:line="288" w:before="60" w:after="60"/>
        <w:jc w:val="both"/>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288" w:before="60" w:after="60"/>
        <w:jc w:val="both"/>
        <w:rPr>
          <w:rFonts w:ascii="Times New Roman;serif" w:hAnsi="Times New Roman;serif"/>
          <w:b w:val="false"/>
          <w:color w:val="000000"/>
          <w:sz w:val="18"/>
        </w:rPr>
      </w:pPr>
      <w:r>
        <w:rPr>
          <w:rFonts w:ascii="Times New Roman;serif" w:hAnsi="Times New Roman;serif"/>
          <w:b w:val="false"/>
          <w:color w:val="000000"/>
          <w:sz w:val="18"/>
        </w:rPr>
        <w:t>**    Furnished herewith.</w:t>
      </w:r>
    </w:p>
    <w:p>
      <w:pPr>
        <w:pStyle w:val="TextBody"/>
        <w:bidi w:val="0"/>
        <w:spacing w:lineRule="auto" w:line="288" w:before="60" w:after="60"/>
        <w:jc w:val="both"/>
        <w:rPr>
          <w:rFonts w:ascii="Times New Roman;serif" w:hAnsi="Times New Roman;serif"/>
          <w:b w:val="false"/>
          <w:color w:val="000000"/>
          <w:sz w:val="18"/>
        </w:rPr>
      </w:pPr>
      <w:r>
        <w:rPr>
          <w:rFonts w:ascii="Times New Roman;serif" w:hAnsi="Times New Roman;serif"/>
          <w:b w:val="false"/>
          <w:color w:val="000000"/>
          <w:sz w:val="18"/>
        </w:rPr>
        <w:t>+    Management contract or compensation plan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102"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100</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300" w:after="120"/>
        <w:ind w:left="0" w:right="0" w:hanging="1440"/>
        <w:jc w:val="left"/>
        <w:rPr>
          <w:rFonts w:ascii="Times New Roman;serif" w:hAnsi="Times New Roman;serif"/>
          <w:b/>
          <w:color w:val="000000"/>
          <w:sz w:val="18"/>
        </w:rPr>
      </w:pPr>
      <w:r>
        <w:rPr>
          <w:rFonts w:ascii="Times New Roman;serif" w:hAnsi="Times New Roman;serif"/>
          <w:b/>
          <w:color w:val="000000"/>
          <w:sz w:val="18"/>
        </w:rPr>
        <w:t>ITEM 16.    FORM 10-K SUMMARY</w:t>
      </w:r>
    </w:p>
    <w:p>
      <w:pPr>
        <w:pStyle w:val="TextBody"/>
        <w:bidi w:val="0"/>
        <w:spacing w:lineRule="auto" w:line="288" w:before="18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07645"/>
                <wp:effectExtent l="0" t="0" r="0" b="0"/>
                <wp:wrapNone/>
                <wp:docPr id="103" name="Frame101"/>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101</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00" w:after="283"/>
        <w:ind w:left="0" w:right="0" w:hanging="9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SCHEDULE II – VALUATION AND QUALIFYING ACCOUNTS</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(in millions)</w:t>
      </w:r>
    </w:p>
    <w:tbl>
      <w:tblPr>
        <w:tblW w:w="10205" w:type="dxa"/>
        <w:jc w:val="center"/>
        <w:tblInd w:w="0" w:type="dxa"/>
        <w:tblLayout w:type="fixed"/>
        <w:tblCellMar>
          <w:top w:w="28" w:type="dxa"/>
          <w:left w:w="28" w:type="dxa"/>
          <w:bottom w:w="28" w:type="dxa"/>
          <w:right w:w="28" w:type="dxa"/>
        </w:tblCellMar>
      </w:tblPr>
      <w:tblGrid>
        <w:gridCol w:w="905"/>
        <w:gridCol w:w="765"/>
        <w:gridCol w:w="768"/>
        <w:gridCol w:w="719"/>
        <w:gridCol w:w="421"/>
        <w:gridCol w:w="401"/>
        <w:gridCol w:w="109"/>
        <w:gridCol w:w="109"/>
        <w:gridCol w:w="109"/>
        <w:gridCol w:w="402"/>
        <w:gridCol w:w="772"/>
        <w:gridCol w:w="225"/>
        <w:gridCol w:w="109"/>
        <w:gridCol w:w="109"/>
        <w:gridCol w:w="109"/>
        <w:gridCol w:w="294"/>
        <w:gridCol w:w="609"/>
        <w:gridCol w:w="164"/>
        <w:gridCol w:w="109"/>
        <w:gridCol w:w="109"/>
        <w:gridCol w:w="109"/>
        <w:gridCol w:w="236"/>
        <w:gridCol w:w="690"/>
        <w:gridCol w:w="132"/>
        <w:gridCol w:w="109"/>
        <w:gridCol w:w="109"/>
        <w:gridCol w:w="109"/>
        <w:gridCol w:w="299"/>
        <w:gridCol w:w="850"/>
        <w:gridCol w:w="245"/>
      </w:tblGrid>
      <w:tr>
        <w:trPr/>
        <w:tc>
          <w:tcPr>
            <w:tcW w:w="90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Charges to Cost and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 End of Period</w:t>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ended December 31, 2025</w:t>
            </w:r>
          </w:p>
        </w:tc>
        <w:tc>
          <w:tcPr>
            <w:tcW w:w="1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(a)</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(b)</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unbilled receivables and project close-out liabilities</w:t>
            </w:r>
          </w:p>
        </w:tc>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(a)</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(b)</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 for deferred tax assets</w:t>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(c)</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ended December 31, 2024</w:t>
            </w:r>
          </w:p>
        </w:tc>
        <w:tc>
          <w:tcPr>
            <w:tcW w:w="1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(a)</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(b)</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unbilled receivables and project close-out liabilities</w:t>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(a)</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(b)</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 for deferred tax assets</w:t>
            </w:r>
          </w:p>
        </w:tc>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(c)</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ended December 31, 2023</w:t>
            </w:r>
          </w:p>
        </w:tc>
        <w:tc>
          <w:tcPr>
            <w:tcW w:w="1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(a)</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(b)</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unbilled receivables and project close-out liabilities</w:t>
            </w:r>
          </w:p>
        </w:tc>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(a)</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(b)</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 for deferred tax assets</w:t>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(c)</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w:t>
            </w:r>
          </w:p>
        </w:tc>
        <w:tc>
          <w:tcPr>
            <w:tcW w:w="1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450"/>
        <w:jc w:val="both"/>
        <w:rPr/>
      </w:pPr>
      <w:r>
        <w:rPr/>
      </w:r>
    </w:p>
    <w:p>
      <w:pPr>
        <w:pStyle w:val="TextBody"/>
        <w:bidi w:val="0"/>
        <w:spacing w:lineRule="auto" w:line="288" w:before="12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Provisions for receivables and project close-out liabilities.</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Write-offs of and reversals for receivables and project close-out liabilities.</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    Additions related to federal, foreign and state attributes.</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    Deductions related to federal, foreign and state attributes.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07645"/>
                <wp:effectExtent l="0" t="0" r="0" b="0"/>
                <wp:wrapNone/>
                <wp:docPr id="104" name="Frame102"/>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102</w:t>
                      </w:r>
                    </w:p>
                  </w:txbxContent>
                </v:textbox>
                <w10:wrap type="none"/>
              </v:rect>
            </w:pict>
          </mc:Fallback>
        </mc:AlternateContent>
      </w:r>
    </w:p>
    <w:p>
      <w:pPr>
        <w:pStyle w:val="TextBody"/>
        <w:bidi w:val="0"/>
        <w:spacing w:before="120" w:after="120"/>
        <w:ind w:left="0" w:right="0" w:firstLine="720"/>
        <w:jc w:val="both"/>
        <w:rPr/>
      </w:pPr>
      <w:r>
        <w:rPr/>
      </w:r>
    </w:p>
    <w:p>
      <w:pPr>
        <w:pStyle w:val="TextBody"/>
        <w:bidi w:val="0"/>
        <w:spacing w:lineRule="auto" w:line="288" w:before="120" w:after="120"/>
        <w:ind w:left="0" w:right="0" w:hanging="36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120" w:after="120"/>
        <w:ind w:left="0" w:right="0" w:firstLine="495"/>
        <w:jc w:val="both"/>
        <w:rPr/>
      </w:pPr>
      <w:r>
        <w:rPr/>
      </w:r>
    </w:p>
    <w:p>
      <w:pPr>
        <w:pStyle w:val="TextBody"/>
        <w:bidi w:val="0"/>
        <w:spacing w:lineRule="auto" w:line="288" w:before="120" w:after="24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Section 13 or 15(d) of the Securities Exchange Act of 1934, the Registrant has duly caused this report to be signed on its behalf by the undersigned, thereunto duly authorized, in the City of Miami, State of Florida, on February 26, 2026.</w:t>
      </w:r>
    </w:p>
    <w:tbl>
      <w:tblPr>
        <w:tblW w:w="4406" w:type="dxa"/>
        <w:jc w:val="right"/>
        <w:tblInd w:w="0" w:type="dxa"/>
        <w:tblLayout w:type="fixed"/>
        <w:tblCellMar>
          <w:top w:w="28" w:type="dxa"/>
          <w:left w:w="28" w:type="dxa"/>
          <w:bottom w:w="28" w:type="dxa"/>
          <w:right w:w="28" w:type="dxa"/>
        </w:tblCellMar>
      </w:tblPr>
      <w:tblGrid>
        <w:gridCol w:w="124"/>
        <w:gridCol w:w="109"/>
        <w:gridCol w:w="109"/>
        <w:gridCol w:w="1186"/>
        <w:gridCol w:w="1186"/>
        <w:gridCol w:w="1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MASTEC,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18"/>
              </w:rPr>
              <w:t>/s/  JOSÉ R. MAS</w:t>
            </w: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José R. Mas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i/>
                <w:color w:val="000000"/>
                <w:sz w:val="18"/>
              </w:rPr>
            </w:pPr>
            <w:r>
              <w:rPr>
                <w:rFonts w:ascii="Times New Roman;serif" w:hAnsi="Times New Roman;serif"/>
                <w:b/>
                <w:i/>
                <w:color w:val="000000"/>
                <w:sz w:val="18"/>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i/>
                <w:color w:val="000000"/>
                <w:sz w:val="18"/>
              </w:rPr>
            </w:pPr>
            <w:r>
              <w:rPr>
                <w:rFonts w:ascii="Times New Roman;serif" w:hAnsi="Times New Roman;serif"/>
                <w:b/>
                <w:i/>
                <w:color w:val="000000"/>
                <w:sz w:val="18"/>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18"/>
              </w:rPr>
            </w:pPr>
            <w:r>
              <w:rPr>
                <w:rFonts w:ascii="Times New Roman;serif" w:hAnsi="Times New Roman;serif"/>
                <w:b w:val="false"/>
                <w:i/>
                <w:color w:val="000000"/>
                <w:sz w:val="18"/>
              </w:rPr>
              <w:t>/s/  PAUL DIMARCO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Paul DiMarco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i/>
                <w:color w:val="000000"/>
                <w:sz w:val="18"/>
              </w:rPr>
            </w:pPr>
            <w:r>
              <w:rPr>
                <w:rFonts w:ascii="Times New Roman;serif" w:hAnsi="Times New Roman;serif"/>
                <w:b/>
                <w:i/>
                <w:color w:val="000000"/>
                <w:sz w:val="18"/>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i/>
                <w:color w:val="000000"/>
                <w:sz w:val="18"/>
              </w:rPr>
            </w:pPr>
            <w:r>
              <w:rPr>
                <w:rFonts w:ascii="Times New Roman;serif" w:hAnsi="Times New Roman;serif"/>
                <w:b/>
                <w:i/>
                <w:color w:val="000000"/>
                <w:sz w:val="18"/>
              </w:rPr>
              <w:t>(Principal Financial Officer)</w:t>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this report has been signed below by the following persons on behalf of the Registrant and in the capacities indicated on February 26, 2026.</w:t>
      </w:r>
    </w:p>
    <w:tbl>
      <w:tblPr>
        <w:tblW w:w="6044" w:type="dxa"/>
        <w:jc w:val="center"/>
        <w:tblInd w:w="0" w:type="dxa"/>
        <w:tblLayout w:type="fixed"/>
        <w:tblCellMar>
          <w:top w:w="28" w:type="dxa"/>
          <w:left w:w="28" w:type="dxa"/>
          <w:bottom w:w="28" w:type="dxa"/>
          <w:right w:w="28" w:type="dxa"/>
        </w:tblCellMar>
      </w:tblPr>
      <w:tblGrid>
        <w:gridCol w:w="773"/>
        <w:gridCol w:w="680"/>
        <w:gridCol w:w="691"/>
        <w:gridCol w:w="1141"/>
        <w:gridCol w:w="1141"/>
        <w:gridCol w:w="1618"/>
      </w:tblGrid>
      <w:tr>
        <w:trPr/>
        <w:tc>
          <w:tcPr>
            <w:tcW w:w="7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 JORGE MAS</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Chairman of the Board of Directors</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Jorge Mas</w:t>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/s/  JOSÉ R. MAS</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Chief Executive Officer and Director</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José R. Mas</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/s/  PAUL DIMARCO</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Executive Vice President and Chief Financial Officer</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Paul DiMarco</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/s/  T. MICHAEL LOVE</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Chief Accounting Officer</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 Michael Love</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 C. ROBERT CAMPBELL</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C. Robert Campbell</w:t>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 ERNST N. CSISZAR</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Ernst N. Csiszar</w:t>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 ROBERT J. DWYER</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Robert J. Dwyer</w:t>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 JULIA L. JOHNSON</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Julia L. Johnson</w:t>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 JAVIER PALOMAREZ</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Javier Palomarez</w:t>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 AVA L. PARKER</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Ava L. Parker</w:t>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07645"/>
                <wp:effectExtent l="0" t="0" r="0" b="0"/>
                <wp:wrapNone/>
                <wp:docPr id="105" name="Frame10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103</w:t>
                      </w:r>
                    </w:p>
                  </w:txbxContent>
                </v:textbox>
                <w10:wrap type="none"/>
              </v:rect>
            </w:pict>
          </mc:Fallback>
        </mc:AlternateContent>
      </w:r>
    </w:p>
    <w:p>
      <w:pPr>
        <w:pStyle w:val="TextBody"/>
        <w:bidi w:val="0"/>
        <w:spacing w:before="0" w:after="0"/>
        <w:ind w:left="0" w:right="0" w:hanging="72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RESTRICTED STOCK AGREEMENT</w:t>
      </w:r>
    </w:p>
    <w:p>
      <w:pPr>
        <w:pStyle w:val="TextBody"/>
        <w:bidi w:val="0"/>
        <w:spacing w:lineRule="auto" w:line="288" w:before="240" w:after="240"/>
        <w:ind w:left="0" w:right="0" w:firstLine="720"/>
        <w:jc w:val="both"/>
        <w:rPr/>
      </w:pPr>
      <w:r>
        <w:rPr>
          <w:rFonts w:ascii="Times New Roman;serif" w:hAnsi="Times New Roman;serif"/>
          <w:b/>
          <w:color w:val="000000"/>
          <w:sz w:val="18"/>
        </w:rPr>
        <w:t>1.    </w:t>
      </w:r>
      <w:r>
        <w:rPr>
          <w:rFonts w:ascii="Times New Roman;serif" w:hAnsi="Times New Roman;serif"/>
          <w:b/>
          <w:color w:val="000000"/>
          <w:sz w:val="18"/>
          <w:u w:val="single"/>
        </w:rPr>
        <w:t>Award of Shares</w:t>
      </w:r>
      <w:r>
        <w:rPr>
          <w:rFonts w:ascii="Times New Roman;serif" w:hAnsi="Times New Roman;serif"/>
          <w:b/>
          <w:color w:val="000000"/>
          <w:sz w:val="18"/>
        </w:rPr>
        <w:t xml:space="preserve">. </w:t>
      </w:r>
      <w:r>
        <w:rPr>
          <w:rFonts w:ascii="Times New Roman;serif" w:hAnsi="Times New Roman;serif"/>
          <w:b w:val="false"/>
          <w:color w:val="000000"/>
          <w:sz w:val="18"/>
        </w:rPr>
        <w:t>MasTec, Inc. (the “Company”) has awarded to the “Recipient” designated below, the “Award” generally described in the Notice of Restricted Stock Award (the “Notice”), which is hereby incorporated by reference, subject to the terms and conditions of the Company’s Amended and Restated 2013 Incentive Compensation Plan (“Plan”). The Company and the Recipient agree that these Awards are governed by the terms and conditions of the Plan, as amended from time to time, which are incorporated herein in their entirety. Unless otherwise provided herein, terms used herein that are defined in the Plan (or the Notice) and not defined herein shall have the meanings attributable thereto in the Plan (or the Notice).</w:t>
      </w:r>
    </w:p>
    <w:p>
      <w:pPr>
        <w:pStyle w:val="TextBody"/>
        <w:bidi w:val="0"/>
        <w:spacing w:lineRule="auto" w:line="288" w:before="240" w:after="240"/>
        <w:ind w:left="0" w:right="0" w:firstLine="720"/>
        <w:jc w:val="both"/>
        <w:rPr/>
      </w:pPr>
      <w:r>
        <w:rPr>
          <w:rFonts w:ascii="Times New Roman;serif" w:hAnsi="Times New Roman;serif"/>
          <w:b/>
          <w:color w:val="000000"/>
          <w:sz w:val="18"/>
        </w:rPr>
        <w:t>2.    </w:t>
      </w:r>
      <w:r>
        <w:rPr>
          <w:rFonts w:ascii="Times New Roman;serif" w:hAnsi="Times New Roman;serif"/>
          <w:b/>
          <w:color w:val="000000"/>
          <w:sz w:val="18"/>
          <w:u w:val="single"/>
        </w:rPr>
        <w:t>Award Restrictions</w:t>
      </w:r>
      <w:r>
        <w:rPr>
          <w:rFonts w:ascii="Times New Roman;serif" w:hAnsi="Times New Roman;serif"/>
          <w:b/>
          <w:color w:val="000000"/>
          <w:sz w:val="18"/>
        </w:rPr>
        <w:t>.</w:t>
      </w:r>
      <w:r>
        <w:rPr>
          <w:color w:val="000000"/>
        </w:rPr>
        <w:t xml:space="preserve"> </w:t>
      </w:r>
    </w:p>
    <w:p>
      <w:pPr>
        <w:pStyle w:val="TextBody"/>
        <w:bidi w:val="0"/>
        <w:spacing w:lineRule="auto" w:line="288" w:before="240" w:after="240"/>
        <w:ind w:left="0" w:right="0" w:firstLine="720"/>
        <w:jc w:val="both"/>
        <w:rPr>
          <w:color w:val="000000"/>
        </w:rPr>
      </w:pPr>
      <w:r>
        <w:rPr>
          <w:color w:val="000000"/>
        </w:rPr>
        <w:t>    </w:t>
      </w:r>
      <w:r>
        <w:rPr>
          <w:rFonts w:ascii="Times New Roman;serif" w:hAnsi="Times New Roman;serif"/>
          <w:b w:val="false"/>
          <w:color w:val="000000"/>
          <w:sz w:val="18"/>
        </w:rPr>
        <w:t>(a)    The shares of restricted stock (the “Restricted Stock”) covered by the Award shall vest on the vesting dates (each a “Vesting Date”) set forth below, provided that the Continuous Service of the Recipient continues through and until the applicable Vesting Date:</w:t>
      </w:r>
    </w:p>
    <w:tbl>
      <w:tblPr>
        <w:tblW w:w="3959" w:type="dxa"/>
        <w:jc w:val="left"/>
        <w:tblInd w:w="0" w:type="dxa"/>
        <w:tblLayout w:type="fixed"/>
        <w:tblCellMar>
          <w:top w:w="28" w:type="dxa"/>
          <w:left w:w="28" w:type="dxa"/>
          <w:bottom w:w="28" w:type="dxa"/>
          <w:right w:w="28" w:type="dxa"/>
        </w:tblCellMar>
      </w:tblPr>
      <w:tblGrid>
        <w:gridCol w:w="380"/>
        <w:gridCol w:w="334"/>
        <w:gridCol w:w="335"/>
        <w:gridCol w:w="850"/>
        <w:gridCol w:w="850"/>
        <w:gridCol w:w="1210"/>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Vesting Date</w:t>
            </w:r>
          </w:p>
        </w:tc>
        <w:tc>
          <w:tcPr>
            <w:tcW w:w="291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 Shares that Become Vested</w:t>
            </w:r>
          </w:p>
        </w:tc>
      </w:tr>
      <w:tr>
        <w:trPr/>
        <w:tc>
          <w:tcPr>
            <w:tcW w:w="10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w:t>
            </w:r>
          </w:p>
        </w:tc>
        <w:tc>
          <w:tcPr>
            <w:tcW w:w="291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w:t>
            </w:r>
          </w:p>
        </w:tc>
      </w:tr>
      <w:tr>
        <w:trPr/>
        <w:tc>
          <w:tcPr>
            <w:tcW w:w="10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w:t>
            </w:r>
          </w:p>
        </w:tc>
        <w:tc>
          <w:tcPr>
            <w:tcW w:w="291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w:t>
            </w:r>
          </w:p>
        </w:tc>
      </w:tr>
      <w:tr>
        <w:trPr/>
        <w:tc>
          <w:tcPr>
            <w:tcW w:w="104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w:t>
            </w:r>
          </w:p>
        </w:tc>
        <w:tc>
          <w:tcPr>
            <w:tcW w:w="291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w:t>
            </w:r>
          </w:p>
        </w:tc>
      </w:tr>
    </w:tbl>
    <w:p>
      <w:pPr>
        <w:pStyle w:val="TextBody"/>
        <w:bidi w:val="0"/>
        <w:spacing w:before="0" w:after="240"/>
        <w:ind w:left="0" w:right="0" w:firstLine="144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 xml:space="preserve">(b)    In the event that a Change in Control of the Company occurs during the Recipient’s Continuous Service, the shares of Restricted Stock subject to this Agreement shall become immediately vested as of the date of the Change in Control. </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(c)    In the event that the Recipient’s Continuous Service terminates by reason of the Recipient’s Disability or death, the shares of Restricted Stock subject to this Agreement shall become immediately vested as of the date of the Recipient’s Disability or death, whichever is applicable.</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 xml:space="preserve">(d)    Notwithstanding any other term or provision of this Agreement, the Committee retains the right to accelerate vesting of any Restricted Stock awarded under this Agreement. </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 xml:space="preserve">(e)    Any Shares covered by the Award shall not be transferable by the Recipient by means of sale, assignment, exchange, pledge, or otherwise, unless and until they become vested pursuant to the terms of this Agreement. The naming of a Beneficiary under the Plan does not constitute a transfer. </w:t>
      </w:r>
    </w:p>
    <w:p>
      <w:pPr>
        <w:pStyle w:val="TextBody"/>
        <w:bidi w:val="0"/>
        <w:spacing w:lineRule="auto" w:line="288" w:before="240" w:after="240"/>
        <w:ind w:left="0" w:right="0" w:firstLine="720"/>
        <w:jc w:val="both"/>
        <w:rPr/>
      </w:pPr>
      <w:r>
        <w:rPr>
          <w:rFonts w:ascii="Times New Roman;serif" w:hAnsi="Times New Roman;serif"/>
          <w:b/>
          <w:color w:val="000000"/>
          <w:sz w:val="18"/>
        </w:rPr>
        <w:t>3.    </w:t>
      </w:r>
      <w:r>
        <w:rPr>
          <w:rFonts w:ascii="Times New Roman;serif" w:hAnsi="Times New Roman;serif"/>
          <w:b/>
          <w:color w:val="000000"/>
          <w:sz w:val="18"/>
          <w:u w:val="single"/>
        </w:rPr>
        <w:t>Stock Certificates</w:t>
      </w:r>
      <w:r>
        <w:rPr>
          <w:rFonts w:ascii="Times New Roman;serif" w:hAnsi="Times New Roman;serif"/>
          <w:b/>
          <w:color w:val="000000"/>
          <w:sz w:val="18"/>
        </w:rPr>
        <w:t xml:space="preserve">. </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18"/>
        </w:rPr>
        <w:t>(a)    The stock certificate(s) evidencing the Restricted Stock shall be registered in the name of the Recipient as of the Date of Grant designated in the Notice. Physical possession or custody of such stock certificate(s) shall be retained by the Company until such time as the Shares become vested. Such stock certificate(s) shall be distributed to the Recipient or Beneficiary(ies) as soon as administratively practicable after the Shares become vested. The Company reserves the right to place a legend on the stock certificate(s) restricting the transferability of such certificate(s).</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 xml:space="preserve">(b)    During the period prior to vesting, the Recipient shall be entitled to all rights of a shareholder of the Company with respect to the Restricted Stock, including the right to vote the Shares and receive cash dividends. Any cash dividends declared with respect to any shares of Restricted Stock shall be held in escrow by the Company (unsegregated as a part of its general assets) until such time as the Restricted Stock that such cash dividends are attributed to become vested Shares, and if and to the extent that such Restricted Stock is subsequently forfeited, the cash dividends attributable to the forfeited Restricted Stock shall be forfeited as well. Stock dividends declared by the Company will be characterized as Restricted Stock and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subject to vesting and be distributed at the same times as the Restricted Stock with respect to which they were declared as dividends.</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(c)    The Recipient shall deposit with the Company stock powers or other instruments of transfer or assignment, duly endorsed in blank with signature(s) guaranteed, corresponding to each certificate representing shares of Restricted Stock until such Shares become vested. If the Recipient shall fail to provide the Company with any such stock power or other instrument of transfer or assignment, the Recipient hereby irrevocably appoints the Secretary of the Company as his attorney-in-fact, with full power of appointment and substitution, to execute and deliver any such power or other instrument which may be necessary to effectuate the transfer of the Restricted Stock (or assignment of distributions thereon) on the books and records of the Company.</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(d)    If the Company is authorized to issue Shares without certificates, then the Company may, in the discretion of the Committee, issue Shares pursuant to this Agreement without certificates, in which case any references in this Agreement to certificates shall instead refer to whatever evidence may be issued to reflect the Recipient’s ownership of the Shares subject to the terms and conditions of this Agreement.</w:t>
      </w:r>
    </w:p>
    <w:p>
      <w:pPr>
        <w:pStyle w:val="TextBody"/>
        <w:bidi w:val="0"/>
        <w:spacing w:lineRule="auto" w:line="288" w:before="240" w:after="240"/>
        <w:ind w:left="0" w:right="0" w:firstLine="720"/>
        <w:jc w:val="both"/>
        <w:rPr/>
      </w:pPr>
      <w:r>
        <w:rPr>
          <w:rFonts w:ascii="Times New Roman;serif" w:hAnsi="Times New Roman;serif"/>
          <w:b/>
          <w:color w:val="000000"/>
          <w:sz w:val="18"/>
        </w:rPr>
        <w:t>4.    </w:t>
      </w:r>
      <w:r>
        <w:rPr>
          <w:rFonts w:ascii="Times New Roman;serif" w:hAnsi="Times New Roman;serif"/>
          <w:b/>
          <w:color w:val="000000"/>
          <w:sz w:val="18"/>
          <w:u w:val="single"/>
        </w:rPr>
        <w:t>Forfeiture of Shares</w:t>
      </w:r>
      <w:r>
        <w:rPr>
          <w:rFonts w:ascii="Times New Roman;serif" w:hAnsi="Times New Roman;serif"/>
          <w:b/>
          <w:color w:val="000000"/>
          <w:sz w:val="18"/>
        </w:rPr>
        <w:t xml:space="preserve">. </w:t>
      </w:r>
      <w:r>
        <w:rPr>
          <w:rFonts w:ascii="Times New Roman;serif" w:hAnsi="Times New Roman;serif"/>
          <w:b w:val="false"/>
          <w:color w:val="000000"/>
          <w:sz w:val="18"/>
        </w:rPr>
        <w:t>Upon termination of the Recipient’s Continuous Service, for any reason, any shares of Restricted Stock that have not previously become vested and that do not become vested pursuant to Section 2 hereof, shall be immediately forfeited and revert back to the Company without any payment to the Recipient. If the Recipient breaches any of the Restrictive Covenants as defined in Section 5 hereof, then (in addition to any other rights or remedies to which the Company may be entitled as a result of such breach), all non-vested shares of Restricted Stock shall be forfeited immediately upon such breach and revert or be transferred by the Recipient back to the Company without any payment to the Recipient. The Award of Restricted Stock is conditioned upon and subject to the Recipient’s acceptance of the Award of Restricted Stock by signing and delivering to the Company the Notice not later than the date specified in the Notice. If the Recipient fails to accept the Award of Restricted Stock by signing and delivering to the Company the Notice within the time described above, the Recipient shall forfeit the shares of Restricted Stock subject to this Agreement without any payment to the Recipient. The Committee shall have the power and authority to enforce on behalf of the Company any rights of the Company under this Agreement in the event of the Recipient’s forfeiture of non-vested shares of Restricted Stock pursuant to this Section 4.</w:t>
      </w:r>
    </w:p>
    <w:p>
      <w:pPr>
        <w:pStyle w:val="TextBody"/>
        <w:bidi w:val="0"/>
        <w:spacing w:lineRule="auto" w:line="288" w:before="240" w:after="240"/>
        <w:ind w:left="0" w:right="0" w:firstLine="720"/>
        <w:jc w:val="both"/>
        <w:rPr/>
      </w:pPr>
      <w:r>
        <w:rPr>
          <w:rFonts w:ascii="Times New Roman;serif" w:hAnsi="Times New Roman;serif"/>
          <w:b/>
          <w:color w:val="000000"/>
          <w:sz w:val="18"/>
        </w:rPr>
        <w:t>5.    </w:t>
      </w:r>
      <w:r>
        <w:rPr>
          <w:rFonts w:ascii="Times New Roman;serif" w:hAnsi="Times New Roman;serif"/>
          <w:b/>
          <w:color w:val="000000"/>
          <w:sz w:val="18"/>
          <w:u w:val="single"/>
        </w:rPr>
        <w:t>Restrictive Covenants</w:t>
      </w:r>
      <w:r>
        <w:rPr>
          <w:rFonts w:ascii="Times New Roman;serif" w:hAnsi="Times New Roman;serif"/>
          <w:b/>
          <w:color w:val="000000"/>
          <w:sz w:val="18"/>
        </w:rPr>
        <w:t xml:space="preserve">. </w:t>
      </w:r>
      <w:r>
        <w:rPr>
          <w:rFonts w:ascii="Times New Roman;serif" w:hAnsi="Times New Roman;serif"/>
          <w:b w:val="false"/>
          <w:color w:val="000000"/>
          <w:sz w:val="18"/>
        </w:rPr>
        <w:t>As a condition to the Company’s grant of the Restricted Stock to the Recipient, and for other valuable consideration, the receipt and sufficiency of which are hereby acknowledged by the Recipient, the Recipient hereby agrees to comply with the restrictive covenants contained in this Section 5 and any other covenants or agreements regarding confidentiality, non-solicitation, non-competition or similar matters entered into between the Recipient and the Company and/or any Subsidiaries (collectively, the “Restrictive Covenants”).</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18"/>
        </w:rPr>
        <w:t>(a)</w:t>
      </w:r>
      <w:r>
        <w:rPr>
          <w:color w:val="000000"/>
        </w:rPr>
        <w:t>    </w:t>
      </w:r>
      <w:r>
        <w:rPr>
          <w:rFonts w:ascii="Times New Roman;serif" w:hAnsi="Times New Roman;serif"/>
          <w:b/>
          <w:color w:val="000000"/>
          <w:sz w:val="18"/>
        </w:rPr>
        <w:t xml:space="preserve">Confidential Information. </w:t>
      </w:r>
      <w:r>
        <w:rPr>
          <w:rFonts w:ascii="Times New Roman;serif" w:hAnsi="Times New Roman;serif"/>
          <w:b w:val="false"/>
          <w:color w:val="000000"/>
          <w:sz w:val="18"/>
        </w:rPr>
        <w:t xml:space="preserve">The Recipient acknowledges that as a result of the Recipient’s services for the Company and its Subsidiaries, the Recipient will gain knowledge of, and access to, proprietary and confidential information and trade secrets of the Company and its Subsidiaries, including, without limitation, (1) the identity of customers, suppliers, subcontractors and others with whom they do business; (2) their marketing methods and strategies; (3) contract terms, pricing, margin, cost information and other information regarding the relationship between them and the persons and entities with which they have contracted; (4) their services, products, software, technology, developments, improvements and methods of operation; (5) their results of operations, financial condition, projected financial performance, sales and profit performance and financial requirements; (6) the identity of and compensation paid to their employees, including the Recipient; (7) their business plans, models or strategies and the information contained therein; (8) their sources, leads or methods of obtaining new business; and (9) all other confidential information of, about or concerning the business of the Company and its Subsidiaries (collectively, the “Confidential Information”). The Recipient further acknowledges that such information, even though it may be contributed, developed or acquired by the Recipient, and whether or not the foregoing information is actually novel or unique or is actually known by others, constitutes valuable assets of the Company developed at great expense which are the exclusive property of the Company or its Subsidiaries. Accordingly, the Recipient will not, at any time, either during or subsequent to the termination of the Recipient’s services for the Company and its Subsidiaries for any reason, in any fashion, form or manner, directly or indirectly, (i) use, divulge, disclose, communicate, provide or permit access to any person or entity, any Confidential Information of any kind, nature or description, or (ii) remove from the Company’s or its Subsidiaries’ premises any notes or records relating thereto, or copies or facsimiles thereof (whether made by electronic, electrical, magnetic, optical, laser acoustic or other means) except in the case of both (i) and (ii), (A) as reasonably required in the performance of the Recipient’s services for the Company and its Subsidiaries, (B) to responsible officers and employees of the Company who are in a contractual or fiduciary relationship with the Company and who have a need for such information for purposes in the best interests of the Company, (C) for such information which is or becomes generally available to the public other than as a result of an unauthorized disclosure by the Recipient, and (D) or as otherwise necessary to comply with the requirements of law, after providing the Company with not less than five (5) days prior written notice of the Recipient’s intent to disclose. The Recipient acknowledges that the Company would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18"/>
        </w:rPr>
      </w:pPr>
      <w:r>
        <w:rPr>
          <w:rFonts w:ascii="Times New Roman;serif" w:hAnsi="Times New Roman;serif"/>
          <w:b w:val="false"/>
          <w:color w:val="000000"/>
          <w:sz w:val="18"/>
        </w:rPr>
        <w:t>not enter into this Agreement without assurance that all Confidential Information will be used for the exclusive benefit of the Company.</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18"/>
        </w:rPr>
        <w:t>(b)    </w:t>
      </w:r>
      <w:r>
        <w:rPr>
          <w:rFonts w:ascii="Times New Roman;serif" w:hAnsi="Times New Roman;serif"/>
          <w:b/>
          <w:color w:val="000000"/>
          <w:sz w:val="18"/>
        </w:rPr>
        <w:t xml:space="preserve">Intellectual Property. </w:t>
      </w:r>
      <w:r>
        <w:rPr>
          <w:rFonts w:ascii="Times New Roman;serif" w:hAnsi="Times New Roman;serif"/>
          <w:b w:val="false"/>
          <w:color w:val="000000"/>
          <w:sz w:val="18"/>
        </w:rPr>
        <w:t>Any and all material eligible for copyright or trademark protection and any and all ideas and inventions (“Intellectual Property”), whether or not patentable, in any such case solely or jointly made, developed, conceived or reduced to practice by the Recipient (whether at the request or suggestion of any officer or employee of the Company or otherwise, whether alone or in conjunction with others, and whether during regular hours of work or otherwise) during the period in which the Recipient provides services for the Company and its Subsidiaries, which arise from the fulfillment of the Recipient’s duties to the Company and its Subsidiaries and which may be directly or indirectly useful in the business of the Company or its Subsidiaries will be promptly and fully disclosed in writing to the Company. The Company and its Subsidiaries will have the entire right, title and interest (both domestic and foreign) in all such Intellectual Property, which is the sole property of the Company and its Subsidiaries. All papers, drawings, models, data and other materials relating to any such idea, material or invention will be included in the definition of Confidential Information, will remain the sole property of the Company and its Subsidiaries, and the Recipient will return to the Company and its Subsidiaries all such papers, and all copies thereof, including all originals and copies contained in computer hard drives or other electronic or machine readable format, upon the earlier of the Company’s or a Subsidiary’s request thereof, or the expiration or termination of the Recipient’s services for the Company and its Subsidiaries. The Recipient will execute, acknowledge and deliver to the Company and its Subsidiaries any and all further assignments, contracts or other instruments the Company and its Subsidiaries deem necessary or expedient, without further compensation, to carry out and effectuate the intents and purposes of the Agreement and to vest in the Company and its Subsidiaries each and all of the rights of the Company and its Subsidiaries in the Intellectual Property.</w:t>
      </w:r>
    </w:p>
    <w:p>
      <w:pPr>
        <w:pStyle w:val="TextBody"/>
        <w:bidi w:val="0"/>
        <w:spacing w:lineRule="auto" w:line="288" w:before="0" w:after="0"/>
        <w:jc w:val="both"/>
        <w:rPr/>
      </w:pPr>
      <w:r>
        <w:rPr>
          <w:color w:val="000000"/>
        </w:rPr>
        <w:t>        </w:t>
      </w:r>
      <w:r>
        <w:rPr>
          <w:rFonts w:ascii="Times New Roman;serif" w:hAnsi="Times New Roman;serif"/>
          <w:b w:val="false"/>
          <w:color w:val="000000"/>
          <w:sz w:val="18"/>
        </w:rPr>
        <w:t>(c)    </w:t>
      </w:r>
      <w:r>
        <w:rPr>
          <w:rFonts w:ascii="Times New Roman;serif" w:hAnsi="Times New Roman;serif"/>
          <w:b/>
          <w:color w:val="000000"/>
          <w:sz w:val="18"/>
        </w:rPr>
        <w:t xml:space="preserve">Nonsolicitation. </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erif" w:hAnsi="Times New Roman;serif"/>
          <w:b w:val="false"/>
          <w:color w:val="000000"/>
          <w:sz w:val="18"/>
        </w:rPr>
      </w:pPr>
      <w:r>
        <w:rPr>
          <w:rFonts w:ascii="Times New Roman;serif" w:hAnsi="Times New Roman;serif"/>
          <w:b w:val="false"/>
          <w:color w:val="000000"/>
          <w:sz w:val="18"/>
        </w:rPr>
        <w:t>(i)    The Recipient acknowledges and agrees that Company’s and its Subsidiaries’ existing or contemplated businesses (collectively, the “Business”) are conducted throughout the United States of America and the Commonwealth of Canada. Until two (2) years following the date of the termination of the Recipient’s employment with the Company and its Subsidiaries (the “Period of Non-Solicitation”) and within the United States of America and the Commonwealth of Canada (including their possessions, protectorate and territories, the “Territory”), the Recipient will not (whether or not then providing services for the Company or its Subsidiaries for any reason), without the Company’s prior written consent, solicit, persuade or attempt to solicit or persuade or cause or authorize directly or indirectly to be solicited or persuaded for employment, or employ or cause or authorize directly or indirectly to be employed, on behalf of the Recipient or any other person or entity, any individual who is or was at any time within six (6) months prior to cessation of the Recipient’s termination of the Recipient’s services for the Company and its Subsidiaries, an employee of the Company or its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2160"/>
        <w:jc w:val="both"/>
        <w:rPr>
          <w:rFonts w:ascii="Times New Roman;serif" w:hAnsi="Times New Roman;serif"/>
          <w:b w:val="false"/>
          <w:color w:val="000000"/>
          <w:sz w:val="18"/>
        </w:rPr>
      </w:pPr>
      <w:r>
        <w:rPr>
          <w:rFonts w:ascii="Times New Roman;serif" w:hAnsi="Times New Roman;serif"/>
          <w:b w:val="false"/>
          <w:color w:val="000000"/>
          <w:sz w:val="18"/>
        </w:rPr>
        <w:t xml:space="preserve">(ii)    If the Recipient breaches or violates any of the provisions of this Section 5(c), the running of the Period of Non-Solicitation (but not of any of the Recipient’s obligations under this Section 5) will be tolled with respect to the Recipient during the continuance of any actual breach or violation.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18"/>
        </w:rPr>
        <w:t>(d)    </w:t>
      </w:r>
      <w:r>
        <w:rPr>
          <w:rFonts w:ascii="Times New Roman;serif" w:hAnsi="Times New Roman;serif"/>
          <w:b/>
          <w:color w:val="000000"/>
          <w:sz w:val="18"/>
        </w:rPr>
        <w:t xml:space="preserve">Reasonable Restrictions. </w:t>
      </w:r>
      <w:r>
        <w:rPr>
          <w:rFonts w:ascii="Times New Roman;serif" w:hAnsi="Times New Roman;serif"/>
          <w:b w:val="false"/>
          <w:color w:val="000000"/>
          <w:sz w:val="18"/>
        </w:rPr>
        <w:t>The parties acknowledge and agree that the restrictions set forth in Section 5 of this Agreement are reasonable for the purpose of protecting the value of the business and goodwill of the Company and its Subsidiaries. It is the desire and intent of the parties that the provisions of Section 5 be enforced to the fullest extent permissible under the laws and public policies applied in each jurisdiction in which enforcement is sought. If any particular provisions or portions of Section 5 are adjudicated to be invalid or unenforceable, then such section will be deemed amended to delete such provision or portion adjudicated to be invalid or unenforceable; provided, however, that such amendments are to apply only with the respect to the operation of such section in the particular jurisdiction in which such adjudication is made.</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18"/>
        </w:rPr>
        <w:t>(e)    </w:t>
      </w:r>
      <w:r>
        <w:rPr>
          <w:rFonts w:ascii="Times New Roman;serif" w:hAnsi="Times New Roman;serif"/>
          <w:b/>
          <w:color w:val="000000"/>
          <w:sz w:val="18"/>
        </w:rPr>
        <w:t xml:space="preserve">Breach or Threatened Breach. </w:t>
      </w:r>
      <w:r>
        <w:rPr>
          <w:rFonts w:ascii="Times New Roman;serif" w:hAnsi="Times New Roman;serif"/>
          <w:b w:val="false"/>
          <w:color w:val="000000"/>
          <w:sz w:val="18"/>
        </w:rPr>
        <w:t xml:space="preserve">The parties acknowledge and agree that the performance of the obligations under Section 5 by the Recipient are special, unique and extraordinary in character, and that in the event of the breach or threatened breach by the Recipient of the terms and conditions of Section 5, the Company and its Subsidiaries will suffer irreparable injury and that monetary damages would not provide an adequate remedy at law and that no remedy at law may exist Accordingly, in the event of such breach or threatened breach, the Company will be entitled, if it so elects and without the posting of any bond or security, to institute and prosecute proceedings in any court of competent jurisdiction, in law and in equity, to obtain damages for any breach of Section 5 and/or to enforce the specific performance of this Agreement by the Recipient and/or to enjoin the Recipient from breaching or attempting to breach Section 5. In the event the Company believes that the Recipient has breached the Recipient’s obligations under Section 5, or threatens to do so, it shall promptly provide the Recipient written notice of such belief setting forth the basis for its belief and, (unless under exigent circumstances, as determined by the Company at its sole discretion, it would harm the Company and its Subsidiaries to delay the institution of legal proceedings) five (5) business days to respond to the notice, prior to the initiation of legal proceedings. In addition to any other rights or remedies the Company may have under this Agreement or applicable law, the Company will be entitled to receive from the Recipient reimbursement for all attorneys’ and paralegal fees and expenses and court costs incurred by the Company in enforcing this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Agreement and will have the right and remedy to require the Recipient to account for and pay over to the Company all compensation, profit, monies, accruals or other benefits derived or received, directly or indirectly, by the Recipient from the action constituting a breach or violation of this Section 5.</w:t>
      </w:r>
    </w:p>
    <w:p>
      <w:pPr>
        <w:pStyle w:val="TextBody"/>
        <w:bidi w:val="0"/>
        <w:spacing w:lineRule="auto" w:line="288" w:before="240" w:after="240"/>
        <w:ind w:left="0" w:right="0" w:firstLine="720"/>
        <w:jc w:val="both"/>
        <w:rPr/>
      </w:pPr>
      <w:r>
        <w:rPr>
          <w:rFonts w:ascii="Times New Roman;serif" w:hAnsi="Times New Roman;serif"/>
          <w:b/>
          <w:color w:val="000000"/>
          <w:sz w:val="18"/>
        </w:rPr>
        <w:t>6.    </w:t>
      </w:r>
      <w:r>
        <w:rPr>
          <w:rFonts w:ascii="Times New Roman;serif" w:hAnsi="Times New Roman;serif"/>
          <w:b/>
          <w:color w:val="000000"/>
          <w:sz w:val="18"/>
          <w:u w:val="single"/>
        </w:rPr>
        <w:t>Recapitalization, Mergers, Etc.</w:t>
      </w:r>
      <w:r>
        <w:rPr>
          <w:color w:val="000000"/>
        </w:rPr>
        <w:t xml:space="preserve"> </w:t>
      </w:r>
      <w:r>
        <w:rPr>
          <w:rFonts w:ascii="Times New Roman;serif" w:hAnsi="Times New Roman;serif"/>
          <w:b w:val="false"/>
          <w:color w:val="000000"/>
          <w:sz w:val="18"/>
        </w:rPr>
        <w:t xml:space="preserve">As provided in the Plan, in the event of corporate transactions affecting the Company’s outstanding Shares, such as recapitalizations or mergers, the Committee shall equitably adjust the number and kinds of Shares subject to this Award in such manner as the Committee deems appropriate, may accelerate the vesting of awards hereunder, and may take such other action as the Committee may determine to be appropriate pursuant to the Plan. </w:t>
      </w:r>
    </w:p>
    <w:p>
      <w:pPr>
        <w:pStyle w:val="TextBody"/>
        <w:bidi w:val="0"/>
        <w:spacing w:lineRule="auto" w:line="288" w:before="240" w:after="240"/>
        <w:ind w:left="0" w:right="0" w:firstLine="720"/>
        <w:jc w:val="both"/>
        <w:rPr/>
      </w:pPr>
      <w:r>
        <w:rPr>
          <w:rFonts w:ascii="Times New Roman;serif" w:hAnsi="Times New Roman;serif"/>
          <w:b/>
          <w:color w:val="000000"/>
          <w:sz w:val="18"/>
        </w:rPr>
        <w:t>7.    </w:t>
      </w:r>
      <w:r>
        <w:rPr>
          <w:rFonts w:ascii="Times New Roman;serif" w:hAnsi="Times New Roman;serif"/>
          <w:b/>
          <w:color w:val="000000"/>
          <w:sz w:val="18"/>
          <w:u w:val="single"/>
        </w:rPr>
        <w:t>Compliance with Securities Laws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 xml:space="preserve">It shall be a condition to the Recipient’s right to receive shares of Restricted Stock hereunder that the Committee may, in its discretion, require (a) that the shares of Restricted Stock reserved for issue upon the grant of this award shall have been duly listed, upon official notice of issuance, upon any national securities exchange or automated quotation system on which the Shares may then be listed or quoted, (b) that either (i) a registration statement under the Securities Act of 1933 with respect to the Shares shall be in effect, or (ii) in the opinion of counsel for the Company, the proposed purchase shall be exempt from registration under that Act and the Recipient shall have made such undertakings and agreements with the Company as the Company may reasonably require, and (c) that such other steps, if any, as counsel for the Company shall consider necessary to comply with any law applicable to the issue of such Shares by the Company shall have been taken by the Company or the Recipient, or both. The certificates representing the Shares granted under this Award may contain such legends as counsel for the Company shall consider necessary to comply with any applicable law. </w:t>
      </w:r>
    </w:p>
    <w:p>
      <w:pPr>
        <w:pStyle w:val="TextBody"/>
        <w:bidi w:val="0"/>
        <w:spacing w:lineRule="auto" w:line="288" w:before="240" w:after="240"/>
        <w:ind w:left="0" w:right="0" w:firstLine="720"/>
        <w:jc w:val="both"/>
        <w:rPr/>
      </w:pPr>
      <w:r>
        <w:rPr>
          <w:rFonts w:ascii="Times New Roman;serif" w:hAnsi="Times New Roman;serif"/>
          <w:b/>
          <w:color w:val="000000"/>
          <w:sz w:val="18"/>
        </w:rPr>
        <w:t>8.    </w:t>
      </w:r>
      <w:r>
        <w:rPr>
          <w:rFonts w:ascii="Times New Roman;serif" w:hAnsi="Times New Roman;serif"/>
          <w:b/>
          <w:color w:val="000000"/>
          <w:sz w:val="18"/>
          <w:u w:val="single"/>
        </w:rPr>
        <w:t>Administration</w:t>
      </w:r>
      <w:r>
        <w:rPr>
          <w:rFonts w:ascii="Times New Roman;serif" w:hAnsi="Times New Roman;serif"/>
          <w:b/>
          <w:color w:val="000000"/>
          <w:sz w:val="18"/>
        </w:rPr>
        <w:t>.</w:t>
      </w:r>
      <w:r>
        <w:rPr>
          <w:color w:val="000000"/>
        </w:rPr>
        <w:t xml:space="preserve"> </w:t>
      </w:r>
    </w:p>
    <w:p>
      <w:pPr>
        <w:pStyle w:val="TextBody"/>
        <w:bidi w:val="0"/>
        <w:spacing w:lineRule="auto" w:line="288" w:before="240" w:after="240"/>
        <w:ind w:left="0" w:right="0" w:firstLine="720"/>
        <w:jc w:val="both"/>
        <w:rPr>
          <w:color w:val="000000"/>
        </w:rPr>
      </w:pPr>
      <w:r>
        <w:rPr>
          <w:color w:val="000000"/>
        </w:rPr>
        <w:t>    </w:t>
      </w:r>
      <w:r>
        <w:rPr>
          <w:rFonts w:ascii="Times New Roman;serif" w:hAnsi="Times New Roman;serif"/>
          <w:b w:val="false"/>
          <w:color w:val="000000"/>
          <w:sz w:val="18"/>
        </w:rPr>
        <w:t>(a)    The Committee shall have full authority and discretion to decide all matters relating to the administration and interpretation of this Agreement. The Committee shall have full power and authority to pass and decide upon cases in conformity with the objectives of this Agreement under such rules as the Board may establish.</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(b)    Any decision made or action taken by the Company, the Board, or the Committee arising out of, or in connection with, the administration, interpretation, and effect of this Agreement shall be at their absolute discretion and will be conclusive and binding on all parties. No member of the Board, Committee, or employee of the Company shall be liable for any act or action hereunder, whether of omission or commission, by the Recipient or by any agent to whom duties in connection with the administration of this Agreement have been delegated in accordance with the provision of this Agreement.</w:t>
      </w:r>
    </w:p>
    <w:p>
      <w:pPr>
        <w:pStyle w:val="TextBody"/>
        <w:bidi w:val="0"/>
        <w:spacing w:lineRule="auto" w:line="288" w:before="240" w:after="240"/>
        <w:ind w:left="0" w:right="0" w:firstLine="720"/>
        <w:jc w:val="both"/>
        <w:rPr/>
      </w:pPr>
      <w:r>
        <w:rPr>
          <w:rFonts w:ascii="Times New Roman;serif" w:hAnsi="Times New Roman;serif"/>
          <w:b/>
          <w:color w:val="000000"/>
          <w:sz w:val="18"/>
        </w:rPr>
        <w:t>9.    </w:t>
      </w:r>
      <w:r>
        <w:rPr>
          <w:rFonts w:ascii="Times New Roman;serif" w:hAnsi="Times New Roman;serif"/>
          <w:b/>
          <w:color w:val="000000"/>
          <w:sz w:val="18"/>
          <w:u w:val="single"/>
        </w:rPr>
        <w:t>Tax Matters; Section 83(b) Election</w:t>
      </w:r>
      <w:r>
        <w:rPr>
          <w:rFonts w:ascii="Times New Roman;serif" w:hAnsi="Times New Roman;serif"/>
          <w:b/>
          <w:color w:val="000000"/>
          <w:sz w:val="18"/>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(a)    If the Recipient does not properly make the election described in Section 9(b) below, the Recipient shall, no later than the date or dates as of which the restrictions referred to in this Agreement hereof shall lapse, pay to the Company, or make arrangements satisfactory to the Committee for payment of, any federal, state, local or foreign taxes of any kind that the Company determines are required by law to be withheld with respect to the Restricted Stock (the “Withholding Taxes”) (including without limitation the vesting thereof), and the Company shall, to the extent permitted by law, have the right to deduct from any payment of any kind (including without limitation, the withholding of any Shares that otherwise would be distributed to the Recipient under this Agreement) otherwise due to Recipient any Withholding Taxes.</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(b)    If the Recipient properly elects, within thirty (30) days of the Date of Grant, to include in gross income for federal income tax purposes an amount equal to the Fair Market Value (as of the Date of Grant) of the Restricted Stock pursuant to Section 83(b) of the Code, the Recipient shall make arrangements satisfactory to the Committee to pay to the Company any Withholding Taxes. If the Recipient shall fail to make such tax payments as are required, the Company shall, to the extent permitted by law, have the right to deduct from any payment of any kind (including without limitation, the withholding of any Shares that otherwise would be issued to the Recipient under this Agreement) otherwise due to the Recipient, any Withholding Taxes.</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18"/>
        </w:rPr>
        <w:t>(c)    The Recipient may satisfy the withholding requirements pursuant to any one or combination of the following methods:</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18"/>
        </w:rPr>
        <w:t>(i)    payment in cash; or</w:t>
      </w:r>
    </w:p>
    <w:p>
      <w:pPr>
        <w:pStyle w:val="TextBody"/>
        <w:bidi w:val="0"/>
        <w:spacing w:lineRule="auto" w:line="288"/>
        <w:ind w:left="0" w:right="0" w:firstLine="1440"/>
        <w:jc w:val="both"/>
        <w:rPr>
          <w:color w:val="000000"/>
        </w:rPr>
      </w:pPr>
      <w:r>
        <w:rPr>
          <w:color w:val="000000"/>
        </w:rPr>
        <w:t>    </w:t>
      </w:r>
      <w:r>
        <w:rPr>
          <w:rFonts w:ascii="Times New Roman;serif" w:hAnsi="Times New Roman;serif"/>
          <w:b w:val="false"/>
          <w:color w:val="000000"/>
          <w:sz w:val="18"/>
        </w:rPr>
        <w:t xml:space="preserve">(ii)    payment by surrendering a number of unrestricted previously held Shares (free and clear of all liens and encumbrances), or the withholding of a number of Shares that otherwise would be deliverable to the Recipient pursuant to this Award. The Shares so delivered or withheld must have an aggregate Fair Market Value on the date on which the shares of Restricted Stock become taxable that shall not exceed the maximum statutory tax rates in the Recipient’s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jurisdictions with respect to the shares of Restricted Stock (or such other amount as the Committee determines will not result in additional compensation expense for financial accounting purposes under applicable financial accounting principles). For this purpose, the maximum statutory tax rates are based on the applicable rates of the relevant tax authorities (for example, federal, state, and local), including the Recipient’s share of payroll or similar taxes, as provided in tax law, regulations, or the authority’s administrative practices, not to exceed the highest statutory rate in that jurisdiction, even if that rate exceeds the highest rate that may be applicable to the Recipient. The Recipient may surrender Shares either by attestation or by delivery of a certificate or certificates for Shares duly endorsed for transfer to the Company, and if required with medallion level signature guarantee by a member firm of a national stock exchange, by a national or state bank (or guaranteed or notarized in such other manner as the Committee may require).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18"/>
        </w:rPr>
        <w:t>(d)    If the Recipient does not (i) properly make the election described in Section 9(b) above, or (ii) make arrangements satisfactory to the Company for payment of any Withholding Taxes prior the applicable Vesting Date(s) (or such earlier dates required by the Company), the Recipient shall satisfy any Withholding Taxes in accordance with the Sell to Cover Election included in the Notice, and the Recipient irrevocably elects to sell the portion of the shares of Restricted Stock that become vested that is necessary to satisfy the Withholding Taxes and the Recipient shall execute any letter of instruction or agreement required by any stock plan service provider or brokerage firm designated by the Company for such purposes (the “</w:t>
      </w:r>
      <w:r>
        <w:rPr>
          <w:rFonts w:ascii="Times New Roman;serif" w:hAnsi="Times New Roman;serif"/>
          <w:b/>
          <w:i/>
          <w:color w:val="000000"/>
          <w:sz w:val="18"/>
        </w:rPr>
        <w:t>Agent</w:t>
      </w:r>
      <w:r>
        <w:rPr>
          <w:color w:val="000000"/>
        </w:rPr>
        <w:t>”</w:t>
      </w:r>
      <w:r>
        <w:rPr>
          <w:rFonts w:ascii="Times New Roman;serif" w:hAnsi="Times New Roman;serif"/>
          <w:b w:val="false"/>
          <w:color w:val="000000"/>
          <w:sz w:val="18"/>
        </w:rPr>
        <w:t xml:space="preserve">) to cause the Agent to irrevocably commit to forward the proceeds necessary to satisfy the Withholding Taxes directly to the Company and/or its Affiliates. In accordance with the Recipient’s Sell to Cover Election pursuant to the Notice, the Recipient hereby acknowledges and agrees: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    </w:t>
      </w:r>
      <w:r>
        <w:rPr>
          <w:rFonts w:ascii="Times New Roman;serif" w:hAnsi="Times New Roman;serif"/>
          <w:b w:val="false"/>
          <w:color w:val="000000"/>
          <w:sz w:val="18"/>
        </w:rPr>
        <w:t xml:space="preserve">(i)    The Recipient irrevocably appoints the Agent as the Recipient’s agent and authorizes the Agent to (A) sell on the open market at the then prevailing market price(s), on the Recipient’s behalf, as soon as practicable on or after the date the shares of Restricted Stock covered by the Award shall vest, that number (rounded up to the next whole number) of Shares so issued necessary to generate proceeds to cover (x) any Withholding Taxes incurred with respect to such vesting or issuance and (y) all applicable fees and commissions due to, or required to be collected by, the Agent with respect thereto and (B) apply any remaining funds to the Recipient’s federal tax withholding.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    </w:t>
      </w:r>
      <w:r>
        <w:rPr>
          <w:rFonts w:ascii="Times New Roman;serif" w:hAnsi="Times New Roman;serif"/>
          <w:b w:val="false"/>
          <w:color w:val="000000"/>
          <w:sz w:val="18"/>
        </w:rPr>
        <w:t>(ii)    The Recipient authorizes the Company and the Agent to cooperate and communicate with one another to determine the number of Shares that must be sold pursuant to subsection 9(d)(i) above.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    </w:t>
      </w:r>
      <w:r>
        <w:rPr>
          <w:rFonts w:ascii="Times New Roman;serif" w:hAnsi="Times New Roman;serif"/>
          <w:b w:val="false"/>
          <w:color w:val="000000"/>
          <w:sz w:val="18"/>
        </w:rPr>
        <w:t>(iii)    The Recipient understands that the Agent may effect sales as provided in subsection 9(d)(i) above in one or more sales and that the average price for executions resulting from bunched orders will be assigned to the Recipient’s account. In addition, the Recipient acknowledges that it may not be possible to sell Shares as provided by subsection 9(d)(i) above due to (A) a legal or contractual restriction applicable to the Recipient or the Agent, (B) a market disruption, or (C) rules governing order execution priority on the national exchange where the Shares may be traded. In the event of the Agent’s inability to sell Shares, the Recipient will continue to be responsible for the timely payment to the Company and/or its Affiliates of all Withholding Taxes.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    </w:t>
      </w:r>
      <w:r>
        <w:rPr>
          <w:rFonts w:ascii="Times New Roman;serif" w:hAnsi="Times New Roman;serif"/>
          <w:b w:val="false"/>
          <w:color w:val="000000"/>
          <w:sz w:val="18"/>
        </w:rPr>
        <w:t>(iv)    The Recipient acknowledges that regardless of any other term or condition of this Section 9(d), none of the Company, its Subsidiaries or the Agent will not be liable to the Recipient for (A) special, indirect, punitive, exemplary, or consequential damages, or incidental losses or damages of any kind, or (B) any failure to perform or for any delay in performance that results from a cause or circumstance that is beyond the reasonable control of the Company, its Subsidiaries or the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    </w:t>
      </w:r>
      <w:r>
        <w:rPr>
          <w:rFonts w:ascii="Times New Roman;serif" w:hAnsi="Times New Roman;serif"/>
          <w:b w:val="false"/>
          <w:color w:val="000000"/>
          <w:sz w:val="18"/>
        </w:rPr>
        <w:t xml:space="preserve">(v)    The Recipient agrees to execute and deliver to the Agent any other agreements or documents as the Agent reasonably deems necessary or appropriate to carry out the purposes and intent of this Section 9(d).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    </w:t>
      </w:r>
      <w:r>
        <w:rPr>
          <w:rFonts w:ascii="Times New Roman;serif" w:hAnsi="Times New Roman;serif"/>
          <w:b w:val="false"/>
          <w:color w:val="000000"/>
          <w:sz w:val="18"/>
        </w:rPr>
        <w:t>(vi)    Notwithstanding the foregoing, in the event that the Recipient’s Sell to Cover Election cannot be effected in such manner that would be consistent with maintaining an affirmative defense under Rule 10b5-1 or consistent with applicable law (as determined by the Company in its sole discretion), then such transactions shall not occur and the Company or any Subsidiary may, in its sole discretion, satisfy all or any portion of the Withholding Taxes obligation relating to the Recipient’s Award, to the extent permitted by law, by deducting from any payment of any kind (including without limitation, the withholding of any Shares that otherwise would be distributed to the Recipient under this Agreement) otherwise due to Recipient any Withholding Taxes.</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(e)    Tax consequences on the Recipient (including without limitation federal, state, local and/or foreign income tax consequences) with respect to the Restricted Stock (including without limitation the grant, vesting and/or forfeiture thereof) are the sole responsibility of the Recipient. The Recipient shall consult with his or her own personal accountant(s) and/or tax advisor(s) regarding these matters, the making of a Section 83(b) election, and the Recipient’s filing, withholding and payment (or tax liability)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18"/>
        </w:rPr>
        <w:t>10.    </w:t>
      </w:r>
      <w:r>
        <w:rPr>
          <w:rFonts w:ascii="Times New Roman;serif" w:hAnsi="Times New Roman;serif"/>
          <w:b/>
          <w:color w:val="000000"/>
          <w:sz w:val="18"/>
          <w:u w:val="single"/>
        </w:rPr>
        <w:t>Company Relation with Recipients</w:t>
      </w:r>
      <w:r>
        <w:rPr>
          <w:rFonts w:ascii="Times New Roman;serif" w:hAnsi="Times New Roman;serif"/>
          <w:b/>
          <w:color w:val="000000"/>
          <w:sz w:val="18"/>
        </w:rPr>
        <w:t xml:space="preserve">. </w:t>
      </w:r>
      <w:r>
        <w:rPr>
          <w:rFonts w:ascii="Times New Roman;serif" w:hAnsi="Times New Roman;serif"/>
          <w:b w:val="false"/>
          <w:color w:val="000000"/>
          <w:sz w:val="18"/>
        </w:rPr>
        <w:t>Nothing in this Agreement shall confer on the Recipient any right to continued Continuous Service.</w:t>
      </w:r>
    </w:p>
    <w:p>
      <w:pPr>
        <w:pStyle w:val="TextBody"/>
        <w:bidi w:val="0"/>
        <w:spacing w:lineRule="auto" w:line="288" w:before="240" w:after="240"/>
        <w:ind w:left="0" w:right="0" w:firstLine="720"/>
        <w:jc w:val="both"/>
        <w:rPr/>
      </w:pPr>
      <w:r>
        <w:rPr>
          <w:rFonts w:ascii="Times New Roman;serif" w:hAnsi="Times New Roman;serif"/>
          <w:b/>
          <w:color w:val="000000"/>
          <w:sz w:val="18"/>
        </w:rPr>
        <w:t>11.    </w:t>
      </w:r>
      <w:r>
        <w:rPr>
          <w:rFonts w:ascii="Times New Roman;serif" w:hAnsi="Times New Roman;serif"/>
          <w:b/>
          <w:color w:val="000000"/>
          <w:sz w:val="18"/>
          <w:u w:val="single"/>
        </w:rPr>
        <w:t>Limit on Other Compensation Arrangements</w:t>
      </w:r>
      <w:r>
        <w:rPr>
          <w:rFonts w:ascii="Times New Roman;serif" w:hAnsi="Times New Roman;serif"/>
          <w:b w:val="false"/>
          <w:color w:val="000000"/>
          <w:sz w:val="18"/>
        </w:rPr>
        <w:t>. Nothing contained in this Agreement shall preclude the Company or any Subsidiary from adopting or continuing in effect other or additional compensation plans, agreements or arrangements, and any such plans, agreements and arrangements may be either generally applicable or applicable only in specific cases or to specific persons.</w:t>
      </w:r>
    </w:p>
    <w:p>
      <w:pPr>
        <w:pStyle w:val="TextBody"/>
        <w:bidi w:val="0"/>
        <w:spacing w:lineRule="auto" w:line="288" w:before="240" w:after="240"/>
        <w:ind w:left="0" w:right="0" w:firstLine="720"/>
        <w:jc w:val="both"/>
        <w:rPr/>
      </w:pPr>
      <w:r>
        <w:rPr>
          <w:rFonts w:ascii="Times New Roman;serif" w:hAnsi="Times New Roman;serif"/>
          <w:b/>
          <w:color w:val="000000"/>
          <w:sz w:val="18"/>
        </w:rPr>
        <w:t>12.    </w:t>
      </w:r>
      <w:r>
        <w:rPr>
          <w:rFonts w:ascii="Times New Roman;serif" w:hAnsi="Times New Roman;serif"/>
          <w:b/>
          <w:color w:val="000000"/>
          <w:sz w:val="18"/>
          <w:u w:val="single"/>
        </w:rPr>
        <w:t>Force and Effect</w:t>
      </w:r>
      <w:r>
        <w:rPr>
          <w:rFonts w:ascii="Times New Roman;serif" w:hAnsi="Times New Roman;serif"/>
          <w:b/>
          <w:color w:val="000000"/>
          <w:sz w:val="18"/>
        </w:rPr>
        <w:t xml:space="preserve">. </w:t>
      </w:r>
      <w:r>
        <w:rPr>
          <w:rFonts w:ascii="Times New Roman;serif" w:hAnsi="Times New Roman;serif"/>
          <w:b w:val="false"/>
          <w:color w:val="000000"/>
          <w:sz w:val="18"/>
        </w:rPr>
        <w:t>The various provisions of this Agreement are severable in their entirety. Any determination of invalidity or unenforceability of any one provision shall have no effect on the continuing force and effect of the remaining provisions.</w:t>
      </w:r>
    </w:p>
    <w:p>
      <w:pPr>
        <w:pStyle w:val="TextBody"/>
        <w:bidi w:val="0"/>
        <w:spacing w:lineRule="auto" w:line="288" w:before="240" w:after="240"/>
        <w:ind w:left="0" w:right="0" w:firstLine="720"/>
        <w:jc w:val="both"/>
        <w:rPr/>
      </w:pPr>
      <w:r>
        <w:rPr>
          <w:rFonts w:ascii="Times New Roman;serif" w:hAnsi="Times New Roman;serif"/>
          <w:b/>
          <w:color w:val="000000"/>
          <w:sz w:val="18"/>
        </w:rPr>
        <w:t>13.    </w:t>
      </w:r>
      <w:r>
        <w:rPr>
          <w:rFonts w:ascii="Times New Roman;serif" w:hAnsi="Times New Roman;serif"/>
          <w:b/>
          <w:color w:val="000000"/>
          <w:sz w:val="18"/>
          <w:u w:val="single"/>
        </w:rPr>
        <w:t>Entire Agreement</w:t>
      </w:r>
      <w:r>
        <w:rPr>
          <w:rFonts w:ascii="Times New Roman;serif" w:hAnsi="Times New Roman;serif"/>
          <w:b/>
          <w:color w:val="000000"/>
          <w:sz w:val="18"/>
        </w:rPr>
        <w:t xml:space="preserve">. </w:t>
      </w:r>
      <w:r>
        <w:rPr>
          <w:rFonts w:ascii="Times New Roman;serif" w:hAnsi="Times New Roman;serif"/>
          <w:b w:val="false"/>
          <w:color w:val="000000"/>
          <w:sz w:val="18"/>
        </w:rPr>
        <w:t xml:space="preserve">This Agreement contains the entire understanding of the parties and shall not be modified or amended except in writing and duly signed by the parties after appropriate action by the Committee. </w:t>
      </w:r>
    </w:p>
    <w:p>
      <w:pPr>
        <w:pStyle w:val="TextBody"/>
        <w:bidi w:val="0"/>
        <w:spacing w:lineRule="auto" w:line="288" w:before="240" w:after="240"/>
        <w:ind w:left="0" w:right="0" w:firstLine="720"/>
        <w:jc w:val="both"/>
        <w:rPr/>
      </w:pPr>
      <w:r>
        <w:rPr>
          <w:rFonts w:ascii="Times New Roman;serif" w:hAnsi="Times New Roman;serif"/>
          <w:b/>
          <w:color w:val="000000"/>
          <w:sz w:val="18"/>
        </w:rPr>
        <w:t>14.    </w:t>
      </w:r>
      <w:r>
        <w:rPr>
          <w:rFonts w:ascii="Times New Roman;serif" w:hAnsi="Times New Roman;serif"/>
          <w:b/>
          <w:color w:val="000000"/>
          <w:sz w:val="18"/>
          <w:u w:val="single"/>
        </w:rPr>
        <w:t>No Trust or Fund Created</w:t>
      </w:r>
      <w:r>
        <w:rPr>
          <w:rFonts w:ascii="Times New Roman;serif" w:hAnsi="Times New Roman;serif"/>
          <w:b w:val="false"/>
          <w:color w:val="000000"/>
          <w:sz w:val="18"/>
        </w:rPr>
        <w:t>. Neither this Agreement nor the grant of Restricted Stock hereunder shall create or be construed to create a trust or separate fund of any kind or a fiduciary relationship between the Company or any Subsidiary and the Recipient or any other person. To the extent that the Recipient or any other person acquires a right to receive payments from the Company or any Subsidiary pursuant to this Agreement, such right shall be no greater than the right of any unsecured general creditor of the Company.</w:t>
      </w:r>
    </w:p>
    <w:p>
      <w:pPr>
        <w:pStyle w:val="TextBody"/>
        <w:bidi w:val="0"/>
        <w:spacing w:lineRule="auto" w:line="288" w:before="240" w:after="240"/>
        <w:ind w:left="0" w:right="0" w:firstLine="720"/>
        <w:jc w:val="both"/>
        <w:rPr/>
      </w:pPr>
      <w:r>
        <w:rPr>
          <w:rFonts w:ascii="Times New Roman;serif" w:hAnsi="Times New Roman;serif"/>
          <w:b/>
          <w:color w:val="000000"/>
          <w:sz w:val="18"/>
        </w:rPr>
        <w:t>15.    </w:t>
      </w:r>
      <w:r>
        <w:rPr>
          <w:rFonts w:ascii="Times New Roman;serif" w:hAnsi="Times New Roman;serif"/>
          <w:b/>
          <w:color w:val="000000"/>
          <w:sz w:val="18"/>
          <w:u w:val="single"/>
        </w:rPr>
        <w:t>Law Governing</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 xml:space="preserve">This Agreement is subject to and shall be administered and governed in all respects under the laws of the State of Florida without regard to its conflict of law rules. </w:t>
      </w:r>
    </w:p>
    <w:p>
      <w:pPr>
        <w:pStyle w:val="TextBody"/>
        <w:bidi w:val="0"/>
        <w:spacing w:lineRule="auto" w:line="288" w:before="240" w:after="240"/>
        <w:ind w:left="0" w:right="0" w:firstLine="720"/>
        <w:jc w:val="both"/>
        <w:rPr/>
      </w:pPr>
      <w:r>
        <w:rPr>
          <w:rFonts w:ascii="Times New Roman;serif" w:hAnsi="Times New Roman;serif"/>
          <w:b/>
          <w:color w:val="000000"/>
          <w:sz w:val="18"/>
        </w:rPr>
        <w:t>16.    </w:t>
      </w:r>
      <w:r>
        <w:rPr>
          <w:rFonts w:ascii="Times New Roman;serif" w:hAnsi="Times New Roman;serif"/>
          <w:b/>
          <w:color w:val="000000"/>
          <w:sz w:val="18"/>
          <w:u w:val="single"/>
        </w:rPr>
        <w:t>Binding Effect; Captions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This Agreement is binding upon the Company, its successors and assigns, and the Recipient, and his/her heirs, legal representatives and permitted assigns. Captions are provided for reference, do not form a part of this Agreement and are not admissible to determine the intent of the parties.</w:t>
      </w:r>
    </w:p>
    <w:p>
      <w:pPr>
        <w:pStyle w:val="TextBody"/>
        <w:bidi w:val="0"/>
        <w:spacing w:lineRule="auto" w:line="288" w:before="240" w:after="240"/>
        <w:ind w:left="0" w:right="0" w:firstLine="720"/>
        <w:jc w:val="both"/>
        <w:rPr/>
      </w:pPr>
      <w:r>
        <w:rPr>
          <w:rFonts w:ascii="Times New Roman;serif" w:hAnsi="Times New Roman;serif"/>
          <w:b/>
          <w:color w:val="000000"/>
          <w:sz w:val="18"/>
        </w:rPr>
        <w:t>17.    </w:t>
      </w:r>
      <w:r>
        <w:rPr>
          <w:rFonts w:ascii="Times New Roman;serif" w:hAnsi="Times New Roman;serif"/>
          <w:b/>
          <w:color w:val="000000"/>
          <w:sz w:val="18"/>
          <w:u w:val="single"/>
        </w:rPr>
        <w:t>Notices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Any notice under this Agreement shall be in writing and shall be deemed to have been duly given when delivered personally or when deposited in the United States mail, registered, postage prepaid, and addressed, in the case of the Company, to the Company’s General Counsel at 800 Douglas Road, 12</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Floor, Coral Gables, FL 33134, or if the Company should move its principal office, to such principal office, and, in the case of the Recipient, to the Recipient’s last permanent address as shown on the Company’s records, subject to the right of either party to designate some other address at any time hereafter in a notice satisfying the requirements of this Section.</w:t>
      </w:r>
    </w:p>
    <w:p>
      <w:pPr>
        <w:pStyle w:val="TextBody"/>
        <w:bidi w:val="0"/>
        <w:spacing w:lineRule="auto" w:line="288" w:before="240" w:after="240"/>
        <w:ind w:left="0" w:right="0" w:firstLine="720"/>
        <w:jc w:val="both"/>
        <w:rPr/>
      </w:pPr>
      <w:r>
        <w:rPr>
          <w:rFonts w:ascii="Times New Roman;serif" w:hAnsi="Times New Roman;serif"/>
          <w:b/>
          <w:color w:val="000000"/>
          <w:sz w:val="18"/>
        </w:rPr>
        <w:t>18.    </w:t>
      </w:r>
      <w:r>
        <w:rPr>
          <w:rFonts w:ascii="Times New Roman;serif" w:hAnsi="Times New Roman;serif"/>
          <w:b/>
          <w:color w:val="000000"/>
          <w:sz w:val="18"/>
          <w:u w:val="single"/>
        </w:rPr>
        <w:t>Section 409A</w:t>
      </w:r>
      <w:r>
        <w:rPr>
          <w:rFonts w:ascii="Times New Roman;serif" w:hAnsi="Times New Roman;serif"/>
          <w:b/>
          <w:color w:val="000000"/>
          <w:sz w:val="18"/>
        </w:rPr>
        <w:t>.        </w:t>
      </w:r>
    </w:p>
    <w:p>
      <w:pPr>
        <w:pStyle w:val="TextBody"/>
        <w:bidi w:val="0"/>
        <w:spacing w:lineRule="auto" w:line="288" w:before="24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 xml:space="preserve">(a)    It is intended that the Restricted Stock awarded pursuant to this Agreement be exempt from Section 409A of the Code (“Section 409A”) because it is believed that the Agreement does not provide for a deferral of compensation and accordingly that the Agreement does not constitute a nonqualified deferred compensation plan within the meaning of Section 409A. The provisions of this Agreement shall be interpreted in a manner consistent with that intention, and the provisions of this Agreement may not be amended, adjusted, assumed or substituted for, converted or otherwise modified without the Recipient’s prior written consent if and to the extent that such amendment, adjustment, assumption or substitution, conversion or modification would cause the award to violate the requirements of Section 409A. </w:t>
      </w:r>
    </w:p>
    <w:p>
      <w:pPr>
        <w:pStyle w:val="TextBody"/>
        <w:bidi w:val="0"/>
        <w:spacing w:lineRule="auto" w:line="288" w:before="24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(b)    In the event that either the Company or the Recipient believes, at any time, that any benefit or right under this Agreement is subject to Section 409A, and does not comply with the requirements of Section 409A, it shall promptly advise the other and the Company and the Recipient shall negotiate reasonably and in good faith to amend the terms of such benefits and rights, if such an amendment may be made in a commercially reasonable manner, such that they comply with Section 409A with the most limited possible economic affect on the Recipient and on the Company.</w:t>
      </w:r>
    </w:p>
    <w:p>
      <w:pPr>
        <w:pStyle w:val="TextBody"/>
        <w:bidi w:val="0"/>
        <w:spacing w:lineRule="auto" w:line="288" w:before="24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(c)    Notwithstanding the foregoing, the Company does not make any representation to the Recipient that the shares of Restricted Stock awarded pursuant to this Agreement are exempt from, or satisfy, the requirements of Section 409A, and the Company shall have no liability or other obligation to indemnify or hold harmless the Recipient or any Beneficiary for any tax, additional tax, interest or penalties that the Recipient or any Beneficiary may incur in the event that any provision of this Agreement, or any amendment or modification thereof or any other action taken with respect thereto is deemed to violate any of the requirements of Section 409A.</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18"/>
        </w:rPr>
        <w:t>19.    </w:t>
      </w:r>
      <w:r>
        <w:rPr>
          <w:rFonts w:ascii="Times New Roman;serif" w:hAnsi="Times New Roman;serif"/>
          <w:b/>
          <w:color w:val="000000"/>
          <w:sz w:val="18"/>
          <w:u w:val="single"/>
        </w:rPr>
        <w:t>Clawback of Benefits</w:t>
      </w:r>
      <w:r>
        <w:rPr>
          <w:rFonts w:ascii="Times New Roman;serif" w:hAnsi="Times New Roman;serif"/>
          <w:b/>
          <w:color w:val="000000"/>
          <w:sz w:val="18"/>
        </w:rPr>
        <w:t>.</w:t>
      </w:r>
    </w:p>
    <w:p>
      <w:pPr>
        <w:pStyle w:val="TextBody"/>
        <w:bidi w:val="0"/>
        <w:spacing w:lineRule="auto" w:line="288" w:before="240" w:after="240"/>
        <w:ind w:left="0" w:right="0" w:firstLine="720"/>
        <w:jc w:val="both"/>
        <w:rPr/>
      </w:pPr>
      <w:r>
        <w:rPr>
          <w:color w:val="000000"/>
        </w:rPr>
        <w:t>    </w:t>
      </w:r>
      <w:r>
        <w:rPr>
          <w:rFonts w:ascii="Times New Roman;serif" w:hAnsi="Times New Roman;serif"/>
          <w:b/>
          <w:color w:val="000000"/>
          <w:sz w:val="18"/>
        </w:rPr>
        <w:t>(</w:t>
      </w:r>
      <w:r>
        <w:rPr>
          <w:rFonts w:ascii="Times New Roman;serif" w:hAnsi="Times New Roman;serif"/>
          <w:b w:val="false"/>
          <w:color w:val="000000"/>
          <w:sz w:val="18"/>
        </w:rPr>
        <w:t>a)    The Company may (i) cause the cancellation of the shares of Restricted Stock subject to this Agreement, (ii) require reimbursement of the shares of Restricted Stock subject to this Agreement by the Recipient or Beneficiary, and (iii) effect any other right of recoupment of equity or other compensation provided under the Plan or this Agreement or otherwise in accordance with any Company policies that currently exist or that may from time to time be adopted or modified in the future by the Company and/or applicable law, including, without limitation the Recoupment Policy adopted by the Committee as in effect on the Date of Grant designated in the Notice and as amended from time to time (each, a “Clawback Policy”). In addition, the Recipient may be required to repay to the Company certain previously paid compensation, whether provided under the Plan or this Agreement or otherwise, in accordance with any Clawback Policy. By accepting the shares of Restricted Stock subject to this Agreement, the Recipient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Recipient’s Award Agreements (and/or awards issued under the Prior Plans) may be unilaterally amended by the Company, without the Recipient’s consent, to the extent that the Company in its discretion determines to be necessary or appropriate to comply with any Clawback Policy.</w:t>
      </w:r>
    </w:p>
    <w:p>
      <w:pPr>
        <w:pStyle w:val="TextBody"/>
        <w:bidi w:val="0"/>
        <w:spacing w:lineRule="auto" w:line="288" w:before="240" w:after="240"/>
        <w:ind w:left="0" w:right="0" w:firstLine="720"/>
        <w:jc w:val="both"/>
        <w:rPr>
          <w:color w:val="000000"/>
        </w:rPr>
      </w:pPr>
      <w:r>
        <w:rPr>
          <w:color w:val="000000"/>
        </w:rPr>
        <w:t>    </w:t>
      </w:r>
      <w:r>
        <w:rPr>
          <w:rFonts w:ascii="Times New Roman;serif" w:hAnsi="Times New Roman;serif"/>
          <w:b w:val="false"/>
          <w:color w:val="000000"/>
          <w:sz w:val="18"/>
        </w:rPr>
        <w:t>(b)    If the Recipient,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shares of Restricted Stock subject to this Agreement may, at the Committee’s discretion, be canceled and (ii) the Committee, in its discretion, may require the Recipient or other person to whom any payment has been made or Shares or other property have been transferred in connection with the shares of Restricted Stock subject to this Agreement to forfeit and pay over to the Company, on demand, all or any portion of the value realized (whether or not taxable) on the vesting or payment of any shares of Restricted Stock subject to this Agreement during the time period specified in this Agreement or otherwise specified by the Committee.</w:t>
      </w:r>
    </w:p>
    <w:p>
      <w:pPr>
        <w:pStyle w:val="TextBody"/>
        <w:bidi w:val="0"/>
        <w:spacing w:lineRule="auto" w:line="288" w:before="240" w:after="240"/>
        <w:ind w:left="0" w:right="0" w:firstLine="720"/>
        <w:jc w:val="both"/>
        <w:rPr/>
      </w:pPr>
      <w:r>
        <w:rPr>
          <w:rFonts w:ascii="Times New Roman;serif" w:hAnsi="Times New Roman;serif"/>
          <w:b/>
          <w:color w:val="000000"/>
          <w:sz w:val="18"/>
        </w:rPr>
        <w:t>20.    </w:t>
      </w:r>
      <w:r>
        <w:rPr>
          <w:rFonts w:ascii="Times New Roman;serif" w:hAnsi="Times New Roman;serif"/>
          <w:b/>
          <w:color w:val="000000"/>
          <w:sz w:val="18"/>
          <w:u w:val="single"/>
        </w:rPr>
        <w:t>Non-Waiver of Breach</w:t>
      </w:r>
      <w:r>
        <w:rPr>
          <w:rFonts w:ascii="Times New Roman;serif" w:hAnsi="Times New Roman;serif"/>
          <w:b w:val="false"/>
          <w:color w:val="000000"/>
          <w:sz w:val="18"/>
        </w:rPr>
        <w:t xml:space="preserve">. The waiver by any party hereto of the other party's prompt and complete performance, or breach or violation, 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 </w:t>
      </w:r>
    </w:p>
    <w:p>
      <w:pPr>
        <w:pStyle w:val="TextBody"/>
        <w:bidi w:val="0"/>
        <w:spacing w:lineRule="auto" w:line="288" w:before="240" w:after="240"/>
        <w:ind w:left="0" w:right="0" w:firstLine="720"/>
        <w:jc w:val="both"/>
        <w:rPr/>
      </w:pPr>
      <w:r>
        <w:rPr>
          <w:rFonts w:ascii="Times New Roman;serif" w:hAnsi="Times New Roman;serif"/>
          <w:b/>
          <w:color w:val="000000"/>
          <w:sz w:val="18"/>
        </w:rPr>
        <w:t>21.    </w:t>
      </w:r>
      <w:r>
        <w:rPr>
          <w:rFonts w:ascii="Times New Roman;serif" w:hAnsi="Times New Roman;serif"/>
          <w:b/>
          <w:color w:val="000000"/>
          <w:sz w:val="18"/>
          <w:u w:val="single"/>
        </w:rPr>
        <w:t>Counterparts</w:t>
      </w:r>
      <w:r>
        <w:rPr>
          <w:rFonts w:ascii="Times New Roman;serif" w:hAnsi="Times New Roman;serif"/>
          <w:b w:val="false"/>
          <w:color w:val="000000"/>
          <w:sz w:val="18"/>
        </w:rPr>
        <w:t>. This Agreement may be executed in one or more counterparts, each of which shall be deemed to be an original but all of which together shall constitute one and the same instrument and agreement.</w:t>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18"/>
        </w:rPr>
        <w:t>IN WITNESS WHEREOF</w:t>
      </w:r>
      <w:r>
        <w:rPr>
          <w:rFonts w:ascii="Times New Roman;serif" w:hAnsi="Times New Roman;serif"/>
          <w:b w:val="false"/>
          <w:color w:val="000000"/>
          <w:sz w:val="18"/>
        </w:rPr>
        <w:t>, the parties have executed this Agreement on this _____ day of ________, ________.</w: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MASTEC, INC.</w:t>
      </w:r>
    </w:p>
    <w:p>
      <w:pPr>
        <w:pStyle w:val="TextBody"/>
        <w:bidi w:val="0"/>
        <w:spacing w:lineRule="auto" w:line="288" w:before="0" w:after="720"/>
        <w:jc w:val="both"/>
        <w:rPr/>
      </w:pPr>
      <w:r>
        <w:rPr>
          <w:rFonts w:ascii="Times New Roman;serif" w:hAnsi="Times New Roman;serif"/>
          <w:b w:val="false"/>
          <w:color w:val="000000"/>
          <w:sz w:val="18"/>
        </w:rPr>
        <w:t>By:</w:t>
      </w:r>
      <w:r>
        <w:rPr>
          <w:color w:val="000000"/>
          <w:u w:val="single"/>
        </w:rPr>
        <w:t>        </w:t>
      </w:r>
      <w:r>
        <w:rPr>
          <w:rFonts w:ascii="Times New Roman;serif" w:hAnsi="Times New Roman;serif"/>
          <w:b w:val="false"/>
          <w:color w:val="000000"/>
          <w:sz w:val="18"/>
        </w:rPr>
        <w:br/>
        <w:t>Its:</w:t>
      </w:r>
      <w:r>
        <w:rPr>
          <w:color w:val="000000"/>
          <w:u w:val="single"/>
        </w:rPr>
        <w:t xml:space="preserve">         </w:t>
      </w:r>
    </w:p>
    <w:p>
      <w:pPr>
        <w:pStyle w:val="TextBody"/>
        <w:bidi w:val="0"/>
        <w:spacing w:lineRule="auto" w:line="288" w:before="0" w:after="720"/>
        <w:jc w:val="both"/>
        <w:rPr/>
      </w:pPr>
      <w:r>
        <w:rPr>
          <w:rFonts w:ascii="Times New Roman;serif" w:hAnsi="Times New Roman;serif"/>
          <w:b w:val="false"/>
          <w:color w:val="000000"/>
          <w:sz w:val="18"/>
          <w:u w:val="single"/>
        </w:rPr>
        <w:t>[</w:t>
      </w:r>
      <w:r>
        <w:rPr>
          <w:rFonts w:ascii="Times New Roman;serif" w:hAnsi="Times New Roman;serif"/>
          <w:b w:val="false"/>
          <w:color w:val="000000"/>
          <w:sz w:val="18"/>
        </w:rPr>
        <w:t>NAME OF RECIPIENT</w:t>
      </w:r>
      <w:r>
        <w:rPr>
          <w:rFonts w:ascii="Times New Roman;serif" w:hAnsi="Times New Roman;serif"/>
          <w:b w:val="false"/>
          <w:color w:val="000000"/>
          <w:sz w:val="18"/>
          <w:u w:val="single"/>
        </w:rPr>
        <w:t>]</w:t>
      </w:r>
    </w:p>
    <w:p>
      <w:pPr>
        <w:pStyle w:val="TextBody"/>
        <w:bidi w:val="0"/>
        <w:spacing w:lineRule="auto" w:line="288" w:before="0" w:after="480"/>
        <w:jc w:val="both"/>
        <w:rPr/>
      </w:pPr>
      <w:r>
        <w:rPr>
          <w:color w:val="000000"/>
          <w:u w:val="single"/>
        </w:rPr>
        <w:t>        </w:t>
      </w:r>
      <w:r>
        <w:rPr>
          <w:rFonts w:ascii="Times New Roman;serif" w:hAnsi="Times New Roman;serif"/>
          <w:b w:val="false"/>
          <w:color w:val="000000"/>
          <w:sz w:val="18"/>
        </w:rPr>
        <w:br/>
        <w:t>Signature</w:t>
      </w:r>
    </w:p>
    <w:p>
      <w:pPr>
        <w:pStyle w:val="TextBody"/>
        <w:bidi w:val="0"/>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10.20</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MASTEC, INC.</w:t>
        <w:br/>
        <w:t>RESTRICTED STOCK AGREEMENT</w:t>
      </w:r>
    </w:p>
    <w:p>
      <w:pPr>
        <w:pStyle w:val="TextBody"/>
        <w:bidi w:val="0"/>
        <w:spacing w:lineRule="auto" w:line="288" w:before="240" w:after="240"/>
        <w:ind w:left="0" w:right="0" w:firstLine="720"/>
        <w:jc w:val="both"/>
        <w:rPr/>
      </w:pPr>
      <w:r>
        <w:rPr>
          <w:rFonts w:ascii="Times New Roman;serif" w:hAnsi="Times New Roman;serif"/>
          <w:b/>
          <w:color w:val="000000"/>
          <w:sz w:val="18"/>
        </w:rPr>
        <w:t>1.    </w:t>
      </w:r>
      <w:r>
        <w:rPr>
          <w:rFonts w:ascii="Times New Roman;serif" w:hAnsi="Times New Roman;serif"/>
          <w:b/>
          <w:color w:val="000000"/>
          <w:sz w:val="18"/>
          <w:u w:val="single"/>
        </w:rPr>
        <w:t>Award of Shares</w:t>
      </w:r>
      <w:r>
        <w:rPr>
          <w:rFonts w:ascii="Times New Roman;serif" w:hAnsi="Times New Roman;serif"/>
          <w:b/>
          <w:color w:val="000000"/>
          <w:sz w:val="18"/>
        </w:rPr>
        <w:t xml:space="preserve">. </w:t>
      </w:r>
      <w:r>
        <w:rPr>
          <w:rFonts w:ascii="Times New Roman;serif" w:hAnsi="Times New Roman;serif"/>
          <w:b w:val="false"/>
          <w:color w:val="000000"/>
          <w:sz w:val="18"/>
        </w:rPr>
        <w:t>MasTec, Inc. (the “Company”) has awarded to the “Recipient” designated below, the “Award” generally described in the Notice of Restricted Stock Award (the “Notice”), which is hereby incorporated by reference, subject to the terms and conditions of the Company’s Amended and Restated 2013 Incentive Compensation Plan (“Plan”). The Company and the Recipient agree that these Awards are governed by the terms and conditions of the Plan, as amended from time to time, which are incorporated herein in their entirety. Unless otherwise provided herein, terms used herein that are defined in the Plan (or the Notice) and not defined herein shall have the meanings attributable thereto in the Plan (or the Notice).</w:t>
      </w:r>
    </w:p>
    <w:p>
      <w:pPr>
        <w:pStyle w:val="TextBody"/>
        <w:bidi w:val="0"/>
        <w:spacing w:lineRule="auto" w:line="288" w:before="240" w:after="240"/>
        <w:ind w:left="0" w:right="0" w:firstLine="720"/>
        <w:jc w:val="both"/>
        <w:rPr/>
      </w:pPr>
      <w:r>
        <w:rPr>
          <w:rFonts w:ascii="Times New Roman;serif" w:hAnsi="Times New Roman;serif"/>
          <w:b/>
          <w:color w:val="000000"/>
          <w:sz w:val="18"/>
        </w:rPr>
        <w:t>2.    </w:t>
      </w:r>
      <w:r>
        <w:rPr>
          <w:rFonts w:ascii="Times New Roman;serif" w:hAnsi="Times New Roman;serif"/>
          <w:b/>
          <w:color w:val="000000"/>
          <w:sz w:val="18"/>
          <w:u w:val="single"/>
        </w:rPr>
        <w:t>Award Restrictions</w:t>
      </w:r>
      <w:r>
        <w:rPr>
          <w:rFonts w:ascii="Times New Roman;serif" w:hAnsi="Times New Roman;serif"/>
          <w:b/>
          <w:color w:val="000000"/>
          <w:sz w:val="18"/>
        </w:rPr>
        <w:t>.</w:t>
      </w:r>
      <w:r>
        <w:rPr>
          <w:color w:val="000000"/>
        </w:rPr>
        <w:t xml:space="preserve"> </w:t>
      </w:r>
    </w:p>
    <w:p>
      <w:pPr>
        <w:pStyle w:val="TextBody"/>
        <w:bidi w:val="0"/>
        <w:spacing w:lineRule="auto" w:line="288" w:before="24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(a)    The shares of restricted stock (the “Restricted Stock”) covered by the Award shall vest on the vesting dates (each a “Vesting Date”) set forth below, provided that the Continuous Service of the Recipient continues through and until the applicable Vesting Date:</w:t>
      </w:r>
    </w:p>
    <w:tbl>
      <w:tblPr>
        <w:tblW w:w="3959" w:type="dxa"/>
        <w:jc w:val="left"/>
        <w:tblInd w:w="0" w:type="dxa"/>
        <w:tblLayout w:type="fixed"/>
        <w:tblCellMar>
          <w:top w:w="28" w:type="dxa"/>
          <w:left w:w="28" w:type="dxa"/>
          <w:bottom w:w="28" w:type="dxa"/>
          <w:right w:w="28" w:type="dxa"/>
        </w:tblCellMar>
      </w:tblPr>
      <w:tblGrid>
        <w:gridCol w:w="380"/>
        <w:gridCol w:w="334"/>
        <w:gridCol w:w="335"/>
        <w:gridCol w:w="850"/>
        <w:gridCol w:w="850"/>
        <w:gridCol w:w="1210"/>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Vesting Date</w:t>
            </w:r>
          </w:p>
        </w:tc>
        <w:tc>
          <w:tcPr>
            <w:tcW w:w="291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 Shares that Become Vested</w:t>
            </w:r>
          </w:p>
        </w:tc>
      </w:tr>
      <w:tr>
        <w:trPr/>
        <w:tc>
          <w:tcPr>
            <w:tcW w:w="10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w:t>
            </w:r>
          </w:p>
        </w:tc>
        <w:tc>
          <w:tcPr>
            <w:tcW w:w="291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w:t>
            </w:r>
          </w:p>
        </w:tc>
      </w:tr>
      <w:tr>
        <w:trPr/>
        <w:tc>
          <w:tcPr>
            <w:tcW w:w="10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w:t>
            </w:r>
          </w:p>
        </w:tc>
        <w:tc>
          <w:tcPr>
            <w:tcW w:w="291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w:t>
            </w:r>
          </w:p>
        </w:tc>
      </w:tr>
      <w:tr>
        <w:trPr/>
        <w:tc>
          <w:tcPr>
            <w:tcW w:w="104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w:t>
            </w:r>
          </w:p>
        </w:tc>
        <w:tc>
          <w:tcPr>
            <w:tcW w:w="291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w:t>
            </w:r>
          </w:p>
        </w:tc>
      </w:tr>
    </w:tbl>
    <w:p>
      <w:pPr>
        <w:pStyle w:val="TextBody"/>
        <w:bidi w:val="0"/>
        <w:spacing w:before="0" w:after="240"/>
        <w:ind w:left="0" w:right="0" w:firstLine="144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 xml:space="preserve">(b)    In the event that a Change in Control of the Company occurs during the Recipient’s Continuous Service, the shares of Restricted Stock subject to this Agreement shall become immediately vested as of the date of the Change in Control. </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(c)    In the event that the Recipient’s Continuous Service terminates by reason of the Recipient’s Disability or death, the shares of Restricted Stock subject to this Agreement shall become immediately vested as of the date of the Recipient’s Disability or death, whichever is applicable.</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(d)    Notwithstanding any other term or provision of this Agreement, the Committee retains the right to accelerate vesting of any Restricted Stock awarded under this Agreement.</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 xml:space="preserve">(e)    Any Shares covered by the Award shall not be transferable by the Recipient by means of sale, assignment, exchange, pledge, or otherwise, unless and until they become vested pursuant to the terms of this Agreement. The naming of a Beneficiary under the Plan does not constitute a transfer. </w:t>
      </w:r>
    </w:p>
    <w:p>
      <w:pPr>
        <w:pStyle w:val="TextBody"/>
        <w:bidi w:val="0"/>
        <w:spacing w:lineRule="auto" w:line="288" w:before="240" w:after="240"/>
        <w:ind w:left="0" w:right="0" w:firstLine="720"/>
        <w:jc w:val="both"/>
        <w:rPr/>
      </w:pPr>
      <w:r>
        <w:rPr>
          <w:rFonts w:ascii="Times New Roman;serif" w:hAnsi="Times New Roman;serif"/>
          <w:b/>
          <w:color w:val="000000"/>
          <w:sz w:val="18"/>
        </w:rPr>
        <w:t>3.    </w:t>
      </w:r>
      <w:r>
        <w:rPr>
          <w:rFonts w:ascii="Times New Roman;serif" w:hAnsi="Times New Roman;serif"/>
          <w:b/>
          <w:color w:val="000000"/>
          <w:sz w:val="18"/>
          <w:u w:val="single"/>
        </w:rPr>
        <w:t>Stock Certificates</w:t>
      </w:r>
      <w:r>
        <w:rPr>
          <w:rFonts w:ascii="Times New Roman;serif" w:hAnsi="Times New Roman;serif"/>
          <w:b/>
          <w:color w:val="000000"/>
          <w:sz w:val="18"/>
        </w:rPr>
        <w:t xml:space="preserve">. </w:t>
      </w:r>
    </w:p>
    <w:p>
      <w:pPr>
        <w:pStyle w:val="TextBody"/>
        <w:bidi w:val="0"/>
        <w:spacing w:lineRule="auto" w:line="288" w:before="240" w:after="240"/>
        <w:ind w:left="0" w:right="0" w:firstLine="720"/>
        <w:jc w:val="both"/>
        <w:rPr>
          <w:color w:val="000000"/>
        </w:rPr>
      </w:pPr>
      <w:r>
        <w:rPr>
          <w:color w:val="000000"/>
        </w:rPr>
        <w:t>    </w:t>
      </w:r>
      <w:r>
        <w:rPr>
          <w:rFonts w:ascii="Times New Roman;serif" w:hAnsi="Times New Roman;serif"/>
          <w:b w:val="false"/>
          <w:color w:val="000000"/>
          <w:sz w:val="18"/>
        </w:rPr>
        <w:t>(a)    The stock certificate(s) evidencing the Restricted Stock shall be registered in the name of the Recipient as of the Date of Grant designated in the Notice. Physical possession or custody of such stock certificate(s) shall be retained by the Company until such time as the Shares become vested. Such stock certificate(s) shall be distributed to the Recipient or Beneficiary(ies) as soon as administratively practicable after the Shares become vested. The Company reserves the right to place a legend on the stock certificate(s) restricting the transferability of such certificate(s).</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 xml:space="preserve">(b)    During the period prior to vesting, the Recipient shall be entitled to all rights of a shareholder of the Company with respect to the Restricted Stock, including the right to vote the Shares and receive cash dividends. Any cash dividends declared with respect to any shares of Restricted Stock shall be held in escrow by the Company (unsegregated as a part of its general assets) until such time as the Restricted Stock that such cash dividends are attributed to become vested Shares, and if and to the extent that such Restricted Stock is subsequently forfeited, the cash dividends attributable to the forfeited Restricted Stock shall be forfeited as well. Stock dividends declared by the Company will be characterized as Restricted Stock and will be </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10.20</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60705"/>
                <wp:effectExtent l="0" t="0" r="0" b="0"/>
                <wp:wrapNone/>
                <wp:docPr id="114" name="Frame1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1</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1</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subject to vesting and be distributed at the same times as the Restricted Stock with respect to which they were declared as dividends.</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(c)    The Recipient shall deposit with the Company stock powers or other instruments of transfer or assignment, duly endorsed in blank with signature(s) guaranteed, corresponding to each certificate representing shares of Restricted Stock until such Shares become vested. If the Recipient shall fail to provide the Company with any such stock power or other instrument of transfer or assignment, the Recipient hereby irrevocably appoints the Secretary of the Company as his attorney-in-fact, with full power of appointment and substitution, to execute and deliver any such power or other instrument which may be necessary to effectuate the transfer of the Restricted Stock (or assignment of distributions thereon) on the books and records of the Company.</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(d)    If the Company is authorized to issue Shares without certificates, then the Company may, in the discretion of the Committee, issue Shares pursuant to this Agreement without certificates, in which case any references in this Agreement to certificates shall instead refer to whatever evidence may be issued to reflect the Recipient’s ownership of the Shares subject to the terms and conditions of this Agreement.</w:t>
      </w:r>
    </w:p>
    <w:p>
      <w:pPr>
        <w:pStyle w:val="TextBody"/>
        <w:bidi w:val="0"/>
        <w:spacing w:lineRule="auto" w:line="288" w:before="240" w:after="240"/>
        <w:ind w:left="0" w:right="0" w:firstLine="720"/>
        <w:jc w:val="both"/>
        <w:rPr/>
      </w:pPr>
      <w:r>
        <w:rPr>
          <w:rFonts w:ascii="Times New Roman;serif" w:hAnsi="Times New Roman;serif"/>
          <w:b/>
          <w:color w:val="000000"/>
          <w:sz w:val="18"/>
        </w:rPr>
        <w:t>4.    </w:t>
      </w:r>
      <w:r>
        <w:rPr>
          <w:rFonts w:ascii="Times New Roman;serif" w:hAnsi="Times New Roman;serif"/>
          <w:b/>
          <w:color w:val="000000"/>
          <w:sz w:val="18"/>
          <w:u w:val="single"/>
        </w:rPr>
        <w:t>Forfeiture of Shares</w:t>
      </w:r>
      <w:r>
        <w:rPr>
          <w:rFonts w:ascii="Times New Roman;serif" w:hAnsi="Times New Roman;serif"/>
          <w:b/>
          <w:color w:val="000000"/>
          <w:sz w:val="18"/>
        </w:rPr>
        <w:t xml:space="preserve">. </w:t>
      </w:r>
      <w:r>
        <w:rPr>
          <w:rFonts w:ascii="Times New Roman;serif" w:hAnsi="Times New Roman;serif"/>
          <w:b w:val="false"/>
          <w:color w:val="000000"/>
          <w:sz w:val="18"/>
        </w:rPr>
        <w:t>Upon termination of the Recipient’s Continuous Service, for any reason, any shares of Restricted Stock that have not previously become vested and that do not become vested pursuant to Section 2 hereof, shall be immediately forfeited and revert back to the Company without any payment to the Recipient. If the Recipient breaches any of the Restrictive Covenants as defined in Section 5 hereof, then (in addition to any other rights or remedies to which the Company may be entitled as a result of such breach), all non-vested shares of Restricted Stock shall be forfeited immediately upon such breach and revert or be transferred by the Recipient back to the Company without any payment to the Recipient. The Award of Restricted Stock is conditioned upon and subject to the Recipient’s acceptance of the Award of Restricted Stock by signing and delivering to the Company the Notice not later than the date specified in the Notice. If the Recipient fails to accept the Award of Restricted Stock by signing and delivering to the Company the Notice within the time described above, the Recipient shall forfeit the shares of Restricted Stock subject to this Agreement without any payment to the Recipient. The Committee shall have the power and authority to enforce on behalf of the Company any rights of the Company under this Agreement in the event of the Recipient’s forfeiture of non-vested shares of Restricted Stock pursuant to this Section 4.</w:t>
      </w:r>
    </w:p>
    <w:p>
      <w:pPr>
        <w:pStyle w:val="TextBody"/>
        <w:bidi w:val="0"/>
        <w:spacing w:lineRule="auto" w:line="288" w:before="240" w:after="240"/>
        <w:ind w:left="0" w:right="0" w:firstLine="720"/>
        <w:jc w:val="both"/>
        <w:rPr/>
      </w:pPr>
      <w:r>
        <w:rPr>
          <w:rFonts w:ascii="Times New Roman;serif" w:hAnsi="Times New Roman;serif"/>
          <w:b/>
          <w:color w:val="000000"/>
          <w:sz w:val="18"/>
        </w:rPr>
        <w:t>5.    </w:t>
      </w:r>
      <w:r>
        <w:rPr>
          <w:rFonts w:ascii="Times New Roman;serif" w:hAnsi="Times New Roman;serif"/>
          <w:b/>
          <w:color w:val="000000"/>
          <w:sz w:val="18"/>
          <w:u w:val="single"/>
        </w:rPr>
        <w:t>Restrictive Covenants</w:t>
      </w:r>
      <w:r>
        <w:rPr>
          <w:rFonts w:ascii="Times New Roman;serif" w:hAnsi="Times New Roman;serif"/>
          <w:b/>
          <w:color w:val="000000"/>
          <w:sz w:val="18"/>
        </w:rPr>
        <w:t xml:space="preserve">. </w:t>
      </w:r>
      <w:r>
        <w:rPr>
          <w:rFonts w:ascii="Times New Roman;serif" w:hAnsi="Times New Roman;serif"/>
          <w:b w:val="false"/>
          <w:color w:val="000000"/>
          <w:sz w:val="18"/>
        </w:rPr>
        <w:t>As a condition to the Company’s grant of the Restricted Stock to the Recipient, and for other valuable consideration, the receipt and sufficiency of which are hereby acknowledged by the Recipient, the Recipient hereby agrees to comply with the restrictive covenants contained in this Section 5 and any other covenants or agreements regarding confidentiality, non-solicitation, non-competition or similar matters entered into between the Recipient and the Company and/or any Subsidiaries (collectively, the “Restrictive Covenants”).</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18"/>
        </w:rPr>
        <w:t>(a)</w:t>
      </w:r>
      <w:r>
        <w:rPr>
          <w:color w:val="000000"/>
        </w:rPr>
        <w:t>    </w:t>
      </w:r>
      <w:r>
        <w:rPr>
          <w:rFonts w:ascii="Times New Roman;serif" w:hAnsi="Times New Roman;serif"/>
          <w:b/>
          <w:color w:val="000000"/>
          <w:sz w:val="18"/>
        </w:rPr>
        <w:t xml:space="preserve">Confidential Information. </w:t>
      </w:r>
      <w:r>
        <w:rPr>
          <w:rFonts w:ascii="Times New Roman;serif" w:hAnsi="Times New Roman;serif"/>
          <w:b w:val="false"/>
          <w:color w:val="000000"/>
          <w:sz w:val="18"/>
        </w:rPr>
        <w:t xml:space="preserve">The Recipient acknowledges that as a result of the Recipient’s services for the Company and its Subsidiaries, the Recipient will gain knowledge of, and access to, proprietary and confidential information and trade secrets of the Company and its Subsidiaries, including, without limitation, (1) the identity of customers, suppliers, subcontractors and others with whom they do business; (2) their marketing methods and strategies; (3) contract terms, pricing, margin, cost information and other information regarding the relationship between them and the persons and entities with which they have contracted; (4) their services, products, software, technology, developments, improvements and methods of operation; (5) their results of operations, financial condition, projected financial performance, sales and profit performance and financial requirements; (6) the identity of and compensation paid to their employees, including the Recipient; (7) their business plans, models or strategies and the information contained therein; (8) their sources, leads or methods of obtaining new business; and (9) all other confidential information of, about or concerning the business of the Company and its Subsidiaries (collectively, the “Confidential Information”). The Recipient further acknowledges that such information, even though it may be contributed, developed or acquired by the Recipient, and whether or not the foregoing information is actually novel or unique or is actually known by others, constitutes valuable assets of the Company developed at great expense which are the exclusive property of the Company or its Subsidiaries. Accordingly, the Recipient will not, at any time, either during or subsequent to the termination of the Recipient’s services for the Company and its Subsidiaries for any reason, in any fashion, form or manner, directly or indirectly, (i) use, divulge, disclose, communicate, provide or permit access to any person or entity, any Confidential Information of any kind, nature or description, or (ii) remove from the Company’s or its Subsidiaries’ premises any notes or records relating thereto, or copies or facsimiles thereof (whether made by electronic, electrical, magnetic, optical, laser acoustic or other means) except in the case of both (i) and (ii), (A) as reasonably required in the performance of the Recipient’s services for the Company and its Subsidiaries, (B) to responsible officers and employees of the Company who are in a contractual or fiduciary relationship with the Company and who have a need for such information for purposes in the best interests of the Company, (C) for such information which is or becomes generally available to the public other than as a result of an unauthorized disclosure by the Recipient, and (D) or as otherwise necessary to comply with the requirements of law, after providing the Company with not less than five (5) days prior written notice of the Recipient’s intent to disclose. The Recipient acknowledges that the Company would </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10.20</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60705"/>
                <wp:effectExtent l="0" t="0" r="0" b="0"/>
                <wp:wrapNone/>
                <wp:docPr id="115" name="Frame1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2</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2</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18"/>
        </w:rPr>
      </w:pPr>
      <w:r>
        <w:rPr>
          <w:rFonts w:ascii="Times New Roman;serif" w:hAnsi="Times New Roman;serif"/>
          <w:b w:val="false"/>
          <w:color w:val="000000"/>
          <w:sz w:val="18"/>
        </w:rPr>
        <w:t>not enter into this Agreement without assurance that all Confidential Information will be used for the exclusive benefit of the Company.</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18"/>
        </w:rPr>
        <w:t>(b)    </w:t>
      </w:r>
      <w:r>
        <w:rPr>
          <w:rFonts w:ascii="Times New Roman;serif" w:hAnsi="Times New Roman;serif"/>
          <w:b/>
          <w:color w:val="000000"/>
          <w:sz w:val="18"/>
        </w:rPr>
        <w:t xml:space="preserve">Intellectual Property. </w:t>
      </w:r>
      <w:r>
        <w:rPr>
          <w:rFonts w:ascii="Times New Roman;serif" w:hAnsi="Times New Roman;serif"/>
          <w:b w:val="false"/>
          <w:color w:val="000000"/>
          <w:sz w:val="18"/>
        </w:rPr>
        <w:t>Any and all material eligible for copyright or trademark protection and any and all ideas and inventions (“Intellectual Property”), whether or not patentable, in any such case solely or jointly made, developed, conceived or reduced to practice by the Recipient (whether at the request or suggestion of any officer or employee of the Company or otherwise, whether alone or in conjunction with others, and whether during regular hours of work or otherwise) during the period in which the Recipient provides services for the Company and its Subsidiaries, which arise from the fulfillment of the Recipient’s duties to the Company and its Subsidiaries and which may be directly or indirectly useful in the business of the Company or its Subsidiaries will be promptly and fully disclosed in writing to the Company. The Company and its Subsidiaries will have the entire right, title and interest (both domestic and foreign) in all such Intellectual Property, which is the sole property of the Company and its Subsidiaries. All papers, drawings, models, data and other materials relating to any such idea, material or invention will be included in the definition of Confidential Information, will remain the sole property of the Company and its Subsidiaries, and the Recipient will return to the Company and its Subsidiaries all such papers, and all copies thereof, including all originals and copies contained in computer hard drives or other electronic or machine readable format, upon the earlier of the Company’s or a Subsidiary’s request thereof, or the expiration or termination of the Recipient’s services for the Company and its Subsidiaries. The Recipient will execute, acknowledge and deliver to the Company and its Subsidiaries any and all further assignments, contracts or other instruments the Company and its Subsidiaries deem necessary or expedient, without further compensation, to carry out and effectuate the intents and purposes of the Agreement and to vest in the Company and its Subsidiaries each and all of the rights of the Company and its Subsidiaries in the Intellectual Property.</w:t>
      </w:r>
    </w:p>
    <w:p>
      <w:pPr>
        <w:pStyle w:val="TextBody"/>
        <w:bidi w:val="0"/>
        <w:spacing w:lineRule="auto" w:line="288" w:before="0" w:after="0"/>
        <w:jc w:val="both"/>
        <w:rPr/>
      </w:pPr>
      <w:r>
        <w:rPr>
          <w:color w:val="000000"/>
        </w:rPr>
        <w:t>        </w:t>
      </w:r>
      <w:r>
        <w:rPr>
          <w:rFonts w:ascii="Times New Roman;serif" w:hAnsi="Times New Roman;serif"/>
          <w:b w:val="false"/>
          <w:color w:val="000000"/>
          <w:sz w:val="18"/>
        </w:rPr>
        <w:t>(c)    </w:t>
      </w:r>
      <w:r>
        <w:rPr>
          <w:rFonts w:ascii="Times New Roman;serif" w:hAnsi="Times New Roman;serif"/>
          <w:b/>
          <w:color w:val="000000"/>
          <w:sz w:val="18"/>
        </w:rPr>
        <w:t xml:space="preserve">Nonsolicitation. </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erif" w:hAnsi="Times New Roman;serif"/>
          <w:b w:val="false"/>
          <w:color w:val="000000"/>
          <w:sz w:val="18"/>
        </w:rPr>
      </w:pPr>
      <w:r>
        <w:rPr>
          <w:rFonts w:ascii="Times New Roman;serif" w:hAnsi="Times New Roman;serif"/>
          <w:b w:val="false"/>
          <w:color w:val="000000"/>
          <w:sz w:val="18"/>
        </w:rPr>
        <w:t>(i)    The Recipient acknowledges and agrees that Company’s and its Subsidiaries’ existing or contemplated businesses (collectively, the “Business”) are conducted throughout the United States of America and the Commonwealth of Canada. Until two (2) years following the date of the termination of the Recipient’s employment with the Company and its Subsidiaries (the “Period of Non-Solicitation”) and within the United States of America and the Commonwealth of Canada (including their possessions, protectorate and territories, the “Territory”), the Recipient will not (whether or not then providing services for the Company or its Subsidiaries for any reason), without the Company’s prior written consent, solicit, persuade or attempt to solicit or persuade or cause or authorize directly or indirectly to be solicited or persuaded for employment, or employ or cause or authorize directly or indirectly to be employed, on behalf of the Recipient or any other person or entity, any individual who is or was at any time within six (6) months prior to cessation of the Recipient’s termination of the Recipient’s services for the Company and its Subsidiaries, an employee of the Company or its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2160"/>
        <w:jc w:val="both"/>
        <w:rPr>
          <w:rFonts w:ascii="Times New Roman;serif" w:hAnsi="Times New Roman;serif"/>
          <w:b w:val="false"/>
          <w:color w:val="000000"/>
          <w:sz w:val="18"/>
        </w:rPr>
      </w:pPr>
      <w:r>
        <w:rPr>
          <w:rFonts w:ascii="Times New Roman;serif" w:hAnsi="Times New Roman;serif"/>
          <w:b w:val="false"/>
          <w:color w:val="000000"/>
          <w:sz w:val="18"/>
        </w:rPr>
        <w:t>(ii)    If the Recipient breaches or violates any of the provisions of this Section 5(c), the running of the Period of Non-Solicitation (but not of any of the Recipient’s obligations under this Section 5) will be tolled with respect to the Recipient during the continuance of any actual breach or violation.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18"/>
        </w:rPr>
        <w:t>(d)    </w:t>
      </w:r>
      <w:r>
        <w:rPr>
          <w:rFonts w:ascii="Times New Roman;serif" w:hAnsi="Times New Roman;serif"/>
          <w:b/>
          <w:color w:val="000000"/>
          <w:sz w:val="18"/>
        </w:rPr>
        <w:t xml:space="preserve">Reasonable Restrictions. </w:t>
      </w:r>
      <w:r>
        <w:rPr>
          <w:rFonts w:ascii="Times New Roman;serif" w:hAnsi="Times New Roman;serif"/>
          <w:b w:val="false"/>
          <w:color w:val="000000"/>
          <w:sz w:val="18"/>
        </w:rPr>
        <w:t>The parties acknowledge and agree that the restrictions set forth in Section 5 of this Agreement are reasonable for the purpose of protecting the value of the business and goodwill of the Company and its Subsidiaries. It is the desire and intent of the parties that the provisions of Section 5 be enforced to the fullest extent permissible under the laws and public policies applied in each jurisdiction in which enforcement is sought. If any particular provisions or portions of Section 5 are adjudicated to be invalid or unenforceable, then such section will be deemed amended to delete such provision or portion adjudicated to be invalid or unenforceable; provided, however, that such amendments are to apply only with the respect to the operation of such section in the particular jurisdiction in which such adjudication is made.</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18"/>
        </w:rPr>
        <w:t>(e)    </w:t>
      </w:r>
      <w:r>
        <w:rPr>
          <w:rFonts w:ascii="Times New Roman;serif" w:hAnsi="Times New Roman;serif"/>
          <w:b/>
          <w:color w:val="000000"/>
          <w:sz w:val="18"/>
        </w:rPr>
        <w:t xml:space="preserve">Breach or Threatened Breach. </w:t>
      </w:r>
      <w:r>
        <w:rPr>
          <w:rFonts w:ascii="Times New Roman;serif" w:hAnsi="Times New Roman;serif"/>
          <w:b w:val="false"/>
          <w:color w:val="000000"/>
          <w:sz w:val="18"/>
        </w:rPr>
        <w:t xml:space="preserve">The parties acknowledge and agree that the performance of the obligations under Section 5 by the Recipient are special, unique and extraordinary in character, and that in the event of the breach or threatened breach by the Recipient of the terms and conditions of Section 5, the Company and its Subsidiaries will suffer irreparable injury and that monetary damages would not provide an adequate remedy at law and that no remedy at law may exist Accordingly, in the event of such breach or threatened breach, the Company will be entitled, if it so elects and without the posting of any bond or security, to institute and prosecute proceedings in any court of competent jurisdiction, in law and in equity, to obtain damages for any breach of Section 5 and/or to enforce the specific performance of this Agreement by the Recipient and/or to enjoin the Recipient from breaching or attempting to breach Section 5. In the event the Company believes that the Recipient has breached the Recipient’s obligations under Section 5, or threatens to do so, it shall promptly provide the Recipient written notice of such belief setting forth the basis for its belief and, (unless under exigent circumstances, as determined by the Company at its sole discretion, it would harm the Company and its Subsidiaries to delay the institution of legal proceedings) five (5) business days to respond to the notice, prior to the initiation of legal proceedings. In addition to any other rights or remedies the Company may have under this Agreement or applicable law, the Company will be entitled to receive from the Recipient </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10.20</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60705"/>
                <wp:effectExtent l="0" t="0" r="0" b="0"/>
                <wp:wrapNone/>
                <wp:docPr id="116" name="Frame1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3</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3</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18"/>
        </w:rPr>
      </w:pPr>
      <w:r>
        <w:rPr>
          <w:rFonts w:ascii="Times New Roman;serif" w:hAnsi="Times New Roman;serif"/>
          <w:b w:val="false"/>
          <w:color w:val="000000"/>
          <w:sz w:val="18"/>
        </w:rPr>
        <w:t>reimbursement for all attorneys’ and paralegal fees and expenses and court costs incurred by the Company in enforcing this Agreement and will have the right and remedy to require the Recipient to account for and pay over to the Company all compensation, profit, monies, accruals or other benefits derived or received, directly or indirectly, by the Recipient from the action constituting a breach or violation of this Section 5.</w:t>
      </w:r>
    </w:p>
    <w:p>
      <w:pPr>
        <w:pStyle w:val="TextBody"/>
        <w:bidi w:val="0"/>
        <w:spacing w:lineRule="auto" w:line="288" w:before="240" w:after="240"/>
        <w:ind w:left="0" w:right="0" w:firstLine="720"/>
        <w:jc w:val="both"/>
        <w:rPr/>
      </w:pPr>
      <w:r>
        <w:rPr>
          <w:rFonts w:ascii="Times New Roman;serif" w:hAnsi="Times New Roman;serif"/>
          <w:b/>
          <w:color w:val="000000"/>
          <w:sz w:val="18"/>
        </w:rPr>
        <w:t>6.    </w:t>
      </w:r>
      <w:r>
        <w:rPr>
          <w:rFonts w:ascii="Times New Roman;serif" w:hAnsi="Times New Roman;serif"/>
          <w:b/>
          <w:color w:val="000000"/>
          <w:sz w:val="18"/>
          <w:u w:val="single"/>
        </w:rPr>
        <w:t>Recapitalization, Mergers, Etc.</w:t>
      </w:r>
      <w:r>
        <w:rPr>
          <w:color w:val="000000"/>
        </w:rPr>
        <w:t xml:space="preserve"> </w:t>
      </w:r>
      <w:r>
        <w:rPr>
          <w:rFonts w:ascii="Times New Roman;serif" w:hAnsi="Times New Roman;serif"/>
          <w:b w:val="false"/>
          <w:color w:val="000000"/>
          <w:sz w:val="18"/>
        </w:rPr>
        <w:t xml:space="preserve">As provided in the Plan, in the event of corporate transactions affecting the Company’s outstanding Shares, such as recapitalizations or mergers, the Committee shall equitably adjust the number and kinds of Shares subject to this Award in such manner as the Committee deems appropriate, may accelerate the vesting of awards hereunder, and may take such other action as the Committee may determine to be appropriate pursuant to the Plan. </w:t>
      </w:r>
    </w:p>
    <w:p>
      <w:pPr>
        <w:pStyle w:val="TextBody"/>
        <w:bidi w:val="0"/>
        <w:spacing w:lineRule="auto" w:line="288" w:before="240" w:after="240"/>
        <w:ind w:left="0" w:right="0" w:firstLine="720"/>
        <w:jc w:val="both"/>
        <w:rPr/>
      </w:pPr>
      <w:r>
        <w:rPr>
          <w:rFonts w:ascii="Times New Roman;serif" w:hAnsi="Times New Roman;serif"/>
          <w:b/>
          <w:color w:val="000000"/>
          <w:sz w:val="18"/>
        </w:rPr>
        <w:t>7.    </w:t>
      </w:r>
      <w:r>
        <w:rPr>
          <w:rFonts w:ascii="Times New Roman;serif" w:hAnsi="Times New Roman;serif"/>
          <w:b/>
          <w:color w:val="000000"/>
          <w:sz w:val="18"/>
          <w:u w:val="single"/>
        </w:rPr>
        <w:t>Compliance with Securities Laws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 xml:space="preserve">It shall be a condition to the Recipient’s right to receive shares of Restricted Stock hereunder that the Committee may, in its discretion, require (a) that the shares of Restricted Stock reserved for issue upon the grant of this award shall have been duly listed, upon official notice of issuance, upon any national securities exchange or automated quotation system on which the Shares may then be listed or quoted, (b) that either (i) a registration statement under the Securities Act of 1933 with respect to the Shares shall be in effect, or (ii) in the opinion of counsel for the Company, the proposed purchase shall be exempt from registration under that Act and the Recipient shall have made such undertakings and agreements with the Company as the Company may reasonably require, and (c) that such other steps, if any, as counsel for the Company shall consider necessary to comply with any law applicable to the issue of such Shares by the Company shall have been taken by the Company or the Recipient, or both. The certificates representing the Shares granted under this Award may contain such legends as counsel for the Company shall consider necessary to comply with any applicable law. </w:t>
      </w:r>
    </w:p>
    <w:p>
      <w:pPr>
        <w:pStyle w:val="TextBody"/>
        <w:bidi w:val="0"/>
        <w:spacing w:lineRule="auto" w:line="288" w:before="240" w:after="240"/>
        <w:ind w:left="0" w:right="0" w:firstLine="720"/>
        <w:jc w:val="both"/>
        <w:rPr/>
      </w:pPr>
      <w:r>
        <w:rPr>
          <w:rFonts w:ascii="Times New Roman;serif" w:hAnsi="Times New Roman;serif"/>
          <w:b/>
          <w:color w:val="000000"/>
          <w:sz w:val="18"/>
        </w:rPr>
        <w:t>8.    </w:t>
      </w:r>
      <w:r>
        <w:rPr>
          <w:rFonts w:ascii="Times New Roman;serif" w:hAnsi="Times New Roman;serif"/>
          <w:b/>
          <w:color w:val="000000"/>
          <w:sz w:val="18"/>
          <w:u w:val="single"/>
        </w:rPr>
        <w:t>Administration</w:t>
      </w:r>
      <w:r>
        <w:rPr>
          <w:rFonts w:ascii="Times New Roman;serif" w:hAnsi="Times New Roman;serif"/>
          <w:b/>
          <w:color w:val="000000"/>
          <w:sz w:val="18"/>
        </w:rPr>
        <w:t>.</w:t>
      </w:r>
      <w:r>
        <w:rPr>
          <w:color w:val="000000"/>
        </w:rPr>
        <w:t xml:space="preserve"> </w:t>
      </w:r>
    </w:p>
    <w:p>
      <w:pPr>
        <w:pStyle w:val="TextBody"/>
        <w:bidi w:val="0"/>
        <w:spacing w:lineRule="auto" w:line="288" w:before="240" w:after="240"/>
        <w:ind w:left="0" w:right="0" w:firstLine="720"/>
        <w:jc w:val="both"/>
        <w:rPr>
          <w:color w:val="000000"/>
        </w:rPr>
      </w:pPr>
      <w:r>
        <w:rPr>
          <w:color w:val="000000"/>
        </w:rPr>
        <w:t>    </w:t>
      </w:r>
      <w:r>
        <w:rPr>
          <w:rFonts w:ascii="Times New Roman;serif" w:hAnsi="Times New Roman;serif"/>
          <w:b w:val="false"/>
          <w:color w:val="000000"/>
          <w:sz w:val="18"/>
        </w:rPr>
        <w:t>(a)    The Committee shall have full authority and discretion to decide all matters relating to the administration and interpretation of this Agreement. The Committee shall have full power and authority to pass and decide upon cases in conformity with the objectives of this Agreement under such rules as the Board may establish.</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(b)    Any decision made or action taken by the Company, the Board, or the Committee arising out of, or in connection with, the administration, interpretation, and effect of this Agreement shall be at their absolute discretion and will be conclusive and binding on all parties. No member of the Board, Committee, or employee of the Company shall be liable for any act or action hereunder, whether of omission or commission, by the Recipient or by any agent to whom duties in connection with the administration of this Agreement have been delegated in accordance with the provision of this Agreement.</w:t>
      </w:r>
    </w:p>
    <w:p>
      <w:pPr>
        <w:pStyle w:val="TextBody"/>
        <w:bidi w:val="0"/>
        <w:spacing w:lineRule="auto" w:line="288" w:before="240" w:after="240"/>
        <w:ind w:left="0" w:right="0" w:firstLine="720"/>
        <w:jc w:val="both"/>
        <w:rPr/>
      </w:pPr>
      <w:r>
        <w:rPr>
          <w:rFonts w:ascii="Times New Roman;serif" w:hAnsi="Times New Roman;serif"/>
          <w:b/>
          <w:color w:val="000000"/>
          <w:sz w:val="18"/>
        </w:rPr>
        <w:t>9.    </w:t>
      </w:r>
      <w:r>
        <w:rPr>
          <w:rFonts w:ascii="Times New Roman;serif" w:hAnsi="Times New Roman;serif"/>
          <w:b/>
          <w:color w:val="000000"/>
          <w:sz w:val="18"/>
          <w:u w:val="single"/>
        </w:rPr>
        <w:t>Tax Matters; Section 83(b) Election</w:t>
      </w:r>
      <w:r>
        <w:rPr>
          <w:rFonts w:ascii="Times New Roman;serif" w:hAnsi="Times New Roman;serif"/>
          <w:b/>
          <w:color w:val="000000"/>
          <w:sz w:val="18"/>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(a)    If the Recipient does not properly make the election described in Section 9(b) below, the Recipient shall, no later than the date or dates as of which the restrictions referred to in this Agreement hereof shall lapse, pay to the Company, or make arrangements satisfactory to the Committee for payment of, any federal, state, local or foreign taxes of any kind that the Company determines are required by law to be withheld with respect to the Restricted Stock (including without limitation the vesting thereof), and the Company shall, to the extent permitted by law, have the right to deduct from any payment of any kind (including without limitation, the withholding of any Shares that otherwise would be distributed to the Recipient under this Agreement) otherwise due to Recipient any federal, state, local or foreign taxes of any kind required by law to be withheld with respect to the Restricted Stock.</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(b)    If the Recipient properly elects, within thirty (30) days of the Date of Grant, to include in gross income for federal income tax purposes an amount equal to the Fair Market Value (as of the Date of Grant) of the Restricted Stock pursuant to Section 83(b) of the Code, the Recipient shall make arrangements satisfactory to the Committee to pay to the Company any federal, state, local or foreign income taxes that the Company determines are required to be withheld with respect to the Restricted Stock. If the Recipient shall fail to make such tax payments as are required, the Company shall, to the extent permitted by law, have the right to deduct from any payment of any kind (including without limitation, the withholding of any Shares that otherwise would be issued to the Recipient under this Agreement) otherwise due to the Recipient, any federal, state, local or foreign taxes of any kind required by law to be withheld with respect to the Restricted Stock.</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18"/>
        </w:rPr>
        <w:t>(c)    The Recipient may satisfy any applicable withholding requirements pursuant to any one or combination of the following methods:</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18"/>
        </w:rPr>
        <w:t>(i)    payment in cash; or</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10.20</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60705"/>
                <wp:effectExtent l="0" t="0" r="0" b="0"/>
                <wp:wrapNone/>
                <wp:docPr id="117" name="Frame1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4</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4</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1440"/>
        <w:jc w:val="both"/>
        <w:rPr>
          <w:color w:val="000000"/>
        </w:rPr>
      </w:pPr>
      <w:r>
        <w:rPr>
          <w:color w:val="000000"/>
        </w:rPr>
        <w:t>    </w:t>
      </w:r>
      <w:r>
        <w:rPr>
          <w:rFonts w:ascii="Times New Roman;serif" w:hAnsi="Times New Roman;serif"/>
          <w:b w:val="false"/>
          <w:color w:val="000000"/>
          <w:sz w:val="18"/>
        </w:rPr>
        <w:t>(ii)    payment by surrendering a number of unrestricted previously held Shares (free and clear of all liens and encumbrances), or the withholding of a number of Shares that otherwise would be deliverable to the Recipient pursuant to this Award. The Shares so delivered or withheld must have an aggregate Fair Market Value on the date on which the shares of Restricted Stock become taxable equal to the minimum statutory amount, if any, required to be withheld for federal, state, local and/or foreign tax purposes that are applicable to the Restricted Stock then subject to tax (or such other amount as the Committee determines will not result in additional compensation expense for financial accounting purposes under applicable financial accounting principles). The Recipient may surrender Shares either by attestation or by delivery of a certificate or certificates for Shares duly endorsed for transfer to the Company, and if required with medallion level signature guarantee by a member firm of a national stock exchange, by a national or state bank (or guaranteed or notarized in such other manner as the Committee may require).</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[(d)    With respect to any shares of Restricted Stock that are vested Shares on the Date of Grant and are not subject to any federal, state, local or foreign income taxes required to be withheld with respect to the vested Shares, the Recipient may elect, on or before the Date of Grant, to have the Company withhold a number of Shares having a value (based upon the closing price for the Common Stock on the Date of Grant) equal to the amount of income tax the Company determines would be required to be withheld under section 3402 of the Code if the Recipient was an employee of the Company and the taxable amount was considered supplemental wages within the meaning of Treasury regulation section 31.3402(g)-1, regardless of whether any amounts are required to be withheld from the Restricted Stock covered by this Award pursuant to section 3402 of the Code.]</w:t>
      </w:r>
    </w:p>
    <w:p>
      <w:pPr>
        <w:pStyle w:val="TextBody"/>
        <w:bidi w:val="0"/>
        <w:spacing w:lineRule="auto" w:line="288" w:before="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(e)    Tax consequences on the Recipient (including without limitation federal, state, local and/or foreign income tax consequences) with respect to the Restricted Stock (including without limitation the grant, vesting and/or forfeiture thereof) are the sole responsibility of the Recipient. The Recipient shall consult with his or her own personal accountant(s) and/or tax advisor(s) regarding these matters, the making of a Section 83(b) election, and the Recipient’s filing, withholding and payment (or tax liability) obligations.</w:t>
      </w:r>
    </w:p>
    <w:p>
      <w:pPr>
        <w:pStyle w:val="TextBody"/>
        <w:bidi w:val="0"/>
        <w:spacing w:lineRule="auto" w:line="288" w:before="240" w:after="240"/>
        <w:ind w:left="0" w:right="0" w:firstLine="720"/>
        <w:jc w:val="both"/>
        <w:rPr/>
      </w:pPr>
      <w:r>
        <w:rPr>
          <w:rFonts w:ascii="Times New Roman;serif" w:hAnsi="Times New Roman;serif"/>
          <w:b/>
          <w:color w:val="000000"/>
          <w:sz w:val="18"/>
        </w:rPr>
        <w:t>10.    </w:t>
      </w:r>
      <w:r>
        <w:rPr>
          <w:rFonts w:ascii="Times New Roman;serif" w:hAnsi="Times New Roman;serif"/>
          <w:b/>
          <w:color w:val="000000"/>
          <w:sz w:val="18"/>
          <w:u w:val="single"/>
        </w:rPr>
        <w:t>Company Relation with Recipients</w:t>
      </w:r>
      <w:r>
        <w:rPr>
          <w:rFonts w:ascii="Times New Roman;serif" w:hAnsi="Times New Roman;serif"/>
          <w:b/>
          <w:color w:val="000000"/>
          <w:sz w:val="18"/>
        </w:rPr>
        <w:t xml:space="preserve">. </w:t>
      </w:r>
      <w:r>
        <w:rPr>
          <w:rFonts w:ascii="Times New Roman;serif" w:hAnsi="Times New Roman;serif"/>
          <w:b w:val="false"/>
          <w:color w:val="000000"/>
          <w:sz w:val="18"/>
        </w:rPr>
        <w:t>Nothing in this Agreement shall confer on the Recipient any right to continued Continuous Service.</w:t>
      </w:r>
    </w:p>
    <w:p>
      <w:pPr>
        <w:pStyle w:val="TextBody"/>
        <w:bidi w:val="0"/>
        <w:spacing w:lineRule="auto" w:line="288" w:before="240" w:after="240"/>
        <w:ind w:left="0" w:right="0" w:firstLine="720"/>
        <w:jc w:val="both"/>
        <w:rPr/>
      </w:pPr>
      <w:r>
        <w:rPr>
          <w:rFonts w:ascii="Times New Roman;serif" w:hAnsi="Times New Roman;serif"/>
          <w:b/>
          <w:color w:val="000000"/>
          <w:sz w:val="18"/>
        </w:rPr>
        <w:t>11.    </w:t>
      </w:r>
      <w:r>
        <w:rPr>
          <w:rFonts w:ascii="Times New Roman;serif" w:hAnsi="Times New Roman;serif"/>
          <w:b/>
          <w:color w:val="000000"/>
          <w:sz w:val="18"/>
          <w:u w:val="single"/>
        </w:rPr>
        <w:t>Limit on Other Compensation Arrangements</w:t>
      </w:r>
      <w:r>
        <w:rPr>
          <w:rFonts w:ascii="Times New Roman;serif" w:hAnsi="Times New Roman;serif"/>
          <w:b w:val="false"/>
          <w:color w:val="000000"/>
          <w:sz w:val="18"/>
        </w:rPr>
        <w:t>. Nothing contained in this Agreement shall preclude the Company or any Subsidiary from adopting or continuing in effect other or additional compensation plans, agreements or arrangements, and any such plans, agreements and arrangements may be either generally applicable or applicable only in specific cases or to specific persons.</w:t>
      </w:r>
    </w:p>
    <w:p>
      <w:pPr>
        <w:pStyle w:val="TextBody"/>
        <w:bidi w:val="0"/>
        <w:spacing w:lineRule="auto" w:line="288" w:before="240" w:after="240"/>
        <w:ind w:left="0" w:right="0" w:firstLine="720"/>
        <w:jc w:val="both"/>
        <w:rPr/>
      </w:pPr>
      <w:r>
        <w:rPr>
          <w:rFonts w:ascii="Times New Roman;serif" w:hAnsi="Times New Roman;serif"/>
          <w:b/>
          <w:color w:val="000000"/>
          <w:sz w:val="18"/>
        </w:rPr>
        <w:t>12.    </w:t>
      </w:r>
      <w:r>
        <w:rPr>
          <w:rFonts w:ascii="Times New Roman;serif" w:hAnsi="Times New Roman;serif"/>
          <w:b/>
          <w:color w:val="000000"/>
          <w:sz w:val="18"/>
          <w:u w:val="single"/>
        </w:rPr>
        <w:t>Force and Effect</w:t>
      </w:r>
      <w:r>
        <w:rPr>
          <w:rFonts w:ascii="Times New Roman;serif" w:hAnsi="Times New Roman;serif"/>
          <w:b/>
          <w:color w:val="000000"/>
          <w:sz w:val="18"/>
        </w:rPr>
        <w:t xml:space="preserve">. </w:t>
      </w:r>
      <w:r>
        <w:rPr>
          <w:rFonts w:ascii="Times New Roman;serif" w:hAnsi="Times New Roman;serif"/>
          <w:b w:val="false"/>
          <w:color w:val="000000"/>
          <w:sz w:val="18"/>
        </w:rPr>
        <w:t>The various provisions of this Agreement are severable in their entirety. Any determination of invalidity or unenforceability of any one provision shall have no effect on the continuing force and effect of the remaining provisions.</w:t>
      </w:r>
    </w:p>
    <w:p>
      <w:pPr>
        <w:pStyle w:val="TextBody"/>
        <w:bidi w:val="0"/>
        <w:spacing w:lineRule="auto" w:line="288" w:before="240" w:after="240"/>
        <w:ind w:left="0" w:right="0" w:firstLine="720"/>
        <w:jc w:val="both"/>
        <w:rPr/>
      </w:pPr>
      <w:r>
        <w:rPr>
          <w:rFonts w:ascii="Times New Roman;serif" w:hAnsi="Times New Roman;serif"/>
          <w:b/>
          <w:color w:val="000000"/>
          <w:sz w:val="18"/>
        </w:rPr>
        <w:t>13.    </w:t>
      </w:r>
      <w:r>
        <w:rPr>
          <w:rFonts w:ascii="Times New Roman;serif" w:hAnsi="Times New Roman;serif"/>
          <w:b/>
          <w:color w:val="000000"/>
          <w:sz w:val="18"/>
          <w:u w:val="single"/>
        </w:rPr>
        <w:t>Entire Agreement</w:t>
      </w:r>
      <w:r>
        <w:rPr>
          <w:rFonts w:ascii="Times New Roman;serif" w:hAnsi="Times New Roman;serif"/>
          <w:b/>
          <w:color w:val="000000"/>
          <w:sz w:val="18"/>
        </w:rPr>
        <w:t xml:space="preserve">. </w:t>
      </w:r>
      <w:r>
        <w:rPr>
          <w:rFonts w:ascii="Times New Roman;serif" w:hAnsi="Times New Roman;serif"/>
          <w:b w:val="false"/>
          <w:color w:val="000000"/>
          <w:sz w:val="18"/>
        </w:rPr>
        <w:t>This Agreement contains the entire understanding of the parties and shall not be modified or amended except in writing and duly signed by the parties after appropriate action by the Committee.</w:t>
      </w:r>
    </w:p>
    <w:p>
      <w:pPr>
        <w:pStyle w:val="TextBody"/>
        <w:bidi w:val="0"/>
        <w:spacing w:lineRule="auto" w:line="288" w:before="240" w:after="240"/>
        <w:ind w:left="0" w:right="0" w:firstLine="720"/>
        <w:jc w:val="both"/>
        <w:rPr/>
      </w:pPr>
      <w:r>
        <w:rPr>
          <w:rFonts w:ascii="Times New Roman;serif" w:hAnsi="Times New Roman;serif"/>
          <w:b/>
          <w:color w:val="000000"/>
          <w:sz w:val="18"/>
        </w:rPr>
        <w:t>14.    </w:t>
      </w:r>
      <w:r>
        <w:rPr>
          <w:rFonts w:ascii="Times New Roman;serif" w:hAnsi="Times New Roman;serif"/>
          <w:b/>
          <w:color w:val="000000"/>
          <w:sz w:val="18"/>
          <w:u w:val="single"/>
        </w:rPr>
        <w:t>No Trust or Fund Created</w:t>
      </w:r>
      <w:r>
        <w:rPr>
          <w:rFonts w:ascii="Times New Roman;serif" w:hAnsi="Times New Roman;serif"/>
          <w:b w:val="false"/>
          <w:color w:val="000000"/>
          <w:sz w:val="18"/>
        </w:rPr>
        <w:t>. Neither this Agreement nor the grant of Restricted Stock hereunder shall create or be construed to create a trust or separate fund of any kind or a fiduciary relationship between the Company or any Subsidiary and the Recipient or any other person. To the extent that the Recipient or any other person acquires a right to receive payments from the Company or any Subsidiary pursuant to this Agreement, such right shall be no greater than the right of any unsecured general creditor of the Company.</w:t>
      </w:r>
    </w:p>
    <w:p>
      <w:pPr>
        <w:pStyle w:val="TextBody"/>
        <w:bidi w:val="0"/>
        <w:spacing w:lineRule="auto" w:line="288" w:before="240" w:after="240"/>
        <w:ind w:left="0" w:right="0" w:firstLine="720"/>
        <w:jc w:val="both"/>
        <w:rPr/>
      </w:pPr>
      <w:r>
        <w:rPr>
          <w:rFonts w:ascii="Times New Roman;serif" w:hAnsi="Times New Roman;serif"/>
          <w:b/>
          <w:color w:val="000000"/>
          <w:sz w:val="18"/>
        </w:rPr>
        <w:t>15.    </w:t>
      </w:r>
      <w:r>
        <w:rPr>
          <w:rFonts w:ascii="Times New Roman;serif" w:hAnsi="Times New Roman;serif"/>
          <w:b/>
          <w:color w:val="000000"/>
          <w:sz w:val="18"/>
          <w:u w:val="single"/>
        </w:rPr>
        <w:t>Law Governing</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This Agreement is subject to and shall be administered and governed in all respects under the laws of the State of Florida without regard to its conflict of law rules.</w:t>
      </w:r>
      <w:r>
        <w:rPr>
          <w:color w:val="000000"/>
        </w:rPr>
        <w:t xml:space="preserve"> </w:t>
      </w:r>
    </w:p>
    <w:p>
      <w:pPr>
        <w:pStyle w:val="TextBody"/>
        <w:bidi w:val="0"/>
        <w:spacing w:lineRule="auto" w:line="288" w:before="240" w:after="240"/>
        <w:ind w:left="0" w:right="0" w:firstLine="720"/>
        <w:jc w:val="both"/>
        <w:rPr/>
      </w:pPr>
      <w:r>
        <w:rPr>
          <w:rFonts w:ascii="Times New Roman;serif" w:hAnsi="Times New Roman;serif"/>
          <w:b/>
          <w:color w:val="000000"/>
          <w:sz w:val="18"/>
        </w:rPr>
        <w:t>16.    </w:t>
      </w:r>
      <w:r>
        <w:rPr>
          <w:rFonts w:ascii="Times New Roman;serif" w:hAnsi="Times New Roman;serif"/>
          <w:b/>
          <w:color w:val="000000"/>
          <w:sz w:val="18"/>
          <w:u w:val="single"/>
        </w:rPr>
        <w:t>Binding Effect; Captions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This Agreement is binding upon the Company, its successors and assigns, and the Recipient, and his/her heirs, legal representatives and permitted assigns. Captions are provided for reference, do not form a part of this Agreement and are not admissible to determine the intent of the parties.</w:t>
      </w:r>
    </w:p>
    <w:p>
      <w:pPr>
        <w:pStyle w:val="TextBody"/>
        <w:bidi w:val="0"/>
        <w:spacing w:lineRule="auto" w:line="288" w:before="240" w:after="240"/>
        <w:ind w:left="0" w:right="0" w:firstLine="720"/>
        <w:jc w:val="both"/>
        <w:rPr/>
      </w:pPr>
      <w:r>
        <w:rPr>
          <w:rFonts w:ascii="Times New Roman;serif" w:hAnsi="Times New Roman;serif"/>
          <w:b/>
          <w:color w:val="000000"/>
          <w:sz w:val="18"/>
        </w:rPr>
        <w:t>17.    </w:t>
      </w:r>
      <w:r>
        <w:rPr>
          <w:rFonts w:ascii="Times New Roman;serif" w:hAnsi="Times New Roman;serif"/>
          <w:b/>
          <w:color w:val="000000"/>
          <w:sz w:val="18"/>
          <w:u w:val="single"/>
        </w:rPr>
        <w:t>Notices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Any notice under this Agreement shall be in writing and shall be deemed to have been duly given when delivered personally or when deposited in the United States mail, registered, postage prepaid, and addressed, in the case of the Company, to the Company’s General Counsel at 800 Douglas Road, 12</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 xml:space="preserve">Floor, Coral Gables, FL 33134, or if the Company should move its principal office, to such principal office, and, in the case of the Recipient, to the Recipient’s last permanent </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10.20</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60705"/>
                <wp:effectExtent l="0" t="0" r="0" b="0"/>
                <wp:wrapNone/>
                <wp:docPr id="118" name="Frame1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5</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5</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18"/>
        </w:rPr>
      </w:pPr>
      <w:r>
        <w:rPr>
          <w:rFonts w:ascii="Times New Roman;serif" w:hAnsi="Times New Roman;serif"/>
          <w:b w:val="false"/>
          <w:color w:val="000000"/>
          <w:sz w:val="18"/>
        </w:rPr>
        <w:t>address as shown on the Company’s records, subject to the right of either party to designate some other address at any time hereafter in a notice satisfying the requirements of this Section.</w:t>
      </w:r>
    </w:p>
    <w:p>
      <w:pPr>
        <w:pStyle w:val="TextBody"/>
        <w:bidi w:val="0"/>
        <w:spacing w:lineRule="auto" w:line="288" w:before="240" w:after="240"/>
        <w:ind w:left="0" w:right="0" w:firstLine="720"/>
        <w:jc w:val="both"/>
        <w:rPr/>
      </w:pPr>
      <w:r>
        <w:rPr>
          <w:rFonts w:ascii="Times New Roman;serif" w:hAnsi="Times New Roman;serif"/>
          <w:b/>
          <w:color w:val="000000"/>
          <w:sz w:val="18"/>
        </w:rPr>
        <w:t>18.    </w:t>
      </w:r>
      <w:r>
        <w:rPr>
          <w:rFonts w:ascii="Times New Roman;serif" w:hAnsi="Times New Roman;serif"/>
          <w:b/>
          <w:color w:val="000000"/>
          <w:sz w:val="18"/>
          <w:u w:val="single"/>
        </w:rPr>
        <w:t>Section 409A</w:t>
      </w:r>
      <w:r>
        <w:rPr>
          <w:rFonts w:ascii="Times New Roman;serif" w:hAnsi="Times New Roman;serif"/>
          <w:b/>
          <w:color w:val="000000"/>
          <w:sz w:val="18"/>
        </w:rPr>
        <w:t>.        </w:t>
      </w:r>
    </w:p>
    <w:p>
      <w:pPr>
        <w:pStyle w:val="TextBody"/>
        <w:bidi w:val="0"/>
        <w:spacing w:lineRule="auto" w:line="288" w:before="24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 xml:space="preserve">(a)    It is intended that the Restricted Stock awarded pursuant to this Agreement be exempt from Section 409A of the Code (“Section 409A”) because it is believed that the Agreement does not provide for a deferral of compensation and accordingly that the Agreement does not constitute a nonqualified deferred compensation plan within the meaning of Section 409A. The provisions of this Agreement shall be interpreted in a manner consistent with that intention, and the provisions of this Agreement may not be amended, adjusted, assumed or substituted for, converted or otherwise modified without the Recipient’s prior written consent if and to the extent that such amendment, adjustment, assumption or substitution, conversion or modification would cause the award to violate the requirements of Section 409A. </w:t>
      </w:r>
    </w:p>
    <w:p>
      <w:pPr>
        <w:pStyle w:val="TextBody"/>
        <w:bidi w:val="0"/>
        <w:spacing w:lineRule="auto" w:line="288" w:before="24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(b)    In the event that either the Company or the Recipient believes, at any time, that any benefit or right under this Agreement is subject to Section 409A, and does not comply with the requirements of Section 409A, it shall promptly advise the other and the Company and the Recipient shall negotiate reasonably and in good faith to amend the terms of such benefits and rights, if such an amendment may be made in a commercially reasonable manner, such that they comply with Section 409A with the most limited possible economic affect on the Recipient and on the Company.</w:t>
      </w:r>
    </w:p>
    <w:p>
      <w:pPr>
        <w:pStyle w:val="TextBody"/>
        <w:bidi w:val="0"/>
        <w:spacing w:lineRule="auto" w:line="288" w:before="240" w:after="240"/>
        <w:ind w:left="0" w:right="0" w:firstLine="1440"/>
        <w:jc w:val="both"/>
        <w:rPr>
          <w:rFonts w:ascii="Times New Roman;serif" w:hAnsi="Times New Roman;serif"/>
          <w:b w:val="false"/>
          <w:color w:val="000000"/>
          <w:sz w:val="18"/>
        </w:rPr>
      </w:pPr>
      <w:r>
        <w:rPr>
          <w:rFonts w:ascii="Times New Roman;serif" w:hAnsi="Times New Roman;serif"/>
          <w:b w:val="false"/>
          <w:color w:val="000000"/>
          <w:sz w:val="18"/>
        </w:rPr>
        <w:t>(c)    Notwithstanding the foregoing, the Company does not make any representation to the Recipient that the shares of Restricted Stock awarded pursuant to this Agreement are exempt from, or satisfy, the requirements of Section 409A, and the Company shall have no liability or other obligation to indemnify or hold harmless the Recipient or any Beneficiary for any tax, additional tax, interest or penalties that the Recipient or any Beneficiary may incur in the event that any provision of this Agreement, or any amendment or modification thereof or any other action taken with respect thereto is deemed to violate any of the requirements of Section 409A.</w:t>
      </w:r>
    </w:p>
    <w:p>
      <w:pPr>
        <w:pStyle w:val="TextBody"/>
        <w:bidi w:val="0"/>
        <w:spacing w:lineRule="auto" w:line="288" w:before="240" w:after="240"/>
        <w:ind w:left="0" w:right="0" w:firstLine="720"/>
        <w:jc w:val="both"/>
        <w:rPr/>
      </w:pPr>
      <w:r>
        <w:rPr>
          <w:rFonts w:ascii="Times New Roman;serif" w:hAnsi="Times New Roman;serif"/>
          <w:b/>
          <w:color w:val="000000"/>
          <w:sz w:val="18"/>
        </w:rPr>
        <w:t>19.    </w:t>
      </w:r>
      <w:r>
        <w:rPr>
          <w:rFonts w:ascii="Times New Roman;serif" w:hAnsi="Times New Roman;serif"/>
          <w:b/>
          <w:color w:val="000000"/>
          <w:sz w:val="18"/>
          <w:u w:val="single"/>
        </w:rPr>
        <w:t>Clawback of Benefits</w:t>
      </w:r>
      <w:r>
        <w:rPr>
          <w:rFonts w:ascii="Times New Roman;serif" w:hAnsi="Times New Roman;serif"/>
          <w:b/>
          <w:color w:val="000000"/>
          <w:sz w:val="18"/>
        </w:rPr>
        <w:t>.</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18"/>
        </w:rPr>
        <w:t>(a)    The Company may (i) cause the cancellation of the shares of Restricted Stock subject to this Agreement, (ii) require reimbursement of the shares of Restricted Stock subject to this Agreement by the Recipient or Beneficiary, and (iii) effect any other right of recoupment of equity or other compensation provided under the Plan or this Agreement or otherwise in accordance with any Company policies that currently exist or that may from time to time be adopted or modified in the future by the Company and/or applicable law, including, without limitation the Recoupment Policy adopted by the Committee as in effect on the Date of Grant designated in the Notice and as amended from time to time (each, a “Clawback Policy”). In addition, the Recipient may be required to repay to the Company certain previously paid compensation, whether provided under the Plan or this Agreement or otherwise, in accordance with any Clawback Policy. By accepting the shares of Restricted Stock subject to this Agreement, the Recipient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Recipient’s Award Agreements (and/or awards issued under the Prior Plans) may be unilaterally amended by the Company, without the Recipient’s consent, to the extent that the Company in its discretion determines to be necessary or appropriate to comply with any Clawback Policy.</w:t>
      </w:r>
    </w:p>
    <w:p>
      <w:pPr>
        <w:pStyle w:val="TextBody"/>
        <w:bidi w:val="0"/>
        <w:spacing w:lineRule="auto" w:line="288" w:before="240" w:after="240"/>
        <w:ind w:left="0" w:right="0" w:firstLine="720"/>
        <w:jc w:val="both"/>
        <w:rPr>
          <w:color w:val="000000"/>
        </w:rPr>
      </w:pPr>
      <w:r>
        <w:rPr>
          <w:color w:val="000000"/>
        </w:rPr>
        <w:t>    </w:t>
      </w:r>
      <w:r>
        <w:rPr>
          <w:rFonts w:ascii="Times New Roman;serif" w:hAnsi="Times New Roman;serif"/>
          <w:b w:val="false"/>
          <w:color w:val="000000"/>
          <w:sz w:val="18"/>
        </w:rPr>
        <w:t>(b)    If the Recipient,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shares of Restricted Stock subject to this Agreement may, at the Committee’s discretion, be canceled and (ii) the Committee, in its discretion, may require the Recipient or other person to whom any payment has been made or Shares or other property have been transferred in connection with the shares of Restricted Stock subject to this Agreement to forfeit and pay over to the Company, on demand, all or any portion of the value realized (whether or not taxable) on the vesting or payment of any shares of Restricted Stock subject to this Agreement during the time period specified in this Agreement or otherwise specified by the Committee.</w:t>
      </w:r>
    </w:p>
    <w:p>
      <w:pPr>
        <w:pStyle w:val="TextBody"/>
        <w:bidi w:val="0"/>
        <w:spacing w:lineRule="auto" w:line="288" w:before="240" w:after="240"/>
        <w:ind w:left="0" w:right="0" w:firstLine="720"/>
        <w:jc w:val="both"/>
        <w:rPr/>
      </w:pPr>
      <w:r>
        <w:rPr>
          <w:rFonts w:ascii="Times New Roman;serif" w:hAnsi="Times New Roman;serif"/>
          <w:b/>
          <w:color w:val="000000"/>
          <w:sz w:val="18"/>
        </w:rPr>
        <w:t>20.    </w:t>
      </w:r>
      <w:r>
        <w:rPr>
          <w:rFonts w:ascii="Times New Roman;serif" w:hAnsi="Times New Roman;serif"/>
          <w:b/>
          <w:color w:val="000000"/>
          <w:sz w:val="18"/>
          <w:u w:val="single"/>
        </w:rPr>
        <w:t>Non-Waiver of Breach</w:t>
      </w:r>
      <w:r>
        <w:rPr>
          <w:rFonts w:ascii="Times New Roman;serif" w:hAnsi="Times New Roman;serif"/>
          <w:b w:val="false"/>
          <w:color w:val="000000"/>
          <w:sz w:val="18"/>
        </w:rPr>
        <w:t xml:space="preserve">. The waiver by any party hereto of the other party's prompt and complete performance, or breach or violation, 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10.20</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60705"/>
                <wp:effectExtent l="0" t="0" r="0" b="0"/>
                <wp:wrapNone/>
                <wp:docPr id="119" name="Frame1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6</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6</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18"/>
        </w:rPr>
      </w:pPr>
      <w:r>
        <w:rPr>
          <w:rFonts w:ascii="Times New Roman;serif" w:hAnsi="Times New Roman;serif"/>
          <w:b w:val="false"/>
          <w:color w:val="000000"/>
          <w:sz w:val="18"/>
        </w:rPr>
        <w:t>remedy by such party, or as a bar to the exercise of such right or remedy by such party, upon the occurrence of any subsequent breach or violation.</w:t>
      </w:r>
    </w:p>
    <w:p>
      <w:pPr>
        <w:pStyle w:val="TextBody"/>
        <w:bidi w:val="0"/>
        <w:spacing w:lineRule="auto" w:line="288" w:before="240" w:after="240"/>
        <w:ind w:left="0" w:right="0" w:firstLine="720"/>
        <w:jc w:val="both"/>
        <w:rPr/>
      </w:pPr>
      <w:r>
        <w:rPr>
          <w:rFonts w:ascii="Times New Roman;serif" w:hAnsi="Times New Roman;serif"/>
          <w:b/>
          <w:color w:val="000000"/>
          <w:sz w:val="18"/>
        </w:rPr>
        <w:t>21.    </w:t>
      </w:r>
      <w:r>
        <w:rPr>
          <w:rFonts w:ascii="Times New Roman;serif" w:hAnsi="Times New Roman;serif"/>
          <w:b/>
          <w:color w:val="000000"/>
          <w:sz w:val="18"/>
          <w:u w:val="single"/>
        </w:rPr>
        <w:t>Counterparts</w:t>
      </w:r>
      <w:r>
        <w:rPr>
          <w:rFonts w:ascii="Times New Roman;serif" w:hAnsi="Times New Roman;serif"/>
          <w:b w:val="false"/>
          <w:color w:val="000000"/>
          <w:sz w:val="18"/>
        </w:rPr>
        <w:t>. This Agreement may be executed in one or more counterparts, each of which shall be deemed to be an original but all of which together shall constitute one and the same instrument and agreement.</w:t>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10.20</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60705"/>
                <wp:effectExtent l="0" t="0" r="0" b="0"/>
                <wp:wrapNone/>
                <wp:docPr id="120" name="Frame1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7</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7</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18"/>
        </w:rPr>
        <w:t>IN WITNESS WHEREOF</w:t>
      </w:r>
      <w:r>
        <w:rPr>
          <w:rFonts w:ascii="Times New Roman;serif" w:hAnsi="Times New Roman;serif"/>
          <w:b w:val="false"/>
          <w:color w:val="000000"/>
          <w:sz w:val="18"/>
        </w:rPr>
        <w:t>, the parties have executed this Agreement on this _____ day of ________, ________.</w: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MASTEC, INC.</w:t>
      </w:r>
    </w:p>
    <w:p>
      <w:pPr>
        <w:pStyle w:val="TextBody"/>
        <w:bidi w:val="0"/>
        <w:spacing w:lineRule="auto" w:line="288" w:before="0" w:after="720"/>
        <w:jc w:val="both"/>
        <w:rPr/>
      </w:pPr>
      <w:r>
        <w:rPr>
          <w:rFonts w:ascii="Times New Roman;serif" w:hAnsi="Times New Roman;serif"/>
          <w:b w:val="false"/>
          <w:color w:val="000000"/>
          <w:sz w:val="18"/>
        </w:rPr>
        <w:t>By:</w:t>
      </w:r>
      <w:r>
        <w:rPr>
          <w:color w:val="000000"/>
          <w:u w:val="single"/>
        </w:rPr>
        <w:t>        </w:t>
      </w:r>
      <w:r>
        <w:rPr>
          <w:rFonts w:ascii="Times New Roman;serif" w:hAnsi="Times New Roman;serif"/>
          <w:b w:val="false"/>
          <w:color w:val="000000"/>
          <w:sz w:val="18"/>
        </w:rPr>
        <w:br/>
        <w:t>Its:</w:t>
      </w:r>
      <w:r>
        <w:rPr>
          <w:color w:val="000000"/>
          <w:u w:val="single"/>
        </w:rPr>
        <w:t xml:space="preserve">         </w:t>
      </w:r>
    </w:p>
    <w:p>
      <w:pPr>
        <w:pStyle w:val="TextBody"/>
        <w:bidi w:val="0"/>
        <w:spacing w:lineRule="auto" w:line="288" w:before="0" w:after="720"/>
        <w:jc w:val="both"/>
        <w:rPr/>
      </w:pPr>
      <w:r>
        <w:rPr>
          <w:rFonts w:ascii="Times New Roman;serif" w:hAnsi="Times New Roman;serif"/>
          <w:b w:val="false"/>
          <w:color w:val="000000"/>
          <w:sz w:val="18"/>
          <w:u w:val="single"/>
        </w:rPr>
        <w:t>[</w:t>
      </w:r>
      <w:r>
        <w:rPr>
          <w:rFonts w:ascii="Times New Roman;serif" w:hAnsi="Times New Roman;serif"/>
          <w:b w:val="false"/>
          <w:color w:val="000000"/>
          <w:sz w:val="18"/>
        </w:rPr>
        <w:t>NAME OF RECIPIENT</w:t>
      </w:r>
      <w:r>
        <w:rPr>
          <w:rFonts w:ascii="Times New Roman;serif" w:hAnsi="Times New Roman;serif"/>
          <w:b w:val="false"/>
          <w:color w:val="000000"/>
          <w:sz w:val="18"/>
          <w:u w:val="single"/>
        </w:rPr>
        <w:t>]</w:t>
      </w:r>
    </w:p>
    <w:p>
      <w:pPr>
        <w:pStyle w:val="TextBody"/>
        <w:bidi w:val="0"/>
        <w:spacing w:lineRule="auto" w:line="288" w:before="0" w:after="480"/>
        <w:jc w:val="both"/>
        <w:rPr/>
      </w:pPr>
      <w:r>
        <w:rPr>
          <w:color w:val="000000"/>
          <w:u w:val="single"/>
        </w:rPr>
        <w:t>        </w:t>
      </w:r>
      <w:r>
        <w:rPr>
          <w:rFonts w:ascii="Times New Roman;serif" w:hAnsi="Times New Roman;serif"/>
          <w:b w:val="false"/>
          <w:color w:val="000000"/>
          <w:sz w:val="18"/>
        </w:rPr>
        <w:br/>
        <w:t>Signature</w:t>
      </w:r>
    </w:p>
    <w:p>
      <w:pPr>
        <w:pStyle w:val="TextBody"/>
        <w:bidi w:val="0"/>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60705"/>
                <wp:effectExtent l="0" t="0" r="0" b="0"/>
                <wp:wrapNone/>
                <wp:docPr id="121" name="Frame1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8</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8</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 xml:space="preserve">Exhibit 21.1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SUBSIDIARIES OF 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December 31, 2025</w:t>
      </w:r>
    </w:p>
    <w:p>
      <w:pPr>
        <w:pStyle w:val="TextBody"/>
        <w:bidi w:val="0"/>
        <w:spacing w:lineRule="auto" w:line="288" w:before="240" w:after="240"/>
        <w:jc w:val="both"/>
        <w:rPr>
          <w:rFonts w:ascii="Times New Roman;serif" w:hAnsi="Times New Roman;serif"/>
          <w:b w:val="false"/>
          <w:color w:val="000000"/>
          <w:sz w:val="18"/>
        </w:rPr>
      </w:pPr>
      <w:r>
        <w:rPr>
          <w:rFonts w:ascii="Times New Roman;serif" w:hAnsi="Times New Roman;serif"/>
          <w:b w:val="false"/>
          <w:color w:val="000000"/>
          <w:sz w:val="18"/>
        </w:rPr>
        <w:t>Following is a listing of subsidiaries of MasTec, Inc., which includes the name of the subsidiary, as well as any name under which the subsidiary does business (in italics), and the subsidiary's related jurisdiction of incorporation or organization. Certain subsidiaries have been omitted given that such subsidiaries, individually or in the aggregate, would not constitute a significant subsidiary.</w:t>
      </w:r>
    </w:p>
    <w:tbl>
      <w:tblPr>
        <w:tblW w:w="4754" w:type="dxa"/>
        <w:jc w:val="center"/>
        <w:tblInd w:w="0" w:type="dxa"/>
        <w:tblLayout w:type="fixed"/>
        <w:tblCellMar>
          <w:top w:w="28" w:type="dxa"/>
          <w:left w:w="28" w:type="dxa"/>
          <w:bottom w:w="28" w:type="dxa"/>
          <w:right w:w="28" w:type="dxa"/>
        </w:tblCellMar>
      </w:tblPr>
      <w:tblGrid>
        <w:gridCol w:w="1242"/>
        <w:gridCol w:w="1094"/>
        <w:gridCol w:w="1099"/>
        <w:gridCol w:w="386"/>
        <w:gridCol w:w="386"/>
        <w:gridCol w:w="547"/>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A-1 Excavating,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Wisconsin</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A-1 Express Trucking,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Wisconsin</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A1 Traffic Control &amp; Safety,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Colorado</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Acietel Mexicana, S.A.</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Aidco de Mexico, S.A. de C.V.</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American Civil Constructors West Coast,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California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American Civil Constructors, LLC</w:t>
            </w:r>
          </w:p>
          <w:p>
            <w:pPr>
              <w:pStyle w:val="TableContents"/>
              <w:bidi w:val="0"/>
              <w:spacing w:lineRule="auto" w:line="268" w:before="0" w:after="0"/>
              <w:jc w:val="left"/>
              <w:rPr/>
            </w:pPr>
            <w:r>
              <w:rPr>
                <w:color w:val="000000"/>
              </w:rPr>
              <w:t>     </w:t>
            </w:r>
            <w:r>
              <w:rPr>
                <w:rFonts w:ascii="Times New Roman;serif" w:hAnsi="Times New Roman;serif"/>
                <w:b w:val="false"/>
                <w:i/>
                <w:color w:val="000000"/>
                <w:sz w:val="18"/>
              </w:rPr>
              <w:t>ACC Mountain West</w:t>
            </w:r>
          </w:p>
          <w:p>
            <w:pPr>
              <w:pStyle w:val="TableContents"/>
              <w:bidi w:val="0"/>
              <w:spacing w:before="0" w:after="0"/>
              <w:jc w:val="left"/>
              <w:rPr/>
            </w:pPr>
            <w:r>
              <w:rPr/>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Colorado</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Bakken Aggregates,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Arizona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Belividere Stone,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Illinois</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Bianchi Electric,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Biggs Construction Company, Inc.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Virginia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BLDM – Precision,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Puerto Rico</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Bottom Line Services,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Broadband Access Services, Inc.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New Hampshire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Byers Engineering Company</w:t>
            </w:r>
          </w:p>
          <w:p>
            <w:pPr>
              <w:pStyle w:val="TableContents"/>
              <w:bidi w:val="0"/>
              <w:spacing w:lineRule="auto" w:line="268" w:before="0" w:after="0"/>
              <w:jc w:val="left"/>
              <w:rPr/>
            </w:pPr>
            <w:r>
              <w:rPr>
                <w:color w:val="000000"/>
              </w:rPr>
              <w:t>     </w:t>
            </w:r>
            <w:r>
              <w:rPr>
                <w:rFonts w:ascii="Times New Roman;serif" w:hAnsi="Times New Roman;serif"/>
                <w:b w:val="false"/>
                <w:i/>
                <w:color w:val="000000"/>
                <w:sz w:val="18"/>
              </w:rPr>
              <w:t>Byers Technical Services, Inc.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Georgia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C&amp;T Insurance Company</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Vermont</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Casey Industrial, Inc.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Oregon</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Cash Construction Company, Inc.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CCM Investment Holding Co.</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CE&amp;I Services,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Church &amp; Tower, Inc.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CIDE Engenharia, Ltda.</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Brazil</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CJ 320,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Arizona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Condotte – Ryan JV</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Condotte America Industrial Properties,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Condotte America Properties,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Condotte de Moya JV</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Confluence Networks,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Construction Solutions I,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Construction Solutions II,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Decisive Communications, Inc.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Maryland</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DPK,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East State Stone,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EC Source Services,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ECS West,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Energy Erectors, Inc.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009" w:type="dxa"/>
        <w:jc w:val="center"/>
        <w:tblInd w:w="0" w:type="dxa"/>
        <w:tblLayout w:type="fixed"/>
        <w:tblCellMar>
          <w:top w:w="28" w:type="dxa"/>
          <w:left w:w="28" w:type="dxa"/>
          <w:bottom w:w="28" w:type="dxa"/>
          <w:right w:w="28" w:type="dxa"/>
        </w:tblCellMar>
      </w:tblPr>
      <w:tblGrid>
        <w:gridCol w:w="1256"/>
        <w:gridCol w:w="1103"/>
        <w:gridCol w:w="1106"/>
        <w:gridCol w:w="544"/>
        <w:gridCol w:w="410"/>
        <w:gridCol w:w="590"/>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Environmental and Dewatering Solutions,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Environmental Contractors,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Illinois</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Florence 80,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Arizona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FNF Construction, Inc.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Arizona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FNF New Mexico,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New Mexico</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Foothills Energy Services, Inc.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Colorado</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Forest City Logistics,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GGI Constructors JV</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H&amp;M Shared Services, Inc.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Pennsylvania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H.B. White Canada Corp.</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Hanging H Companies,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Colorado</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Henkels &amp; McCoy Holdings, Inc.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Pennsylvania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Henkels &amp; McCoy West,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Henkels &amp; McCoy, Inc.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Pennsylvania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HMSS Realty Co.,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Pennsylvania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IEA Constructors,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Wisconsin</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IEA Energy Services,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IEA Engineering North Carolina,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North Carolina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IEA Engineering,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Michigan</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IEA Equipment Management,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IEA Intermediate Holdco,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IEA Management Services, Inc.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Illinois CCDD Operating Co.,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Illinois</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 and Energy Alternatives, Inc.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 Development Holdings, Inc.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Arizona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 Holdings Corporation</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Intren West,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Intren, LLC</w:t>
            </w:r>
          </w:p>
          <w:p>
            <w:pPr>
              <w:pStyle w:val="TableContents"/>
              <w:bidi w:val="0"/>
              <w:spacing w:lineRule="auto" w:line="268" w:before="0" w:after="0"/>
              <w:jc w:val="left"/>
              <w:rPr/>
            </w:pPr>
            <w:r>
              <w:rPr>
                <w:color w:val="000000"/>
              </w:rPr>
              <w:t>     </w:t>
            </w:r>
            <w:r>
              <w:rPr>
                <w:rFonts w:ascii="Times New Roman;serif" w:hAnsi="Times New Roman;serif"/>
                <w:b w:val="false"/>
                <w:i/>
                <w:color w:val="000000"/>
                <w:sz w:val="18"/>
              </w:rPr>
              <w:t>L2 Construction Management Solutions</w:t>
            </w:r>
          </w:p>
          <w:p>
            <w:pPr>
              <w:pStyle w:val="TableContents"/>
              <w:bidi w:val="0"/>
              <w:spacing w:lineRule="auto" w:line="268" w:before="0" w:after="0"/>
              <w:jc w:val="left"/>
              <w:rPr/>
            </w:pPr>
            <w:r>
              <w:rPr>
                <w:color w:val="000000"/>
              </w:rPr>
              <w:t>     </w:t>
            </w:r>
            <w:r>
              <w:rPr>
                <w:rFonts w:ascii="Times New Roman;serif" w:hAnsi="Times New Roman;serif"/>
                <w:b w:val="false"/>
                <w:i/>
                <w:color w:val="000000"/>
                <w:sz w:val="18"/>
              </w:rPr>
              <w:t>Trench-It</w:t>
            </w:r>
            <w:r>
              <w:rPr>
                <w:color w:val="000000"/>
              </w:rPr>
              <w:t xml:space="preserve"> </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Illinois</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John's Stone,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Johnston Quarry Holdings,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JRD Texas, LLC</w:t>
            </w:r>
          </w:p>
          <w:p>
            <w:pPr>
              <w:pStyle w:val="TableContents"/>
              <w:bidi w:val="0"/>
              <w:spacing w:lineRule="auto" w:line="268" w:before="0" w:after="0"/>
              <w:jc w:val="left"/>
              <w:rPr/>
            </w:pPr>
            <w:r>
              <w:rPr>
                <w:color w:val="000000"/>
              </w:rPr>
              <w:t>     </w:t>
            </w:r>
            <w:r>
              <w:rPr>
                <w:rFonts w:ascii="Times New Roman;serif" w:hAnsi="Times New Roman;serif"/>
                <w:b w:val="false"/>
                <w:i/>
                <w:color w:val="000000"/>
                <w:sz w:val="18"/>
              </w:rPr>
              <w:t>Maslonka Powerline Services</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Kingsley Constructors, Inc.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Lemartec Corporation</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Lemartec PR Corporation</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Puerto Rico</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Lemartec USVI, Inc.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U.S. Virgin Islands</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Masco Energy Holdings,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MasCo PR,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Puerto Rico</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Brasil S/A</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Brazil</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Brazil I, Inc.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Brazil II, Inc.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Canadian Holdco, Inc.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Caribbean KY, Ltd</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Caymans</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Caribbean PR, LLC</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Puerto Rico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89" w:type="dxa"/>
        <w:jc w:val="center"/>
        <w:tblInd w:w="0" w:type="dxa"/>
        <w:tblLayout w:type="fixed"/>
        <w:tblCellMar>
          <w:top w:w="28" w:type="dxa"/>
          <w:left w:w="28" w:type="dxa"/>
          <w:bottom w:w="28" w:type="dxa"/>
          <w:right w:w="28" w:type="dxa"/>
        </w:tblCellMar>
      </w:tblPr>
      <w:tblGrid>
        <w:gridCol w:w="1519"/>
        <w:gridCol w:w="1337"/>
        <w:gridCol w:w="1344"/>
        <w:gridCol w:w="288"/>
        <w:gridCol w:w="288"/>
        <w:gridCol w:w="413"/>
      </w:tblGrid>
      <w:tr>
        <w:trPr/>
        <w:tc>
          <w:tcPr>
            <w:tcW w:w="151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Civil Constructors,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MasTec Civil, LLC</w:t>
            </w:r>
          </w:p>
          <w:p>
            <w:pPr>
              <w:pStyle w:val="TableContents"/>
              <w:bidi w:val="0"/>
              <w:spacing w:lineRule="auto" w:line="268" w:before="0" w:after="0"/>
              <w:jc w:val="left"/>
              <w:rPr/>
            </w:pPr>
            <w:r>
              <w:rPr>
                <w:color w:val="000000"/>
              </w:rPr>
              <w:t>     </w:t>
            </w:r>
            <w:r>
              <w:rPr>
                <w:rFonts w:ascii="Times New Roman;serif" w:hAnsi="Times New Roman;serif"/>
                <w:b w:val="false"/>
                <w:i/>
                <w:color w:val="000000"/>
                <w:sz w:val="18"/>
              </w:rPr>
              <w:t>Condotte America,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Comanche,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Condotte Holdings,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Engineering Corp.</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Michigan</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ETS Service Company,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MasTec EV Solutions, LLC </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Foreign Holdings,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India Holdings,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MasTec Industrial Corp.</w:t>
            </w:r>
          </w:p>
          <w:p>
            <w:pPr>
              <w:pStyle w:val="TableContents"/>
              <w:bidi w:val="0"/>
              <w:spacing w:lineRule="auto" w:line="268" w:before="0" w:after="0"/>
              <w:jc w:val="left"/>
              <w:rPr/>
            </w:pPr>
            <w:r>
              <w:rPr>
                <w:color w:val="000000"/>
              </w:rPr>
              <w:t>     </w:t>
            </w:r>
            <w:r>
              <w:rPr>
                <w:rFonts w:ascii="Times New Roman;serif" w:hAnsi="Times New Roman;serif"/>
                <w:b w:val="false"/>
                <w:i/>
                <w:color w:val="000000"/>
                <w:sz w:val="18"/>
              </w:rPr>
              <w:t>MasTec Power Corp.</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Infraestructuras de Mexico, S. de R.L. de C.V.</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Infrastructure Holdings,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International,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Latin America Holdings,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Latin America, Inc.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Mexico Foreign Holdings,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MasTec Mexico Holding Company, LLC</w:t>
            </w:r>
          </w:p>
          <w:p>
            <w:pPr>
              <w:pStyle w:val="TableContents"/>
              <w:bidi w:val="0"/>
              <w:spacing w:lineRule="auto" w:line="268" w:before="0" w:after="0"/>
              <w:jc w:val="left"/>
              <w:rPr/>
            </w:pPr>
            <w:r>
              <w:rPr>
                <w:color w:val="000000"/>
              </w:rPr>
              <w:t>     </w:t>
            </w:r>
            <w:r>
              <w:rPr>
                <w:rFonts w:ascii="Times New Roman;serif" w:hAnsi="Times New Roman;serif"/>
                <w:b w:val="false"/>
                <w:i/>
                <w:color w:val="000000"/>
                <w:sz w:val="18"/>
              </w:rPr>
              <w:t>MasTec Crane &amp; Equipment Services, Inc.</w:t>
            </w:r>
          </w:p>
          <w:p>
            <w:pPr>
              <w:pStyle w:val="TableContents"/>
              <w:bidi w:val="0"/>
              <w:spacing w:lineRule="auto" w:line="268" w:before="0" w:after="0"/>
              <w:jc w:val="left"/>
              <w:rPr/>
            </w:pPr>
            <w:r>
              <w:rPr>
                <w:color w:val="000000"/>
              </w:rPr>
              <w:t>     </w:t>
            </w:r>
            <w:r>
              <w:rPr>
                <w:rFonts w:ascii="Times New Roman;serif" w:hAnsi="Times New Roman;serif"/>
                <w:b w:val="false"/>
                <w:i/>
                <w:color w:val="000000"/>
                <w:sz w:val="18"/>
              </w:rPr>
              <w:t>MasTec Mexico Holding Company, Inc.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Network Services Colombia S.A.S.</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Colombia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Network Solutions Puerto Rico, Inc.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Puerto Rico</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Network Solutions, Inc.</w:t>
              <w:br/>
              <w:t>     Nsoro MasTec, Inc.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MasTec Network Solutions, LLC</w:t>
            </w:r>
          </w:p>
          <w:p>
            <w:pPr>
              <w:pStyle w:val="TableContents"/>
              <w:bidi w:val="0"/>
              <w:spacing w:lineRule="auto" w:line="268" w:before="0" w:after="0"/>
              <w:jc w:val="left"/>
              <w:rPr/>
            </w:pPr>
            <w:r>
              <w:rPr>
                <w:color w:val="000000"/>
              </w:rPr>
              <w:t>     </w:t>
            </w:r>
            <w:r>
              <w:rPr>
                <w:rFonts w:ascii="Times New Roman;serif" w:hAnsi="Times New Roman;serif"/>
                <w:b w:val="false"/>
                <w:i/>
                <w:color w:val="000000"/>
                <w:sz w:val="18"/>
              </w:rPr>
              <w:t>Nsoro Acquisition, LLC</w:t>
            </w:r>
          </w:p>
          <w:p>
            <w:pPr>
              <w:pStyle w:val="TableContents"/>
              <w:bidi w:val="0"/>
              <w:spacing w:lineRule="auto" w:line="268" w:before="0" w:after="0"/>
              <w:jc w:val="left"/>
              <w:rPr>
                <w:color w:val="000000"/>
              </w:rPr>
            </w:pPr>
            <w:r>
              <w:rPr>
                <w:color w:val="000000"/>
              </w:rPr>
              <w:t>     </w:t>
            </w:r>
            <w:r>
              <w:rPr>
                <w:rFonts w:ascii="Times New Roman;serif" w:hAnsi="Times New Roman;serif"/>
                <w:b w:val="false"/>
                <w:i/>
                <w:color w:val="000000"/>
                <w:sz w:val="18"/>
              </w:rPr>
              <w:t>Nsoro MasTec,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North America, Inc.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Nsoro Procurement Company,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Participacoes Do Brasil LTDA</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Brazil</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Philippines,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Pipeline Argentina,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Pipeline Holdings,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Precision,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Puerto Rico</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Property Holdings,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Nevada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MasTec Puerto Rico Engineering Services Holding, LLP </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Puerto Rico Holdings,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Puerto Rico</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Purnell Canada, Inc.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Quadgen Wireless, LLP</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India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Renewables Construction Company, Inc.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Renewables Puerto Rico,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Puerto Rico</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MasTec Services Company, Inc.</w:t>
            </w:r>
          </w:p>
          <w:p>
            <w:pPr>
              <w:pStyle w:val="TableContents"/>
              <w:bidi w:val="0"/>
              <w:spacing w:lineRule="auto" w:line="268" w:before="0" w:after="0"/>
              <w:jc w:val="left"/>
              <w:rPr/>
            </w:pPr>
            <w:r>
              <w:rPr>
                <w:color w:val="000000"/>
              </w:rPr>
              <w:t>     </w:t>
            </w:r>
            <w:r>
              <w:rPr>
                <w:rFonts w:ascii="Times New Roman;serif" w:hAnsi="Times New Roman;serif"/>
                <w:b w:val="false"/>
                <w:i/>
                <w:color w:val="000000"/>
                <w:sz w:val="18"/>
              </w:rPr>
              <w:t>Central America Construction, Inc.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Servicios Publicos Soterrados, S. de R. L.</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Panama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Solutions Puerto Rico, LLC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Puerto Rico</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Spain, Inc.</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606" w:type="dxa"/>
        <w:jc w:val="center"/>
        <w:tblInd w:w="0" w:type="dxa"/>
        <w:tblLayout w:type="fixed"/>
        <w:tblCellMar>
          <w:top w:w="28" w:type="dxa"/>
          <w:left w:w="28" w:type="dxa"/>
          <w:bottom w:w="28" w:type="dxa"/>
          <w:right w:w="28" w:type="dxa"/>
        </w:tblCellMar>
      </w:tblPr>
      <w:tblGrid>
        <w:gridCol w:w="1271"/>
        <w:gridCol w:w="1117"/>
        <w:gridCol w:w="1122"/>
        <w:gridCol w:w="319"/>
        <w:gridCol w:w="319"/>
        <w:gridCol w:w="458"/>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TPP,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Utility Services,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Venezuela, Inc.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MasTec West,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MasTec Wireless Services, LLC</w:t>
            </w:r>
          </w:p>
          <w:p>
            <w:pPr>
              <w:pStyle w:val="TableContents"/>
              <w:bidi w:val="0"/>
              <w:spacing w:lineRule="auto" w:line="268" w:before="0" w:after="0"/>
              <w:jc w:val="left"/>
              <w:rPr/>
            </w:pPr>
            <w:r>
              <w:rPr>
                <w:color w:val="000000"/>
              </w:rPr>
              <w:t>     </w:t>
            </w:r>
            <w:r>
              <w:rPr>
                <w:rFonts w:ascii="Times New Roman;serif" w:hAnsi="Times New Roman;serif"/>
                <w:b w:val="false"/>
                <w:i/>
                <w:color w:val="000000"/>
                <w:sz w:val="18"/>
              </w:rPr>
              <w:t>MasTec North America AC, LLC</w:t>
            </w:r>
          </w:p>
          <w:p>
            <w:pPr>
              <w:pStyle w:val="TableContents"/>
              <w:bidi w:val="0"/>
              <w:spacing w:lineRule="auto" w:line="268" w:before="0" w:after="0"/>
              <w:jc w:val="left"/>
              <w:rPr>
                <w:color w:val="000000"/>
              </w:rPr>
            </w:pPr>
            <w:r>
              <w:rPr>
                <w:color w:val="000000"/>
              </w:rPr>
              <w:t>     </w:t>
            </w:r>
            <w:r>
              <w:rPr>
                <w:rFonts w:ascii="Times New Roman;serif" w:hAnsi="Times New Roman;serif"/>
                <w:b w:val="false"/>
                <w:i/>
                <w:color w:val="000000"/>
                <w:sz w:val="18"/>
              </w:rPr>
              <w:t>Nsoro Construction Services,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MBS Investors,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Pennsylvania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MCC Investment and Holdings,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Meadow Valley Trucking, Inc.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Nevada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MNS South,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MP Drilling Holdings,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MSTEC Enterprises Mexico</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MTCO Energias de Mexico, S. de R.L. de C.V.</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MTZ Energias S. de R.L. de C.V.</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MTZ Enterprises, S. de R.L. de C.V.</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MTZ Purnell, Inc.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Mulford Stone,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NALL Communications,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Washington</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New A-1 Express,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New A-1 Power,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Wisconsin</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New Stout Excavating Group Texas,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New Stout Excavating Group,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Wisconsin</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Nsoro MasTec India Private, Ltd.</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India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Nsoro MasTec International, Inc.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Nevada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NV2A Bahamas,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Bahamas</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NV2A Construction,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NV2A Group, LLC </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NV2A Infrastructure,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Phoenix Industrial, Inc.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Washington</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Porter Brothers,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Illinois</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Porter's Stone,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PPMASI Klamath I, LLC </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Precision Acquisition,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Wisconsin</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Precision Aggregate Products,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Nevada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Precision Dewatering,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Precision Engineering Solutions,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Precision Fabrication Services,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Precision Infrastructure,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Precision Pipeline,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Wisconsin</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Precision Transport Company,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Wisconsin</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Precision West,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Pretec Directional Drilling, LLC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Pumpco, Inc.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Quadgen Wireless Solutions, Inc.</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693" w:type="dxa"/>
        <w:jc w:val="center"/>
        <w:tblInd w:w="0" w:type="dxa"/>
        <w:tblLayout w:type="fixed"/>
        <w:tblCellMar>
          <w:top w:w="28" w:type="dxa"/>
          <w:left w:w="28" w:type="dxa"/>
          <w:bottom w:w="28" w:type="dxa"/>
          <w:right w:w="28" w:type="dxa"/>
        </w:tblCellMar>
      </w:tblPr>
      <w:tblGrid>
        <w:gridCol w:w="1220"/>
        <w:gridCol w:w="1072"/>
        <w:gridCol w:w="1082"/>
        <w:gridCol w:w="385"/>
        <w:gridCol w:w="385"/>
        <w:gridCol w:w="549"/>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R&amp;J Leasing, Inc.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New Hampshire</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R.J. Carroll Company,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Ragnar Benson,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Illinois</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Rhino Cable Services, Inc.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Pennsylvania</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Rockford Blacktop Construction Co.,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Illinois</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Saiia Construction Company,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Saiia Holdings,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SEFNCO Communications, Inc.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Washington</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Sequoia Utility Services, LLC </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Shade Tree Service Company</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Missouri</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Stout Construction,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Wisconsin</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Stout Trucking, LLC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Wisconsin</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Structors, Inc.</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Illinois</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Support Operations Services, LLC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 Holdings, LLC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 &amp; D Power, Inc.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Nevada</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Thornton 40, LLC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Arizona</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Phase Line Construction, Inc.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Hampshire</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Three-Way 28, LLC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Arizona</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Union Real Estate, LLC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Illinois</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Services Group West, LLC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Florida</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Wanzek Construction, Inc.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Dakota</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White Construction Energy Services, LLC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White Construction, LLC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Indiana</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William Charles Construction Company, LLC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Illinois</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William Charles Electric, LLC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William Charles Purchasing, Inc.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Illinois</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William Charles, Inc.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Nevada</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WYCO Field Services, LLC</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Wyoming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18"/>
        </w:rPr>
      </w:pPr>
      <w:r>
        <w:rPr>
          <w:rFonts w:ascii="Times New Roman;serif" w:hAnsi="Times New Roman;serif"/>
          <w:b/>
          <w:color w:val="000000"/>
          <w:sz w:val="18"/>
        </w:rPr>
        <w:t>Exhibit 23.1</w:t>
      </w:r>
    </w:p>
    <w:p>
      <w:pPr>
        <w:pStyle w:val="TextBody"/>
        <w:bidi w:val="0"/>
        <w:spacing w:lineRule="auto" w:line="288" w:before="480" w:after="240"/>
        <w:jc w:val="center"/>
        <w:rPr>
          <w:rFonts w:ascii="Times New Roman;serif" w:hAnsi="Times New Roman;serif"/>
          <w:b/>
          <w:color w:val="000000"/>
          <w:sz w:val="18"/>
        </w:rPr>
      </w:pPr>
      <w:r>
        <w:rPr>
          <w:rFonts w:ascii="Times New Roman;serif" w:hAnsi="Times New Roman;serif"/>
          <w:b/>
          <w:color w:val="000000"/>
          <w:sz w:val="18"/>
        </w:rPr>
        <w:t>Consent of Independent Registered Public Accounting Firm</w:t>
      </w:r>
    </w:p>
    <w:p>
      <w:pPr>
        <w:pStyle w:val="TextBody"/>
        <w:bidi w:val="0"/>
        <w:spacing w:lineRule="auto" w:line="288" w:before="240" w:after="240"/>
        <w:jc w:val="both"/>
        <w:rPr>
          <w:rFonts w:ascii="Times New Roman;serif" w:hAnsi="Times New Roman;serif"/>
          <w:b w:val="false"/>
          <w:color w:val="000000"/>
          <w:sz w:val="18"/>
        </w:rPr>
      </w:pPr>
      <w:r>
        <w:rPr>
          <w:rFonts w:ascii="Times New Roman;serif" w:hAnsi="Times New Roman;serif"/>
          <w:b w:val="false"/>
          <w:color w:val="000000"/>
          <w:sz w:val="18"/>
        </w:rPr>
        <w:t>We hereby consent to the incorporation by reference in the Registration Statements on Form S-3 (No. 333-285425) and Form S-8 (Nos. 333-279907, 333-279906, 333-277593, 333-256905, 333-139996, 333-174922, 333-188974, 333-209061 and 033-55327) of MasTec, Inc. of our report dated February 29, 2024, except for Note 14, as to which the date is February 26, 2026, relating to the consolidated financial statements and financial statement schedule which appears in this Annual Report on Form 10-K.</w:t>
      </w:r>
    </w:p>
    <w:p>
      <w:pPr>
        <w:pStyle w:val="TextBody"/>
        <w:bidi w:val="0"/>
        <w:spacing w:lineRule="auto" w:line="288" w:before="240" w:after="120"/>
        <w:jc w:val="both"/>
        <w:rPr/>
      </w:pPr>
      <w:r>
        <w:rPr>
          <w:rFonts w:ascii="Times New Roman;serif" w:hAnsi="Times New Roman;serif"/>
          <w:b w:val="false"/>
          <w:color w:val="000000"/>
          <w:sz w:val="18"/>
        </w:rPr>
        <w:t xml:space="preserve">/s/ </w:t>
      </w:r>
      <w:r>
        <w:rPr>
          <w:rFonts w:ascii="Times New Roman;serif" w:hAnsi="Times New Roman;serif"/>
          <w:b w:val="false"/>
          <w:i/>
          <w:color w:val="000000"/>
          <w:sz w:val="18"/>
        </w:rPr>
        <w:t>BDO USA, P.C.</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Miami, Florida</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18"/>
        </w:rPr>
      </w:pPr>
      <w:r>
        <w:rPr>
          <w:rFonts w:ascii="Times New Roman;serif" w:hAnsi="Times New Roman;serif"/>
          <w:b/>
          <w:color w:val="000000"/>
          <w:sz w:val="18"/>
        </w:rPr>
        <w:t xml:space="preserve">Exhibit 23.2 </w:t>
      </w:r>
    </w:p>
    <w:p>
      <w:pPr>
        <w:pStyle w:val="TextBody"/>
        <w:bidi w:val="0"/>
        <w:spacing w:lineRule="auto" w:line="288" w:before="480" w:after="240"/>
        <w:jc w:val="center"/>
        <w:rPr>
          <w:rFonts w:ascii="Times New Roman;serif" w:hAnsi="Times New Roman;serif"/>
          <w:b/>
          <w:color w:val="000000"/>
          <w:sz w:val="18"/>
        </w:rPr>
      </w:pPr>
      <w:r>
        <w:rPr>
          <w:rFonts w:ascii="Times New Roman;serif" w:hAnsi="Times New Roman;serif"/>
          <w:b/>
          <w:color w:val="000000"/>
          <w:sz w:val="18"/>
        </w:rPr>
        <w:t>Consent of Independent Registered Public Accounting Firm</w:t>
      </w:r>
    </w:p>
    <w:p>
      <w:pPr>
        <w:pStyle w:val="TextBody"/>
        <w:bidi w:val="0"/>
        <w:spacing w:lineRule="auto" w:line="288" w:before="240" w:after="240"/>
        <w:jc w:val="both"/>
        <w:rPr>
          <w:rFonts w:ascii="Times New Roman;serif" w:hAnsi="Times New Roman;serif"/>
          <w:b w:val="false"/>
          <w:color w:val="000000"/>
          <w:sz w:val="18"/>
        </w:rPr>
      </w:pPr>
      <w:r>
        <w:rPr>
          <w:rFonts w:ascii="Times New Roman;serif" w:hAnsi="Times New Roman;serif"/>
          <w:b w:val="false"/>
          <w:color w:val="000000"/>
          <w:sz w:val="18"/>
        </w:rPr>
        <w:t>We consent to the incorporation by reference in Registration Statement No. 333-285425 on Form S-3 and Registration Statement Nos. 333- 279907, 333-279906, 333-277593, 333-256905, 333-139996, 333-174922, 333-188974, 333-209061 and 033-55327 on Form S-8 of our report dated February 29, 2024 relating to the 2023 financial statements of IEA Energy Services, LLC appearing in the Annual Report on Form 10-K of MasTec, Inc. for the year ended December 31, 2025.</w:t>
      </w:r>
    </w:p>
    <w:p>
      <w:pPr>
        <w:pStyle w:val="TextBody"/>
        <w:bidi w:val="0"/>
        <w:spacing w:lineRule="auto" w:line="288" w:before="240" w:after="120"/>
        <w:jc w:val="both"/>
        <w:rPr/>
      </w:pPr>
      <w:r>
        <w:rPr>
          <w:rFonts w:ascii="Times New Roman;serif" w:hAnsi="Times New Roman;serif"/>
          <w:b w:val="false"/>
          <w:color w:val="000000"/>
          <w:sz w:val="18"/>
        </w:rPr>
        <w:t xml:space="preserve">/s/ </w:t>
      </w:r>
      <w:r>
        <w:rPr>
          <w:rFonts w:ascii="Times New Roman;serif" w:hAnsi="Times New Roman;serif"/>
          <w:b w:val="false"/>
          <w:i/>
          <w:color w:val="000000"/>
          <w:sz w:val="18"/>
        </w:rPr>
        <w:t>Deloitte &amp; Touche LLP</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Indianapolis, Indiana</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18"/>
        </w:rPr>
      </w:pPr>
      <w:r>
        <w:rPr>
          <w:rFonts w:ascii="Times New Roman;serif" w:hAnsi="Times New Roman;serif"/>
          <w:b/>
          <w:color w:val="000000"/>
          <w:sz w:val="18"/>
        </w:rPr>
        <w:t xml:space="preserve">Exhibit 23.3 </w:t>
      </w:r>
    </w:p>
    <w:p>
      <w:pPr>
        <w:pStyle w:val="TextBody"/>
        <w:bidi w:val="0"/>
        <w:spacing w:lineRule="auto" w:line="288" w:before="480" w:after="240"/>
        <w:jc w:val="center"/>
        <w:rPr>
          <w:rFonts w:ascii="Times New Roman;serif" w:hAnsi="Times New Roman;serif"/>
          <w:b/>
          <w:color w:val="000000"/>
          <w:sz w:val="18"/>
        </w:rPr>
      </w:pPr>
      <w:r>
        <w:rPr>
          <w:rFonts w:ascii="Times New Roman;serif" w:hAnsi="Times New Roman;serif"/>
          <w:b/>
          <w:color w:val="000000"/>
          <w:sz w:val="18"/>
        </w:rPr>
        <w:t>CONSENT OF INDEPENDENT REGISTERED PUBLIC ACCOUNTING FIRM</w:t>
      </w:r>
    </w:p>
    <w:p>
      <w:pPr>
        <w:pStyle w:val="TextBody"/>
        <w:bidi w:val="0"/>
        <w:spacing w:lineRule="auto" w:line="288" w:before="240" w:after="240"/>
        <w:jc w:val="both"/>
        <w:rPr>
          <w:rFonts w:ascii="Times New Roman;serif" w:hAnsi="Times New Roman;serif"/>
          <w:b w:val="false"/>
          <w:color w:val="000000"/>
          <w:sz w:val="18"/>
        </w:rPr>
      </w:pPr>
      <w:r>
        <w:rPr>
          <w:rFonts w:ascii="Times New Roman;serif" w:hAnsi="Times New Roman;serif"/>
          <w:b w:val="false"/>
          <w:color w:val="000000"/>
          <w:sz w:val="18"/>
        </w:rPr>
        <w:t>We hereby consent to the incorporation by reference in the Registration Statements on Form S-3 (No. 333-285425) and Form S-8 (Nos. 333-256905, 333-139996, 333-174922, 333-188974, 333-209061, 033-55327, 333-279907, 333-279906 and 333-277593) of MasTec, Inc. of our report dated February 26, 2026 relating to the financial statements, financial statement schedule and the effectiveness of internal control over financial reporting, which appears in this Form 10-K.</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/s/ PricewaterhouseCoopers LLP</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Miami, Florida</w:t>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 xml:space="preserve">Exhibit 31.1 </w:t>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CERTIFICATIONS REQUIRED BY SECTION 302(a)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 SARBANES-OXLEY ACT OF 2002</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 José R. Mas, certify that: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 have reviewed this Form 10-K of MasTec, Inc.;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048" w:type="dxa"/>
        <w:jc w:val="left"/>
        <w:tblInd w:w="0" w:type="dxa"/>
        <w:tblLayout w:type="fixed"/>
        <w:tblCellMar>
          <w:top w:w="28" w:type="dxa"/>
          <w:left w:w="28" w:type="dxa"/>
          <w:bottom w:w="28" w:type="dxa"/>
          <w:right w:w="28" w:type="dxa"/>
        </w:tblCellMar>
      </w:tblPr>
      <w:tblGrid>
        <w:gridCol w:w="671"/>
        <w:gridCol w:w="592"/>
        <w:gridCol w:w="596"/>
        <w:gridCol w:w="641"/>
        <w:gridCol w:w="641"/>
        <w:gridCol w:w="907"/>
      </w:tblGrid>
      <w:tr>
        <w:trPr/>
        <w:tc>
          <w:tcPr>
            <w:tcW w:w="67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February 26, 2026</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JOSÉ R. MAS</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José R. Mas</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CERTIFICATIONS REQUIRED BY SECTION 302(a)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 SARBANES-OXLEY ACT OF 2002</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 Paul DiMarco, certify that: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 have reviewed this Form 10-K of MasTec, Inc.;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5759" w:type="dxa"/>
        <w:jc w:val="left"/>
        <w:tblInd w:w="0" w:type="dxa"/>
        <w:tblLayout w:type="fixed"/>
        <w:tblCellMar>
          <w:top w:w="28" w:type="dxa"/>
          <w:left w:w="28" w:type="dxa"/>
          <w:bottom w:w="28" w:type="dxa"/>
          <w:right w:w="28" w:type="dxa"/>
        </w:tblCellMar>
      </w:tblPr>
      <w:tblGrid>
        <w:gridCol w:w="671"/>
        <w:gridCol w:w="592"/>
        <w:gridCol w:w="596"/>
        <w:gridCol w:w="1142"/>
        <w:gridCol w:w="1142"/>
        <w:gridCol w:w="1616"/>
      </w:tblGrid>
      <w:tr>
        <w:trPr/>
        <w:tc>
          <w:tcPr>
            <w:tcW w:w="67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February 26, 2026</w:t>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PAUL DIMARCO</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Paul DiMarco</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Financial Officer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40" w:after="240"/>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Annual Report of MasTec, Inc. (the “Company”) on Form 10-K for the year ended December 31, 2025 as filed with the Securities and Exchange Commission on the date hereof (the “Report”), I, José R. Mas, Chief Executive Officer of the Company, certify, pursuant to 18 U.S.C. Section 1350, as adopted pursuant to Section 906 of the Sarbanes-Oxley Act of 2002, that, to the best of my knowledge: </w:t>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4048" w:type="dxa"/>
        <w:jc w:val="left"/>
        <w:tblInd w:w="0" w:type="dxa"/>
        <w:tblLayout w:type="fixed"/>
        <w:tblCellMar>
          <w:top w:w="28" w:type="dxa"/>
          <w:left w:w="28" w:type="dxa"/>
          <w:bottom w:w="28" w:type="dxa"/>
          <w:right w:w="28" w:type="dxa"/>
        </w:tblCellMar>
      </w:tblPr>
      <w:tblGrid>
        <w:gridCol w:w="671"/>
        <w:gridCol w:w="592"/>
        <w:gridCol w:w="596"/>
        <w:gridCol w:w="640"/>
        <w:gridCol w:w="640"/>
        <w:gridCol w:w="909"/>
      </w:tblGrid>
      <w:tr>
        <w:trPr/>
        <w:tc>
          <w:tcPr>
            <w:tcW w:w="67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February 26, 2026</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  JOSÉ R. MAS  </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José R. Mas</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certification set forth above is being furnished as an Exhibit solely pursuant to Section 906 of the Sarbanes–Oxley Act of 2002 and is not being filed as part of the Annual Report of MasTec, Inc. on Form 10-K for the period ending December 31, 2025, or as a separate disclosure document of the Company or the certifying officers.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40" w:after="240"/>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Annual Report of MasTec, Inc. (the “Company”) on Form 10-K for the year ended December 31, 2025 as filed with the Securities and Exchange Commission on the date hereof (the “Report”), I, Paul DiMarco, Executive Vice President and Chief Financial Officer of the Company, certify, pursuant to 18 U.S.C. Section 1350, as adopted pursuant to Section 906 of the Sarbanes-Oxley Act of 2002, that, to the best of my knowledge: </w:t>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5759" w:type="dxa"/>
        <w:jc w:val="left"/>
        <w:tblInd w:w="0" w:type="dxa"/>
        <w:tblLayout w:type="fixed"/>
        <w:tblCellMar>
          <w:top w:w="28" w:type="dxa"/>
          <w:left w:w="28" w:type="dxa"/>
          <w:bottom w:w="28" w:type="dxa"/>
          <w:right w:w="28" w:type="dxa"/>
        </w:tblCellMar>
      </w:tblPr>
      <w:tblGrid>
        <w:gridCol w:w="671"/>
        <w:gridCol w:w="592"/>
        <w:gridCol w:w="596"/>
        <w:gridCol w:w="1142"/>
        <w:gridCol w:w="1142"/>
        <w:gridCol w:w="1616"/>
      </w:tblGrid>
      <w:tr>
        <w:trPr/>
        <w:tc>
          <w:tcPr>
            <w:tcW w:w="67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February 26, 2026</w:t>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PAUL DIMARCO</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Paul DiMarco</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Financial Officer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certification set forth above is being furnished as an Exhibit solely pursuant to Section 906 of the Sarbanes–Oxley Act of 2002 and is not being filed as part of the Annual Report of MasTec, Inc. on Form 10-K for the period ending December 31, 2025, or as a separate disclosure document of the Company or the certifying officers.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left"/>
        <w:rPr>
          <w:rFonts w:ascii="Times New Roman;serif" w:hAnsi="Times New Roman;serif"/>
          <w:b/>
          <w:color w:val="000000"/>
          <w:sz w:val="18"/>
        </w:rPr>
      </w:pPr>
      <w:r>
        <w:rPr>
          <w:rFonts w:ascii="Times New Roman;serif" w:hAnsi="Times New Roman;serif"/>
          <w:b/>
          <w:color w:val="000000"/>
          <w:sz w:val="18"/>
        </w:rPr>
        <w:t>Exhibit 95.1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MINE SAFETY DISCLOSURES</w:t>
      </w:r>
    </w:p>
    <w:p>
      <w:pPr>
        <w:pStyle w:val="TextBody"/>
        <w:bidi w:val="0"/>
        <w:spacing w:before="0" w:after="0"/>
        <w:jc w:val="center"/>
        <w:rPr/>
      </w:pPr>
      <w:r>
        <w:rPr/>
      </w:r>
    </w:p>
    <w:p>
      <w:pPr>
        <w:pStyle w:val="TextBody"/>
        <w:bidi w:val="0"/>
        <w:spacing w:lineRule="auto" w:line="333" w:before="0" w:after="120"/>
        <w:ind w:left="0" w:right="0" w:firstLine="720"/>
        <w:jc w:val="both"/>
        <w:rPr/>
      </w:pPr>
      <w:r>
        <w:rPr>
          <w:rFonts w:ascii="Times New Roman;serif" w:hAnsi="Times New Roman;serif"/>
          <w:b w:val="false"/>
          <w:color w:val="000000"/>
          <w:sz w:val="18"/>
        </w:rPr>
        <w:t xml:space="preserve">We operate aggregate mines that are subject to regulation by the federal Mine Safety and Health Administration (“MSHA”) under the Federal Mine Safety and Health Act of 1977, 30 U.S.C. § 801 </w:t>
      </w:r>
      <w:r>
        <w:rPr>
          <w:rFonts w:ascii="Times New Roman;serif" w:hAnsi="Times New Roman;serif"/>
          <w:b w:val="false"/>
          <w:i/>
          <w:color w:val="000000"/>
          <w:sz w:val="18"/>
        </w:rPr>
        <w:t>et seq</w:t>
      </w:r>
      <w:r>
        <w:rPr>
          <w:rFonts w:ascii="Times New Roman;serif" w:hAnsi="Times New Roman;serif"/>
          <w:b w:val="false"/>
          <w:color w:val="000000"/>
          <w:sz w:val="18"/>
        </w:rPr>
        <w:t>. (the “Mine Act”). Set forth below is the required information regarding certain mining safety and health matters for the year ended December 31, 2025. Citations and orders may be contested and appealed, and in that process, may be reduced in severity and amount, and are sometimes dismissed. The table below includes references to specific sections of the Mine Act.</w:t>
      </w:r>
    </w:p>
    <w:p>
      <w:pPr>
        <w:pStyle w:val="TextBody"/>
        <w:bidi w:val="0"/>
        <w:spacing w:lineRule="auto" w:line="333"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information in the table below is presented by mine, consistent with the manner in which we maintain safety and compliance information about our mining operations.</w:t>
      </w:r>
    </w:p>
    <w:tbl>
      <w:tblPr>
        <w:tblW w:w="10205" w:type="dxa"/>
        <w:jc w:val="left"/>
        <w:tblInd w:w="0" w:type="dxa"/>
        <w:tblLayout w:type="fixed"/>
        <w:tblCellMar>
          <w:top w:w="28" w:type="dxa"/>
          <w:left w:w="28" w:type="dxa"/>
          <w:bottom w:w="28" w:type="dxa"/>
          <w:right w:w="28" w:type="dxa"/>
        </w:tblCellMar>
      </w:tblPr>
      <w:tblGrid>
        <w:gridCol w:w="544"/>
        <w:gridCol w:w="205"/>
        <w:gridCol w:w="206"/>
        <w:gridCol w:w="109"/>
        <w:gridCol w:w="109"/>
        <w:gridCol w:w="109"/>
        <w:gridCol w:w="293"/>
        <w:gridCol w:w="293"/>
        <w:gridCol w:w="294"/>
        <w:gridCol w:w="109"/>
        <w:gridCol w:w="109"/>
        <w:gridCol w:w="109"/>
        <w:gridCol w:w="233"/>
        <w:gridCol w:w="233"/>
        <w:gridCol w:w="234"/>
        <w:gridCol w:w="109"/>
        <w:gridCol w:w="109"/>
        <w:gridCol w:w="109"/>
        <w:gridCol w:w="264"/>
        <w:gridCol w:w="264"/>
        <w:gridCol w:w="265"/>
        <w:gridCol w:w="109"/>
        <w:gridCol w:w="109"/>
        <w:gridCol w:w="109"/>
        <w:gridCol w:w="242"/>
        <w:gridCol w:w="242"/>
        <w:gridCol w:w="243"/>
        <w:gridCol w:w="109"/>
        <w:gridCol w:w="109"/>
        <w:gridCol w:w="109"/>
        <w:gridCol w:w="233"/>
        <w:gridCol w:w="233"/>
        <w:gridCol w:w="234"/>
        <w:gridCol w:w="109"/>
        <w:gridCol w:w="109"/>
        <w:gridCol w:w="109"/>
        <w:gridCol w:w="246"/>
        <w:gridCol w:w="755"/>
        <w:gridCol w:w="129"/>
        <w:gridCol w:w="109"/>
        <w:gridCol w:w="109"/>
        <w:gridCol w:w="109"/>
        <w:gridCol w:w="282"/>
        <w:gridCol w:w="282"/>
        <w:gridCol w:w="283"/>
        <w:gridCol w:w="109"/>
        <w:gridCol w:w="109"/>
        <w:gridCol w:w="109"/>
        <w:gridCol w:w="248"/>
        <w:gridCol w:w="248"/>
        <w:gridCol w:w="361"/>
      </w:tblGrid>
      <w:tr>
        <w:trPr/>
        <w:tc>
          <w:tcPr>
            <w:tcW w:w="54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Mine Name / 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8"/>
              </w:rPr>
            </w:pPr>
            <w:r>
              <w:rPr>
                <w:rFonts w:ascii="Times New Roman;serif" w:hAnsi="Times New Roman;serif"/>
                <w:b/>
                <w:color w:val="000000"/>
                <w:sz w:val="18"/>
              </w:rPr>
              <w:t>Section</w:t>
            </w:r>
          </w:p>
          <w:p>
            <w:pPr>
              <w:pStyle w:val="TableContents"/>
              <w:bidi w:val="0"/>
              <w:spacing w:lineRule="auto" w:line="240" w:before="0" w:after="30"/>
              <w:jc w:val="center"/>
              <w:rPr/>
            </w:pPr>
            <w:r>
              <w:rPr>
                <w:rFonts w:ascii="Times New Roman;serif" w:hAnsi="Times New Roman;serif"/>
                <w:b/>
                <w:color w:val="000000"/>
                <w:sz w:val="18"/>
              </w:rPr>
              <w:t>104 Citations</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8"/>
              </w:rPr>
            </w:pPr>
            <w:r>
              <w:rPr>
                <w:rFonts w:ascii="Times New Roman;serif" w:hAnsi="Times New Roman;serif"/>
                <w:b/>
                <w:color w:val="000000"/>
                <w:sz w:val="18"/>
              </w:rPr>
              <w:t>Section</w:t>
            </w:r>
          </w:p>
          <w:p>
            <w:pPr>
              <w:pStyle w:val="TableContents"/>
              <w:bidi w:val="0"/>
              <w:spacing w:lineRule="auto" w:line="240" w:before="0" w:after="30"/>
              <w:jc w:val="center"/>
              <w:rPr/>
            </w:pPr>
            <w:r>
              <w:rPr>
                <w:rFonts w:ascii="Times New Roman;serif" w:hAnsi="Times New Roman;serif"/>
                <w:b/>
                <w:color w:val="000000"/>
                <w:sz w:val="18"/>
              </w:rPr>
              <w:t>104(b) Orders</w:t>
            </w:r>
            <w:r>
              <w:rPr>
                <w:rFonts w:ascii="Times New Roman;serif" w:hAnsi="Times New Roman;serif"/>
                <w:b/>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8"/>
              </w:rPr>
            </w:pPr>
            <w:r>
              <w:rPr>
                <w:rFonts w:ascii="Times New Roman;serif" w:hAnsi="Times New Roman;serif"/>
                <w:b/>
                <w:color w:val="000000"/>
                <w:sz w:val="18"/>
              </w:rPr>
              <w:t>Section</w:t>
            </w:r>
          </w:p>
          <w:p>
            <w:pPr>
              <w:pStyle w:val="TableContents"/>
              <w:bidi w:val="0"/>
              <w:spacing w:lineRule="auto" w:line="240" w:before="0" w:after="30"/>
              <w:jc w:val="center"/>
              <w:rPr/>
            </w:pPr>
            <w:r>
              <w:rPr>
                <w:rFonts w:ascii="Times New Roman;serif" w:hAnsi="Times New Roman;serif"/>
                <w:b/>
                <w:color w:val="000000"/>
                <w:sz w:val="18"/>
              </w:rPr>
              <w:t>104(d) Citations and Orders</w:t>
            </w:r>
            <w:r>
              <w:rPr>
                <w:rFonts w:ascii="Times New Roman;serif" w:hAnsi="Times New Roman;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8"/>
              </w:rPr>
            </w:pPr>
            <w:r>
              <w:rPr>
                <w:rFonts w:ascii="Times New Roman;serif" w:hAnsi="Times New Roman;serif"/>
                <w:b/>
                <w:color w:val="000000"/>
                <w:sz w:val="18"/>
              </w:rPr>
              <w:t>Section</w:t>
            </w:r>
          </w:p>
          <w:p>
            <w:pPr>
              <w:pStyle w:val="TableContents"/>
              <w:bidi w:val="0"/>
              <w:spacing w:lineRule="auto" w:line="240" w:before="0" w:after="30"/>
              <w:jc w:val="center"/>
              <w:rPr/>
            </w:pPr>
            <w:r>
              <w:rPr>
                <w:rFonts w:ascii="Times New Roman;serif" w:hAnsi="Times New Roman;serif"/>
                <w:b/>
                <w:color w:val="000000"/>
                <w:sz w:val="18"/>
              </w:rPr>
              <w:t>110(b)(2) Violations</w:t>
            </w:r>
            <w:r>
              <w:rPr>
                <w:rFonts w:ascii="Times New Roman;serif" w:hAnsi="Times New Roman;serif"/>
                <w:b/>
                <w:color w:val="000000"/>
                <w:sz w:val="1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8"/>
              </w:rPr>
            </w:pPr>
            <w:r>
              <w:rPr>
                <w:rFonts w:ascii="Times New Roman;serif" w:hAnsi="Times New Roman;serif"/>
                <w:b/>
                <w:color w:val="000000"/>
                <w:sz w:val="18"/>
              </w:rPr>
              <w:t>Section</w:t>
            </w:r>
          </w:p>
          <w:p>
            <w:pPr>
              <w:pStyle w:val="TableContents"/>
              <w:bidi w:val="0"/>
              <w:spacing w:lineRule="auto" w:line="240" w:before="0" w:after="30"/>
              <w:jc w:val="center"/>
              <w:rPr/>
            </w:pPr>
            <w:r>
              <w:rPr>
                <w:rFonts w:ascii="Times New Roman;serif" w:hAnsi="Times New Roman;serif"/>
                <w:b/>
                <w:color w:val="000000"/>
                <w:sz w:val="18"/>
              </w:rPr>
              <w:t>107(a) Orders</w:t>
            </w:r>
            <w:r>
              <w:rPr>
                <w:rFonts w:ascii="Times New Roman;serif" w:hAnsi="Times New Roman;serif"/>
                <w:b/>
                <w:color w:val="000000"/>
                <w:sz w:val="12"/>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8"/>
              </w:rPr>
            </w:pPr>
            <w:r>
              <w:rPr>
                <w:rFonts w:ascii="Times New Roman;serif" w:hAnsi="Times New Roman;serif"/>
                <w:b/>
                <w:color w:val="000000"/>
                <w:sz w:val="18"/>
              </w:rPr>
              <w:t>Proposed</w:t>
            </w:r>
          </w:p>
          <w:p>
            <w:pPr>
              <w:pStyle w:val="TableContents"/>
              <w:bidi w:val="0"/>
              <w:spacing w:lineRule="auto" w:line="240" w:before="0" w:after="30"/>
              <w:jc w:val="center"/>
              <w:rPr/>
            </w:pPr>
            <w:r>
              <w:rPr>
                <w:rFonts w:ascii="Times New Roman;serif" w:hAnsi="Times New Roman;serif"/>
                <w:b/>
                <w:color w:val="000000"/>
                <w:sz w:val="18"/>
              </w:rPr>
              <w:t>Assessments</w:t>
            </w:r>
            <w:r>
              <w:rPr>
                <w:rFonts w:ascii="Times New Roman;serif" w:hAnsi="Times New Roman;serif"/>
                <w:b/>
                <w:color w:val="000000"/>
                <w:sz w:val="12"/>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erif" w:hAnsi="Times New Roman;serif"/>
                <w:b/>
                <w:color w:val="000000"/>
                <w:sz w:val="18"/>
              </w:rPr>
              <w:t>Fatalities</w:t>
            </w:r>
            <w:r>
              <w:rPr>
                <w:rFonts w:ascii="Times New Roman;serif" w:hAnsi="Times New Roman;serif"/>
                <w:b/>
                <w:color w:val="000000"/>
                <w:sz w:val="12"/>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erif" w:hAnsi="Times New Roman;serif"/>
                <w:b/>
                <w:color w:val="000000"/>
                <w:sz w:val="18"/>
              </w:rPr>
              <w:t>Pending Legal Action</w:t>
            </w:r>
            <w:r>
              <w:rPr>
                <w:rFonts w:ascii="Times New Roman;serif" w:hAnsi="Times New Roman;serif"/>
                <w:b/>
                <w:color w:val="000000"/>
                <w:sz w:val="12"/>
              </w:rPr>
              <w:t>(h)</w:t>
            </w:r>
          </w:p>
        </w:tc>
      </w:tr>
      <w:tr>
        <w:trPr/>
        <w:tc>
          <w:tcPr>
            <w:tcW w:w="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Arizona / VTW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1 / 0203091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2 / 0202622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3 / 0202774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4 / 0203036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5 / 2902226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6 / 0202589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7 / 0203079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8 / 0203035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Topaz Mine 26-02440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Mesquite Wash Plant 2602774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Oklahoma / B7441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Tennessee / B7441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Texas / B7441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Utah / B7441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Texas / C4778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Wisconsin / A6370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Alabama / 1KJ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Alaska / E757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Arizona / E757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 / E757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21,919 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bl>
    <w:p>
      <w:pPr>
        <w:pStyle w:val="TextBody"/>
        <w:bidi w:val="0"/>
        <w:spacing w:lineRule="auto" w:line="333"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Denotes where we are working as an "independent contractor" at another operator's mine.</w:t>
      </w:r>
    </w:p>
    <w:p>
      <w:pPr>
        <w:pStyle w:val="TextBody"/>
        <w:bidi w:val="0"/>
        <w:spacing w:lineRule="auto" w:line="333"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(a)    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pStyle w:val="TextBody"/>
        <w:bidi w:val="0"/>
        <w:spacing w:lineRule="auto" w:line="333"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    The total number of orders issued under Section 104(b) of the Mine Act.</w:t>
      </w:r>
    </w:p>
    <w:p>
      <w:pPr>
        <w:pStyle w:val="TextBody"/>
        <w:bidi w:val="0"/>
        <w:spacing w:lineRule="auto" w:line="333"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(c)    The total number of citations and orders for unwarrantable failure of the mine operator to comply with mandatory health or safety standards under Section 104(d) of the Mine Act.</w:t>
      </w:r>
    </w:p>
    <w:p>
      <w:pPr>
        <w:pStyle w:val="TextBody"/>
        <w:bidi w:val="0"/>
        <w:spacing w:lineRule="auto" w:line="333"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(d)    The total number of flagrant violations under Section 110(b)(2) of the Mine Act.</w:t>
      </w:r>
    </w:p>
    <w:p>
      <w:pPr>
        <w:pStyle w:val="TextBody"/>
        <w:bidi w:val="0"/>
        <w:spacing w:lineRule="auto" w:line="333"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(e)    The total number of imminent danger orders issued under Section 107(a) of the Mine Act.</w:t>
      </w:r>
    </w:p>
    <w:p>
      <w:pPr>
        <w:pStyle w:val="TextBody"/>
        <w:bidi w:val="0"/>
        <w:spacing w:lineRule="auto" w:line="333"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(f)    The total dollar value of proposed assessments from the MSHA under the Mine Act.</w:t>
      </w:r>
    </w:p>
    <w:p>
      <w:pPr>
        <w:pStyle w:val="TextBody"/>
        <w:bidi w:val="0"/>
        <w:spacing w:lineRule="auto" w:line="333"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(g)    The total number of mining-related fatalities.</w:t>
      </w:r>
    </w:p>
    <w:p>
      <w:pPr>
        <w:pStyle w:val="TextBody"/>
        <w:bidi w:val="0"/>
        <w:spacing w:lineRule="auto" w:line="333" w:before="0" w:after="18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(h)    Any pending legal action before the Federal Mine Safety and Health Review Commission involving the applicable mine(s).</w:t>
      </w:r>
    </w:p>
    <w:p>
      <w:pPr>
        <w:pStyle w:val="TextBody"/>
        <w:bidi w:val="0"/>
        <w:spacing w:lineRule="auto" w:line="33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year ended December 31, 2025,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p>
    <w:p>
      <w:pPr>
        <w:pStyle w:val="TextBody"/>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615/000119312510039265/dex31.htm" TargetMode="External"/><Relationship Id="rId5" Type="http://schemas.openxmlformats.org/officeDocument/2006/relationships/hyperlink" Target="https://www.sec.gov/Archives/edgar/data/15615/000119312510015833/dex31.htm" TargetMode="External"/><Relationship Id="rId6" Type="http://schemas.openxmlformats.org/officeDocument/2006/relationships/hyperlink" Target="https://www.sec.gov/Archives/edgar/data/15615/000119312509126293/dex42.htm" TargetMode="External"/><Relationship Id="rId7" Type="http://schemas.openxmlformats.org/officeDocument/2006/relationships/hyperlink" Target="https://www.sec.gov/Archives/edgar/data/15615/000119312524158356/d765599dex42.htm" TargetMode="External"/><Relationship Id="rId8" Type="http://schemas.openxmlformats.org/officeDocument/2006/relationships/hyperlink" Target="https://www.sec.gov/Archives/edgar/data/15615/000119312524158356/d765599dex42.htm" TargetMode="External"/><Relationship Id="rId9" Type="http://schemas.openxmlformats.org/officeDocument/2006/relationships/hyperlink" Target="https://www.sec.gov/Archives/edgar/data/15615/000001561520000005/mtz12311910-kex417.htm" TargetMode="External"/><Relationship Id="rId10" Type="http://schemas.openxmlformats.org/officeDocument/2006/relationships/hyperlink" Target="https://www.sec.gov/Archives/edgar/data/15615/000001561518000007/mtz12311710-kex101.htm" TargetMode="External"/><Relationship Id="rId11" Type="http://schemas.openxmlformats.org/officeDocument/2006/relationships/hyperlink" Target="https://www.sec.gov/Archives/edgar/data/15615/000001561518000007/mtz12311710-kex102.htm" TargetMode="External"/><Relationship Id="rId12" Type="http://schemas.openxmlformats.org/officeDocument/2006/relationships/hyperlink" Target="https://www.sec.gov/Archives/edgar/data/15615/000095014407003626/g06830exv10w1.htm" TargetMode="External"/><Relationship Id="rId13" Type="http://schemas.openxmlformats.org/officeDocument/2006/relationships/hyperlink" Target="https://www.sec.gov/Archives/edgar/data/15615/000119312514131768/d706956dex102.htm" TargetMode="External"/><Relationship Id="rId14" Type="http://schemas.openxmlformats.org/officeDocument/2006/relationships/hyperlink" Target="https://www.sec.gov/Archives/edgar/data/15615/000119312510015833/dex102.htm" TargetMode="External"/><Relationship Id="rId15" Type="http://schemas.openxmlformats.org/officeDocument/2006/relationships/hyperlink" Target="https://www.sec.gov/Archives/edgar/data/15615/000119312514131768/d706956dex104.htm" TargetMode="External"/><Relationship Id="rId16" Type="http://schemas.openxmlformats.org/officeDocument/2006/relationships/hyperlink" Target="https://www.sec.gov/Archives/edgar/data/15615/000119312514131768/d706956dex101.htm" TargetMode="External"/><Relationship Id="rId17" Type="http://schemas.openxmlformats.org/officeDocument/2006/relationships/hyperlink" Target="https://www.sec.gov/Archives/edgar/data/15615/000001561523000018/mtz3312310-qex101.htm" TargetMode="External"/><Relationship Id="rId18" Type="http://schemas.openxmlformats.org/officeDocument/2006/relationships/hyperlink" Target="https://www.sec.gov/Archives/edgar/data/15615/000001561523000018/mtz3312310-qex102.htm" TargetMode="External"/><Relationship Id="rId19" Type="http://schemas.openxmlformats.org/officeDocument/2006/relationships/hyperlink" Target="https://www.sec.gov/Archives/edgar/data/15615/000001561505000097/deferredplan.htm" TargetMode="External"/><Relationship Id="rId20" Type="http://schemas.openxmlformats.org/officeDocument/2006/relationships/hyperlink" Target="https://www.sec.gov/Archives/edgar/data/15615/000001561521000006/mtz12312010-kex103.htm" TargetMode="External"/><Relationship Id="rId21" Type="http://schemas.openxmlformats.org/officeDocument/2006/relationships/hyperlink" Target="https://www.sec.gov/Archives/edgar/data/15615/000001561521000006/mtz12312010-kex1012.htm" TargetMode="External"/><Relationship Id="rId22" Type="http://schemas.openxmlformats.org/officeDocument/2006/relationships/hyperlink" Target="https://www.sec.gov/Archives/edgar/data/15615/000001561522000017/mtz3312210-qex101.htm" TargetMode="External"/><Relationship Id="rId23" Type="http://schemas.openxmlformats.org/officeDocument/2006/relationships/hyperlink" Target="https://www.sec.gov/Archives/edgar/data/15615/000001561523000018/mtz3312310-qex104.htm" TargetMode="External"/><Relationship Id="rId24" Type="http://schemas.openxmlformats.org/officeDocument/2006/relationships/hyperlink" Target="https://www.sec.gov/ix?doc=/Archives/edgar/data/15615/000114036124017972/ny20021129x1_def14a.htm" TargetMode="External"/><Relationship Id="rId25" Type="http://schemas.openxmlformats.org/officeDocument/2006/relationships/hyperlink" Target="https://www.sec.gov/ix?doc=/Archives/edgar/data/15615/000114036124017972/ny20021129x1_def14a.htm" TargetMode="External"/><Relationship Id="rId26" Type="http://schemas.openxmlformats.org/officeDocument/2006/relationships/hyperlink" Target="https://www.sec.gov/Archives/edgar/data/15615/000001561520000024/mtz6302010-qex101.htm" TargetMode="External"/><Relationship Id="rId27" Type="http://schemas.openxmlformats.org/officeDocument/2006/relationships/hyperlink" Target="https://www.sec.gov/Archives/edgar/data/15615/000001561520000024/mtz6302010-qex102.htm" TargetMode="External"/><Relationship Id="rId28" Type="http://schemas.openxmlformats.org/officeDocument/2006/relationships/hyperlink" Target="https://www.sec.gov/Archives/edgar/data/15615/000001561523000009/mtz12312210-kex1020.htm" TargetMode="External"/><Relationship Id="rId29" Type="http://schemas.openxmlformats.org/officeDocument/2006/relationships/hyperlink" Target="https://www.sec.gov/Archives/edgar/data/15615/000119312525151280/d35356dex101.htm" TargetMode="External"/><Relationship Id="rId30" Type="http://schemas.openxmlformats.org/officeDocument/2006/relationships/hyperlink" Target="https://www.sec.gov/Archives/edgar/data/15615/000119312525151280/d35356dex102.htm" TargetMode="External"/><Relationship Id="rId31" Type="http://schemas.openxmlformats.org/officeDocument/2006/relationships/hyperlink" Target="https://www.sec.gov/Archives/edgar/data/15615/000119312524062573/d803245dex161.htm" TargetMode="External"/><Relationship Id="rId32" Type="http://schemas.openxmlformats.org/officeDocument/2006/relationships/hyperlink" Target="https://www.sec.gov/Archives/edgar/data/15615/000001561525000021/mtz12312410-kex191.htm" TargetMode="External"/><Relationship Id="rId33" Type="http://schemas.openxmlformats.org/officeDocument/2006/relationships/hyperlink" Target="https://www.sec.gov/Archives/edgar/data/15615/000001561524000021/mtz12312310-kex971.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100276</Words>
  <Characters>572870</Characters>
  <CharactersWithSpaces>670334</CharactersWithSpaces>
  <Paragraphs>5873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