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1" w:lineRule="exact"/>
        <w:rPr>
          <w:sz w:val="24"/>
          <w:szCs w:val="24"/>
          <w:color w:val="auto"/>
        </w:rPr>
      </w:pPr>
    </w:p>
    <w:p>
      <w:pPr>
        <w:ind w:right="520" w:firstLine="8"/>
        <w:spacing w:after="0" w:line="281" w:lineRule="auto"/>
        <w:tabs>
          <w:tab w:leader="none" w:pos="369" w:val="left"/>
        </w:tabs>
        <w:numPr>
          <w:ilvl w:val="0"/>
          <w:numId w:val="1"/>
        </w:numPr>
        <w:rPr>
          <w:rFonts w:ascii="MS PGothic" w:cs="MS PGothic" w:eastAsia="MS PGothic" w:hAnsi="MS PGothic"/>
          <w:sz w:val="16"/>
          <w:szCs w:val="16"/>
          <w:color w:val="auto"/>
        </w:rPr>
      </w:pPr>
      <w:r>
        <w:rPr>
          <w:rFonts w:ascii="Arial" w:cs="Arial" w:eastAsia="Arial" w:hAnsi="Arial"/>
          <w:sz w:val="24"/>
          <w:szCs w:val="24"/>
          <w:b w:val="1"/>
          <w:bCs w:val="1"/>
          <w:color w:val="auto"/>
        </w:rPr>
        <w:t>ANNUAL REPORT 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2020</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51" w:lineRule="exact"/>
        <w:rPr>
          <w:sz w:val="24"/>
          <w:szCs w:val="24"/>
          <w:color w:val="auto"/>
        </w:rPr>
      </w:pPr>
    </w:p>
    <w:p>
      <w:pPr>
        <w:ind w:firstLine="8"/>
        <w:spacing w:after="0" w:line="260" w:lineRule="auto"/>
        <w:tabs>
          <w:tab w:leader="none" w:pos="342" w:val="left"/>
        </w:tabs>
        <w:numPr>
          <w:ilvl w:val="0"/>
          <w:numId w:val="2"/>
        </w:numPr>
        <w:rPr>
          <w:rFonts w:ascii="MS PGothic" w:cs="MS PGothic" w:eastAsia="MS PGothic" w:hAnsi="MS PGothic"/>
          <w:sz w:val="16"/>
          <w:szCs w:val="16"/>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transition period from __ to __</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001-08106</w:t>
      </w:r>
    </w:p>
    <w:p>
      <w:pPr>
        <w:spacing w:after="0" w:line="1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158750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MasTec,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15" w:lineRule="exact"/>
        <w:rPr>
          <w:sz w:val="24"/>
          <w:szCs w:val="24"/>
          <w:color w:val="auto"/>
        </w:rPr>
      </w:pPr>
    </w:p>
    <w:tbl>
      <w:tblPr>
        <w:tblLayout w:type="fixed"/>
        <w:tblInd w:w="1700" w:type="dxa"/>
        <w:tblCellMar>
          <w:top w:w="0" w:type="dxa"/>
          <w:left w:w="0" w:type="dxa"/>
          <w:bottom w:w="0" w:type="dxa"/>
          <w:right w:w="0" w:type="dxa"/>
        </w:tblCellMar>
      </w:tblPr>
      <w:tr>
        <w:trPr>
          <w:trHeight w:val="210"/>
        </w:trPr>
        <w:tc>
          <w:tcPr>
            <w:tcW w:w="4220" w:type="dxa"/>
            <w:vAlign w:val="bottom"/>
          </w:tcPr>
          <w:p>
            <w:pPr>
              <w:jc w:val="center"/>
              <w:ind w:right="1906"/>
              <w:spacing w:after="0"/>
              <w:rPr>
                <w:sz w:val="20"/>
                <w:szCs w:val="20"/>
                <w:color w:val="auto"/>
              </w:rPr>
            </w:pPr>
            <w:r>
              <w:rPr>
                <w:rFonts w:ascii="Arial" w:cs="Arial" w:eastAsia="Arial" w:hAnsi="Arial"/>
                <w:sz w:val="16"/>
                <w:szCs w:val="16"/>
                <w:b w:val="1"/>
                <w:bCs w:val="1"/>
                <w:color w:val="auto"/>
                <w:w w:val="97"/>
              </w:rPr>
              <w:t>Florida</w:t>
            </w:r>
          </w:p>
        </w:tc>
        <w:tc>
          <w:tcPr>
            <w:tcW w:w="3020" w:type="dxa"/>
            <w:vAlign w:val="bottom"/>
          </w:tcPr>
          <w:p>
            <w:pPr>
              <w:jc w:val="right"/>
              <w:ind w:right="47"/>
              <w:spacing w:after="0"/>
              <w:rPr>
                <w:sz w:val="20"/>
                <w:szCs w:val="20"/>
                <w:color w:val="auto"/>
              </w:rPr>
            </w:pPr>
            <w:r>
              <w:rPr>
                <w:rFonts w:ascii="Arial" w:cs="Arial" w:eastAsia="Arial" w:hAnsi="Arial"/>
                <w:sz w:val="16"/>
                <w:szCs w:val="16"/>
                <w:b w:val="1"/>
                <w:bCs w:val="1"/>
                <w:color w:val="auto"/>
              </w:rPr>
              <w:t>65-0829355</w:t>
            </w:r>
          </w:p>
        </w:tc>
      </w:tr>
      <w:tr>
        <w:trPr>
          <w:trHeight w:val="181"/>
        </w:trPr>
        <w:tc>
          <w:tcPr>
            <w:tcW w:w="4220" w:type="dxa"/>
            <w:vAlign w:val="bottom"/>
          </w:tcPr>
          <w:p>
            <w:pPr>
              <w:jc w:val="center"/>
              <w:ind w:right="1926"/>
              <w:spacing w:after="0"/>
              <w:rPr>
                <w:sz w:val="20"/>
                <w:szCs w:val="20"/>
                <w:color w:val="auto"/>
              </w:rPr>
            </w:pPr>
            <w:r>
              <w:rPr>
                <w:rFonts w:ascii="Arial" w:cs="Arial" w:eastAsia="Arial" w:hAnsi="Arial"/>
                <w:sz w:val="13"/>
                <w:szCs w:val="13"/>
                <w:b w:val="1"/>
                <w:bCs w:val="1"/>
                <w:i w:val="1"/>
                <w:iCs w:val="1"/>
                <w:color w:val="auto"/>
                <w:w w:val="90"/>
              </w:rPr>
              <w:t>(State or other jurisdiction of</w:t>
            </w:r>
          </w:p>
        </w:tc>
        <w:tc>
          <w:tcPr>
            <w:tcW w:w="3020" w:type="dxa"/>
            <w:vAlign w:val="bottom"/>
          </w:tcPr>
          <w:p>
            <w:pPr>
              <w:jc w:val="center"/>
              <w:ind w:left="1927"/>
              <w:spacing w:after="0"/>
              <w:rPr>
                <w:sz w:val="20"/>
                <w:szCs w:val="20"/>
                <w:color w:val="auto"/>
              </w:rPr>
            </w:pPr>
            <w:r>
              <w:rPr>
                <w:rFonts w:ascii="Arial" w:cs="Arial" w:eastAsia="Arial" w:hAnsi="Arial"/>
                <w:sz w:val="13"/>
                <w:szCs w:val="13"/>
                <w:b w:val="1"/>
                <w:bCs w:val="1"/>
                <w:i w:val="1"/>
                <w:iCs w:val="1"/>
                <w:color w:val="auto"/>
                <w:w w:val="94"/>
              </w:rPr>
              <w:t>(I.R.S. Employer</w:t>
            </w:r>
          </w:p>
        </w:tc>
      </w:tr>
      <w:tr>
        <w:trPr>
          <w:trHeight w:val="189"/>
        </w:trPr>
        <w:tc>
          <w:tcPr>
            <w:tcW w:w="4220" w:type="dxa"/>
            <w:vAlign w:val="bottom"/>
          </w:tcPr>
          <w:p>
            <w:pPr>
              <w:jc w:val="center"/>
              <w:ind w:right="1926"/>
              <w:spacing w:after="0"/>
              <w:rPr>
                <w:sz w:val="20"/>
                <w:szCs w:val="20"/>
                <w:color w:val="auto"/>
              </w:rPr>
            </w:pPr>
            <w:r>
              <w:rPr>
                <w:rFonts w:ascii="Arial" w:cs="Arial" w:eastAsia="Arial" w:hAnsi="Arial"/>
                <w:sz w:val="13"/>
                <w:szCs w:val="13"/>
                <w:b w:val="1"/>
                <w:bCs w:val="1"/>
                <w:i w:val="1"/>
                <w:iCs w:val="1"/>
                <w:color w:val="auto"/>
                <w:w w:val="91"/>
              </w:rPr>
              <w:t>incorporation or organization)</w:t>
            </w:r>
          </w:p>
        </w:tc>
        <w:tc>
          <w:tcPr>
            <w:tcW w:w="3020" w:type="dxa"/>
            <w:vAlign w:val="bottom"/>
          </w:tcPr>
          <w:p>
            <w:pPr>
              <w:jc w:val="center"/>
              <w:ind w:left="1927"/>
              <w:spacing w:after="0"/>
              <w:rPr>
                <w:sz w:val="20"/>
                <w:szCs w:val="20"/>
                <w:color w:val="auto"/>
              </w:rPr>
            </w:pPr>
            <w:r>
              <w:rPr>
                <w:rFonts w:ascii="Arial" w:cs="Arial" w:eastAsia="Arial" w:hAnsi="Arial"/>
                <w:sz w:val="13"/>
                <w:szCs w:val="13"/>
                <w:b w:val="1"/>
                <w:bCs w:val="1"/>
                <w:i w:val="1"/>
                <w:iCs w:val="1"/>
                <w:color w:val="auto"/>
                <w:w w:val="92"/>
              </w:rPr>
              <w:t>Identification No.)</w:t>
            </w:r>
          </w:p>
        </w:tc>
      </w:tr>
      <w:tr>
        <w:trPr>
          <w:trHeight w:val="386"/>
        </w:trPr>
        <w:tc>
          <w:tcPr>
            <w:tcW w:w="4220" w:type="dxa"/>
            <w:vAlign w:val="bottom"/>
          </w:tcPr>
          <w:p>
            <w:pPr>
              <w:jc w:val="center"/>
              <w:ind w:right="1926"/>
              <w:spacing w:after="0"/>
              <w:rPr>
                <w:sz w:val="20"/>
                <w:szCs w:val="20"/>
                <w:color w:val="auto"/>
              </w:rPr>
            </w:pPr>
            <w:r>
              <w:rPr>
                <w:rFonts w:ascii="Arial" w:cs="Arial" w:eastAsia="Arial" w:hAnsi="Arial"/>
                <w:sz w:val="16"/>
                <w:szCs w:val="16"/>
                <w:b w:val="1"/>
                <w:bCs w:val="1"/>
                <w:color w:val="auto"/>
                <w:w w:val="90"/>
              </w:rPr>
              <w:t>800 S. Douglas Road, 12th Floor</w:t>
            </w:r>
          </w:p>
        </w:tc>
        <w:tc>
          <w:tcPr>
            <w:tcW w:w="3020" w:type="dxa"/>
            <w:vAlign w:val="bottom"/>
          </w:tcPr>
          <w:p>
            <w:pPr>
              <w:spacing w:after="0"/>
              <w:rPr>
                <w:sz w:val="24"/>
                <w:szCs w:val="24"/>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b w:val="1"/>
                <w:bCs w:val="1"/>
                <w:color w:val="auto"/>
              </w:rPr>
              <w:t>Coral Gables, Florida</w:t>
            </w:r>
          </w:p>
        </w:tc>
        <w:tc>
          <w:tcPr>
            <w:tcW w:w="3020" w:type="dxa"/>
            <w:vAlign w:val="bottom"/>
          </w:tcPr>
          <w:p>
            <w:pPr>
              <w:jc w:val="right"/>
              <w:ind w:right="227"/>
              <w:spacing w:after="0"/>
              <w:rPr>
                <w:sz w:val="20"/>
                <w:szCs w:val="20"/>
                <w:color w:val="auto"/>
              </w:rPr>
            </w:pPr>
            <w:r>
              <w:rPr>
                <w:rFonts w:ascii="Arial" w:cs="Arial" w:eastAsia="Arial" w:hAnsi="Arial"/>
                <w:sz w:val="16"/>
                <w:szCs w:val="16"/>
                <w:b w:val="1"/>
                <w:bCs w:val="1"/>
                <w:color w:val="auto"/>
              </w:rPr>
              <w:t>33134</w:t>
            </w:r>
          </w:p>
        </w:tc>
      </w:tr>
      <w:tr>
        <w:trPr>
          <w:trHeight w:val="181"/>
        </w:trPr>
        <w:tc>
          <w:tcPr>
            <w:tcW w:w="4220" w:type="dxa"/>
            <w:vAlign w:val="bottom"/>
          </w:tcPr>
          <w:p>
            <w:pPr>
              <w:jc w:val="center"/>
              <w:ind w:right="1906"/>
              <w:spacing w:after="0"/>
              <w:rPr>
                <w:sz w:val="20"/>
                <w:szCs w:val="20"/>
                <w:color w:val="auto"/>
              </w:rPr>
            </w:pPr>
            <w:r>
              <w:rPr>
                <w:rFonts w:ascii="Arial" w:cs="Arial" w:eastAsia="Arial" w:hAnsi="Arial"/>
                <w:sz w:val="13"/>
                <w:szCs w:val="13"/>
                <w:b w:val="1"/>
                <w:bCs w:val="1"/>
                <w:i w:val="1"/>
                <w:iCs w:val="1"/>
                <w:color w:val="auto"/>
                <w:w w:val="88"/>
              </w:rPr>
              <w:t>(Address of principal executive offices)</w:t>
            </w:r>
          </w:p>
        </w:tc>
        <w:tc>
          <w:tcPr>
            <w:tcW w:w="3020" w:type="dxa"/>
            <w:vAlign w:val="bottom"/>
          </w:tcPr>
          <w:p>
            <w:pPr>
              <w:jc w:val="center"/>
              <w:ind w:left="1947"/>
              <w:spacing w:after="0"/>
              <w:rPr>
                <w:sz w:val="20"/>
                <w:szCs w:val="20"/>
                <w:color w:val="auto"/>
              </w:rPr>
            </w:pPr>
            <w:r>
              <w:rPr>
                <w:rFonts w:ascii="Arial" w:cs="Arial" w:eastAsia="Arial" w:hAnsi="Arial"/>
                <w:sz w:val="13"/>
                <w:szCs w:val="13"/>
                <w:b w:val="1"/>
                <w:bCs w:val="1"/>
                <w:i w:val="1"/>
                <w:iCs w:val="1"/>
                <w:color w:val="auto"/>
                <w:w w:val="93"/>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599-1800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(Registrant’s telephone number, including area code)</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8" w:lineRule="exact"/>
        <w:rPr>
          <w:sz w:val="24"/>
          <w:szCs w:val="24"/>
          <w:color w:val="auto"/>
        </w:rPr>
      </w:pPr>
    </w:p>
    <w:tbl>
      <w:tblPr>
        <w:tblLayout w:type="fixed"/>
        <w:tblInd w:w="1120" w:type="dxa"/>
        <w:tblCellMar>
          <w:top w:w="0" w:type="dxa"/>
          <w:left w:w="0" w:type="dxa"/>
          <w:bottom w:w="0" w:type="dxa"/>
          <w:right w:w="0" w:type="dxa"/>
        </w:tblCellMar>
      </w:tblPr>
      <w:tr>
        <w:trPr>
          <w:trHeight w:val="149"/>
        </w:trPr>
        <w:tc>
          <w:tcPr>
            <w:tcW w:w="3220" w:type="dxa"/>
            <w:vAlign w:val="bottom"/>
            <w:gridSpan w:val="3"/>
          </w:tcPr>
          <w:p>
            <w:pPr>
              <w:jc w:val="center"/>
              <w:ind w:right="720"/>
              <w:spacing w:after="0"/>
              <w:rPr>
                <w:sz w:val="20"/>
                <w:szCs w:val="20"/>
                <w:color w:val="auto"/>
              </w:rPr>
            </w:pPr>
            <w:r>
              <w:rPr>
                <w:rFonts w:ascii="Arial" w:cs="Arial" w:eastAsia="Arial" w:hAnsi="Arial"/>
                <w:sz w:val="13"/>
                <w:szCs w:val="13"/>
                <w:b w:val="1"/>
                <w:bCs w:val="1"/>
                <w:color w:val="auto"/>
                <w:w w:val="91"/>
              </w:rPr>
              <w:t>Title of each class</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223"/>
        </w:trPr>
        <w:tc>
          <w:tcPr>
            <w:tcW w:w="7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780" w:type="dxa"/>
            <w:vAlign w:val="bottom"/>
            <w:gridSpan w:val="2"/>
          </w:tcPr>
          <w:p>
            <w:pPr>
              <w:jc w:val="center"/>
              <w:ind w:left="673"/>
              <w:spacing w:after="0"/>
              <w:rPr>
                <w:sz w:val="20"/>
                <w:szCs w:val="20"/>
                <w:color w:val="auto"/>
              </w:rPr>
            </w:pPr>
            <w:r>
              <w:rPr>
                <w:rFonts w:ascii="Arial" w:cs="Arial" w:eastAsia="Arial" w:hAnsi="Arial"/>
                <w:sz w:val="13"/>
                <w:szCs w:val="13"/>
                <w:b w:val="1"/>
                <w:bCs w:val="1"/>
                <w:color w:val="auto"/>
                <w:w w:val="92"/>
              </w:rPr>
              <w:t>Trading symbol(s)</w:t>
            </w:r>
          </w:p>
        </w:tc>
        <w:tc>
          <w:tcPr>
            <w:tcW w:w="150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r>
      <w:tr>
        <w:trPr>
          <w:trHeight w:val="250"/>
        </w:trPr>
        <w:tc>
          <w:tcPr>
            <w:tcW w:w="322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Common Stock, $0.10 Par Value</w:t>
            </w:r>
          </w:p>
        </w:tc>
        <w:tc>
          <w:tcPr>
            <w:tcW w:w="740" w:type="dxa"/>
            <w:vAlign w:val="bottom"/>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MTZ</w:t>
            </w:r>
          </w:p>
        </w:tc>
        <w:tc>
          <w:tcPr>
            <w:tcW w:w="15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33" w:lineRule="exact"/>
        <w:rPr>
          <w:sz w:val="24"/>
          <w:szCs w:val="24"/>
          <w:color w:val="auto"/>
        </w:rPr>
      </w:pPr>
    </w:p>
    <w:p>
      <w:pPr>
        <w:ind w:left="180"/>
        <w:spacing w:after="0" w:line="184" w:lineRule="exact"/>
        <w:tabs>
          <w:tab w:leader="none" w:pos="79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56" w:lineRule="exact"/>
        <w:rPr>
          <w:sz w:val="24"/>
          <w:szCs w:val="24"/>
          <w:color w:val="auto"/>
        </w:rPr>
      </w:pPr>
    </w:p>
    <w:p>
      <w:pPr>
        <w:ind w:left="180"/>
        <w:spacing w:after="0" w:line="184" w:lineRule="exact"/>
        <w:tabs>
          <w:tab w:leader="none" w:pos="806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6" w:lineRule="exact"/>
        <w:rPr>
          <w:sz w:val="24"/>
          <w:szCs w:val="24"/>
          <w:color w:val="auto"/>
        </w:rPr>
      </w:pPr>
    </w:p>
    <w:p>
      <w:pPr>
        <w:jc w:val="both"/>
        <w:ind w:firstLine="2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8" w:lineRule="exact"/>
        <w:rPr>
          <w:sz w:val="24"/>
          <w:szCs w:val="24"/>
          <w:color w:val="auto"/>
        </w:rPr>
      </w:pPr>
    </w:p>
    <w:p>
      <w:pPr>
        <w:jc w:val="both"/>
        <w:ind w:firstLine="171"/>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firstLine="173"/>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4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86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2480" w:type="dxa"/>
            <w:vAlign w:val="bottom"/>
          </w:tcPr>
          <w:p>
            <w:pPr>
              <w:spacing w:after="0"/>
              <w:rPr>
                <w:sz w:val="20"/>
                <w:szCs w:val="20"/>
                <w:color w:val="auto"/>
              </w:rPr>
            </w:pPr>
            <w:r>
              <w:rPr>
                <w:rFonts w:ascii="Arial" w:cs="Arial" w:eastAsia="Arial" w:hAnsi="Arial"/>
                <w:sz w:val="16"/>
                <w:szCs w:val="16"/>
                <w:color w:val="auto"/>
              </w:rPr>
              <w:t>Non-accelerated filer</w:t>
            </w:r>
          </w:p>
        </w:tc>
        <w:tc>
          <w:tcPr>
            <w:tcW w:w="30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86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2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Pr>
          <w:p>
            <w:pPr>
              <w:ind w:left="186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40" w:lineRule="exact"/>
        <w:rPr>
          <w:sz w:val="24"/>
          <w:szCs w:val="24"/>
          <w:color w:val="auto"/>
        </w:rPr>
      </w:pPr>
    </w:p>
    <w:p>
      <w:pPr>
        <w:ind w:firstLine="216"/>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985" w:right="339" w:bottom="0" w:gutter="0" w:footer="0" w:header="0"/>
        </w:sectPr>
      </w:pPr>
    </w:p>
    <w:bookmarkStart w:id="1" w:name="page2"/>
    <w:bookmarkEnd w:id="1"/>
    <w:p>
      <w:pPr>
        <w:jc w:val="both"/>
        <w:ind w:right="20" w:firstLine="167"/>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97" w:lineRule="exact"/>
        <w:rPr>
          <w:sz w:val="20"/>
          <w:szCs w:val="20"/>
          <w:color w:val="auto"/>
        </w:rPr>
      </w:pPr>
    </w:p>
    <w:p>
      <w:pPr>
        <w:ind w:left="180"/>
        <w:spacing w:after="0" w:line="184" w:lineRule="exact"/>
        <w:tabs>
          <w:tab w:leader="none" w:pos="6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aggregate market value of the registrant’s outstanding common stock held by non-affiliates of the registrant computed by reference to the price at which the common stock was last sold as of the last business day of the registrant’s most recently completed second fiscal quarter was approximately $2.5 billion, based on the closing price per share for the registrant’s common stock on the New York Stock Exchange on June 30, 2020.</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were 74,208,646 shares of common stock outstanding as of February 22, 2021.</w:t>
      </w:r>
    </w:p>
    <w:p>
      <w:pPr>
        <w:spacing w:after="0" w:line="356" w:lineRule="exact"/>
        <w:rPr>
          <w:sz w:val="20"/>
          <w:szCs w:val="20"/>
          <w:color w:val="auto"/>
        </w:rPr>
      </w:pPr>
    </w:p>
    <w:p>
      <w:pPr>
        <w:jc w:val="both"/>
        <w:ind w:firstLine="259"/>
        <w:spacing w:after="0" w:line="275" w:lineRule="auto"/>
        <w:rPr>
          <w:sz w:val="20"/>
          <w:szCs w:val="20"/>
          <w:color w:val="auto"/>
        </w:rPr>
      </w:pPr>
      <w:r>
        <w:rPr>
          <w:rFonts w:ascii="Arial" w:cs="Arial" w:eastAsia="Arial" w:hAnsi="Arial"/>
          <w:sz w:val="16"/>
          <w:szCs w:val="16"/>
          <w:color w:val="auto"/>
        </w:rPr>
        <w:t>The registrant’s definitive proxy statement to be filed with the Securities and Exchange Commission pursuant to Regulation 14A for the 2021 annual meeting of shareholders is incorporated by reference in Part III of this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18"/>
                <w:szCs w:val="18"/>
                <w:color w:val="auto"/>
              </w:rPr>
            </w:pPr>
          </w:p>
        </w:tc>
        <w:tc>
          <w:tcPr>
            <w:tcW w:w="9940" w:type="dxa"/>
            <w:vAlign w:val="bottom"/>
          </w:tcPr>
          <w:p>
            <w:pPr>
              <w:ind w:left="3800"/>
              <w:spacing w:after="0"/>
              <w:rPr>
                <w:sz w:val="20"/>
                <w:szCs w:val="20"/>
                <w:color w:val="auto"/>
              </w:rPr>
            </w:pPr>
            <w:r>
              <w:rPr>
                <w:rFonts w:ascii="Arial" w:cs="Arial" w:eastAsia="Arial" w:hAnsi="Arial"/>
                <w:sz w:val="16"/>
                <w:szCs w:val="16"/>
                <w:b w:val="1"/>
                <w:bCs w:val="1"/>
                <w:color w:val="auto"/>
              </w:rPr>
              <w:t>TABLE OF CONTENTS</w:t>
            </w:r>
          </w:p>
        </w:tc>
        <w:tc>
          <w:tcPr>
            <w:tcW w:w="320" w:type="dxa"/>
            <w:vAlign w:val="bottom"/>
          </w:tcPr>
          <w:p>
            <w:pPr>
              <w:spacing w:after="0"/>
              <w:rPr>
                <w:sz w:val="18"/>
                <w:szCs w:val="18"/>
                <w:color w:val="auto"/>
              </w:rPr>
            </w:pPr>
          </w:p>
        </w:tc>
      </w:tr>
      <w:tr>
        <w:trPr>
          <w:trHeight w:val="478"/>
        </w:trPr>
        <w:tc>
          <w:tcPr>
            <w:tcW w:w="90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0"/>
              </w:rPr>
              <w:t>Page</w:t>
            </w:r>
          </w:p>
        </w:tc>
      </w:tr>
      <w:tr>
        <w:trPr>
          <w:trHeight w:val="231"/>
        </w:trPr>
        <w:tc>
          <w:tcPr>
            <w:tcW w:w="900" w:type="dxa"/>
            <w:vAlign w:val="bottom"/>
          </w:tcPr>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Part I</w:t>
              </w:r>
            </w:hyperlink>
          </w:p>
        </w:tc>
        <w:tc>
          <w:tcPr>
            <w:tcW w:w="9940" w:type="dxa"/>
            <w:vAlign w:val="bottom"/>
          </w:tcPr>
          <w:p>
            <w:pPr>
              <w:spacing w:after="0"/>
              <w:rPr>
                <w:sz w:val="20"/>
                <w:szCs w:val="20"/>
                <w:color w:val="auto"/>
              </w:rPr>
            </w:pPr>
          </w:p>
        </w:tc>
        <w:tc>
          <w:tcPr>
            <w:tcW w:w="32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Item 1</w:t>
              </w:r>
            </w:hyperlink>
          </w:p>
        </w:tc>
        <w:tc>
          <w:tcPr>
            <w:tcW w:w="9940" w:type="dxa"/>
            <w:vAlign w:val="bottom"/>
          </w:tcPr>
          <w:p>
            <w:pPr>
              <w:ind w:left="14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Business</w:t>
              </w:r>
            </w:hyperlink>
          </w:p>
        </w:tc>
        <w:tc>
          <w:tcPr>
            <w:tcW w:w="320" w:type="dxa"/>
            <w:vAlign w:val="bottom"/>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Item 1A</w:t>
              </w:r>
            </w:hyperlink>
          </w:p>
        </w:tc>
        <w:tc>
          <w:tcPr>
            <w:tcW w:w="9940" w:type="dxa"/>
            <w:vAlign w:val="bottom"/>
          </w:tcPr>
          <w:p>
            <w:pPr>
              <w:ind w:left="140"/>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Risk Factors</w:t>
              </w:r>
            </w:hyperlink>
          </w:p>
        </w:tc>
        <w:tc>
          <w:tcPr>
            <w:tcW w:w="320" w:type="dxa"/>
            <w:vAlign w:val="bottom"/>
          </w:tcPr>
          <w:p>
            <w:pPr>
              <w:jc w:val="right"/>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16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Item 1B</w:t>
              </w:r>
            </w:hyperlink>
          </w:p>
        </w:tc>
        <w:tc>
          <w:tcPr>
            <w:tcW w:w="9940" w:type="dxa"/>
            <w:vAlign w:val="bottom"/>
          </w:tcPr>
          <w:p>
            <w:pPr>
              <w:ind w:left="14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Unresolved Staff Comments</w:t>
              </w:r>
            </w:hyperlink>
          </w:p>
        </w:tc>
        <w:tc>
          <w:tcPr>
            <w:tcW w:w="320" w:type="dxa"/>
            <w:vAlign w:val="bottom"/>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Item 2</w:t>
              </w:r>
            </w:hyperlink>
          </w:p>
        </w:tc>
        <w:tc>
          <w:tcPr>
            <w:tcW w:w="9940" w:type="dxa"/>
            <w:vAlign w:val="bottom"/>
          </w:tcPr>
          <w:p>
            <w:pPr>
              <w:ind w:left="14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Properties</w:t>
              </w:r>
            </w:hyperlink>
          </w:p>
        </w:tc>
        <w:tc>
          <w:tcPr>
            <w:tcW w:w="320" w:type="dxa"/>
            <w:vAlign w:val="bottom"/>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Item 3</w:t>
              </w:r>
            </w:hyperlink>
          </w:p>
        </w:tc>
        <w:tc>
          <w:tcPr>
            <w:tcW w:w="9940" w:type="dxa"/>
            <w:vAlign w:val="bottom"/>
          </w:tcPr>
          <w:p>
            <w:pPr>
              <w:ind w:left="14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Legal Proceedings</w:t>
              </w:r>
            </w:hyperlink>
          </w:p>
        </w:tc>
        <w:tc>
          <w:tcPr>
            <w:tcW w:w="320" w:type="dxa"/>
            <w:vAlign w:val="bottom"/>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Item 4</w:t>
              </w:r>
            </w:hyperlink>
          </w:p>
        </w:tc>
        <w:tc>
          <w:tcPr>
            <w:tcW w:w="9940" w:type="dxa"/>
            <w:vAlign w:val="bottom"/>
          </w:tcPr>
          <w:p>
            <w:pPr>
              <w:ind w:left="14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Mine Safety Disclosures</w:t>
              </w:r>
            </w:hyperlink>
          </w:p>
        </w:tc>
        <w:tc>
          <w:tcPr>
            <w:tcW w:w="320" w:type="dxa"/>
            <w:vAlign w:val="bottom"/>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tc>
      </w:tr>
      <w:tr>
        <w:trPr>
          <w:trHeight w:val="216"/>
        </w:trPr>
        <w:tc>
          <w:tcPr>
            <w:tcW w:w="900" w:type="dxa"/>
            <w:vAlign w:val="bottom"/>
          </w:tcPr>
          <w:p>
            <w:pPr>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Part II</w:t>
              </w:r>
            </w:hyperlink>
          </w:p>
        </w:tc>
        <w:tc>
          <w:tcPr>
            <w:tcW w:w="994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Item 5</w:t>
              </w:r>
            </w:hyperlink>
          </w:p>
        </w:tc>
        <w:tc>
          <w:tcPr>
            <w:tcW w:w="9940" w:type="dxa"/>
            <w:vAlign w:val="bottom"/>
          </w:tcPr>
          <w:p>
            <w:pPr>
              <w:ind w:left="14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Market for the Registrant’s Common Equity, Related Shareholder Matters and Issuer Purchases of Equity Securities</w:t>
              </w:r>
            </w:hyperlink>
          </w:p>
        </w:tc>
        <w:tc>
          <w:tcPr>
            <w:tcW w:w="320" w:type="dxa"/>
            <w:vAlign w:val="bottom"/>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Item 6</w:t>
              </w:r>
            </w:hyperlink>
          </w:p>
        </w:tc>
        <w:tc>
          <w:tcPr>
            <w:tcW w:w="9940" w:type="dxa"/>
            <w:vAlign w:val="bottom"/>
          </w:tcPr>
          <w:p>
            <w:pPr>
              <w:ind w:left="14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Selected Financial Data</w:t>
              </w:r>
            </w:hyperlink>
          </w:p>
        </w:tc>
        <w:tc>
          <w:tcPr>
            <w:tcW w:w="320" w:type="dxa"/>
            <w:vAlign w:val="bottom"/>
          </w:tcPr>
          <w:p>
            <w:pPr>
              <w:jc w:val="right"/>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7</w:t>
              </w:r>
            </w:hyperlink>
          </w:p>
        </w:tc>
        <w:tc>
          <w:tcPr>
            <w:tcW w:w="9940" w:type="dxa"/>
            <w:vAlign w:val="bottom"/>
          </w:tcPr>
          <w:p>
            <w:pPr>
              <w:ind w:left="14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Management’s Discussion and Analysis of Financial Condition and Results of Operations</w:t>
              </w:r>
            </w:hyperlink>
          </w:p>
        </w:tc>
        <w:tc>
          <w:tcPr>
            <w:tcW w:w="320" w:type="dxa"/>
            <w:vAlign w:val="bottom"/>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29</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Item 7A</w:t>
              </w:r>
            </w:hyperlink>
          </w:p>
        </w:tc>
        <w:tc>
          <w:tcPr>
            <w:tcW w:w="9940" w:type="dxa"/>
            <w:vAlign w:val="bottom"/>
          </w:tcPr>
          <w:p>
            <w:pPr>
              <w:ind w:left="14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Quantitative and Qualitative Disclosures About Market Risk</w:t>
              </w:r>
            </w:hyperlink>
          </w:p>
        </w:tc>
        <w:tc>
          <w:tcPr>
            <w:tcW w:w="320" w:type="dxa"/>
            <w:vAlign w:val="bottom"/>
          </w:tcPr>
          <w:p>
            <w:pPr>
              <w:jc w:val="right"/>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42</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Item 8</w:t>
              </w:r>
            </w:hyperlink>
          </w:p>
        </w:tc>
        <w:tc>
          <w:tcPr>
            <w:tcW w:w="9940" w:type="dxa"/>
            <w:vAlign w:val="bottom"/>
          </w:tcPr>
          <w:p>
            <w:pPr>
              <w:ind w:left="14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Financial Statements and Supplementary Data</w:t>
              </w:r>
            </w:hyperlink>
          </w:p>
        </w:tc>
        <w:tc>
          <w:tcPr>
            <w:tcW w:w="320" w:type="dxa"/>
            <w:vAlign w:val="bottom"/>
          </w:tcPr>
          <w:p>
            <w:pPr>
              <w:jc w:val="right"/>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44</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Item 9</w:t>
              </w:r>
            </w:hyperlink>
          </w:p>
        </w:tc>
        <w:tc>
          <w:tcPr>
            <w:tcW w:w="9940" w:type="dxa"/>
            <w:vAlign w:val="bottom"/>
          </w:tcPr>
          <w:p>
            <w:pPr>
              <w:ind w:left="14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Changes in and Disagreements with Accountants on Accounting and Financial Disclosure</w:t>
              </w:r>
            </w:hyperlink>
          </w:p>
        </w:tc>
        <w:tc>
          <w:tcPr>
            <w:tcW w:w="320" w:type="dxa"/>
            <w:vAlign w:val="bottom"/>
          </w:tcPr>
          <w:p>
            <w:pPr>
              <w:jc w:val="right"/>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84</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Item 9A</w:t>
              </w:r>
            </w:hyperlink>
          </w:p>
        </w:tc>
        <w:tc>
          <w:tcPr>
            <w:tcW w:w="9940" w:type="dxa"/>
            <w:vAlign w:val="bottom"/>
          </w:tcPr>
          <w:p>
            <w:pPr>
              <w:ind w:left="140"/>
              <w:spacing w:after="0"/>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Controls and Procedures</w:t>
              </w:r>
            </w:hyperlink>
          </w:p>
        </w:tc>
        <w:tc>
          <w:tcPr>
            <w:tcW w:w="320" w:type="dxa"/>
            <w:vAlign w:val="bottom"/>
          </w:tcPr>
          <w:p>
            <w:pPr>
              <w:jc w:val="right"/>
              <w:spacing w:after="0"/>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84</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85">
              <w:r>
                <w:rPr>
                  <w:rFonts w:ascii="Arial" w:cs="Arial" w:eastAsia="Arial" w:hAnsi="Arial"/>
                  <w:sz w:val="16"/>
                  <w:szCs w:val="16"/>
                  <w:u w:val="single" w:color="auto"/>
                  <w:color w:val="0000FF"/>
                </w:rPr>
                <w:t>Item 9B</w:t>
              </w:r>
            </w:hyperlink>
          </w:p>
        </w:tc>
        <w:tc>
          <w:tcPr>
            <w:tcW w:w="9940" w:type="dxa"/>
            <w:vAlign w:val="bottom"/>
          </w:tcPr>
          <w:p>
            <w:pPr>
              <w:ind w:left="140"/>
              <w:spacing w:after="0"/>
              <w:rPr>
                <w:rFonts w:ascii="Arial" w:cs="Arial" w:eastAsia="Arial" w:hAnsi="Arial"/>
                <w:sz w:val="16"/>
                <w:szCs w:val="16"/>
                <w:u w:val="single" w:color="auto"/>
                <w:color w:val="0000FF"/>
              </w:rPr>
            </w:pPr>
            <w:hyperlink w:anchor="page85">
              <w:r>
                <w:rPr>
                  <w:rFonts w:ascii="Arial" w:cs="Arial" w:eastAsia="Arial" w:hAnsi="Arial"/>
                  <w:sz w:val="16"/>
                  <w:szCs w:val="16"/>
                  <w:u w:val="single" w:color="auto"/>
                  <w:color w:val="0000FF"/>
                </w:rPr>
                <w:t>Other Information</w:t>
              </w:r>
            </w:hyperlink>
          </w:p>
        </w:tc>
        <w:tc>
          <w:tcPr>
            <w:tcW w:w="320" w:type="dxa"/>
            <w:vAlign w:val="bottom"/>
          </w:tcPr>
          <w:p>
            <w:pPr>
              <w:jc w:val="right"/>
              <w:spacing w:after="0"/>
              <w:rPr>
                <w:rFonts w:ascii="Arial" w:cs="Arial" w:eastAsia="Arial" w:hAnsi="Arial"/>
                <w:sz w:val="16"/>
                <w:szCs w:val="16"/>
                <w:u w:val="single" w:color="auto"/>
                <w:color w:val="0000FF"/>
              </w:rPr>
            </w:pPr>
            <w:hyperlink w:anchor="page85">
              <w:r>
                <w:rPr>
                  <w:rFonts w:ascii="Arial" w:cs="Arial" w:eastAsia="Arial" w:hAnsi="Arial"/>
                  <w:sz w:val="16"/>
                  <w:szCs w:val="16"/>
                  <w:u w:val="single" w:color="auto"/>
                  <w:color w:val="0000FF"/>
                </w:rPr>
                <w:t>86</w:t>
              </w:r>
            </w:hyperlink>
          </w:p>
        </w:tc>
      </w:tr>
      <w:tr>
        <w:trPr>
          <w:trHeight w:val="216"/>
        </w:trPr>
        <w:tc>
          <w:tcPr>
            <w:tcW w:w="900" w:type="dxa"/>
            <w:vAlign w:val="bottom"/>
          </w:tcPr>
          <w:p>
            <w:pPr>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Part III</w:t>
              </w:r>
            </w:hyperlink>
          </w:p>
        </w:tc>
        <w:tc>
          <w:tcPr>
            <w:tcW w:w="994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86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Item 10</w:t>
              </w:r>
            </w:hyperlink>
          </w:p>
        </w:tc>
        <w:tc>
          <w:tcPr>
            <w:tcW w:w="9940" w:type="dxa"/>
            <w:vAlign w:val="bottom"/>
          </w:tcPr>
          <w:p>
            <w:pPr>
              <w:ind w:left="14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Directors, Executive Officers and Corporate Governance</w:t>
              </w:r>
            </w:hyperlink>
          </w:p>
        </w:tc>
        <w:tc>
          <w:tcPr>
            <w:tcW w:w="320" w:type="dxa"/>
            <w:vAlign w:val="bottom"/>
          </w:tcPr>
          <w:p>
            <w:pPr>
              <w:jc w:val="right"/>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86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Item 11</w:t>
              </w:r>
            </w:hyperlink>
          </w:p>
        </w:tc>
        <w:tc>
          <w:tcPr>
            <w:tcW w:w="9940" w:type="dxa"/>
            <w:vAlign w:val="bottom"/>
          </w:tcPr>
          <w:p>
            <w:pPr>
              <w:ind w:left="14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Executive Compensation</w:t>
              </w:r>
            </w:hyperlink>
          </w:p>
        </w:tc>
        <w:tc>
          <w:tcPr>
            <w:tcW w:w="320" w:type="dxa"/>
            <w:vAlign w:val="bottom"/>
          </w:tcPr>
          <w:p>
            <w:pPr>
              <w:jc w:val="right"/>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86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Item 12</w:t>
              </w:r>
            </w:hyperlink>
          </w:p>
        </w:tc>
        <w:tc>
          <w:tcPr>
            <w:tcW w:w="9940" w:type="dxa"/>
            <w:vAlign w:val="bottom"/>
          </w:tcPr>
          <w:p>
            <w:pPr>
              <w:ind w:left="14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Security Ownership of Certain Beneficial Owners and Management and Related Shareholder Matters</w:t>
              </w:r>
            </w:hyperlink>
          </w:p>
        </w:tc>
        <w:tc>
          <w:tcPr>
            <w:tcW w:w="320" w:type="dxa"/>
            <w:vAlign w:val="bottom"/>
          </w:tcPr>
          <w:p>
            <w:pPr>
              <w:jc w:val="right"/>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86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Item 13</w:t>
              </w:r>
            </w:hyperlink>
          </w:p>
        </w:tc>
        <w:tc>
          <w:tcPr>
            <w:tcW w:w="9940" w:type="dxa"/>
            <w:vAlign w:val="bottom"/>
          </w:tcPr>
          <w:p>
            <w:pPr>
              <w:ind w:left="14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Certain Relationships and Related Transactions, and Director Independence</w:t>
              </w:r>
            </w:hyperlink>
          </w:p>
        </w:tc>
        <w:tc>
          <w:tcPr>
            <w:tcW w:w="320" w:type="dxa"/>
            <w:vAlign w:val="bottom"/>
          </w:tcPr>
          <w:p>
            <w:pPr>
              <w:jc w:val="right"/>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86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Item 14</w:t>
              </w:r>
            </w:hyperlink>
          </w:p>
        </w:tc>
        <w:tc>
          <w:tcPr>
            <w:tcW w:w="9940" w:type="dxa"/>
            <w:vAlign w:val="bottom"/>
          </w:tcPr>
          <w:p>
            <w:pPr>
              <w:ind w:left="14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Principal Accounting Fees and Services</w:t>
              </w:r>
            </w:hyperlink>
          </w:p>
        </w:tc>
        <w:tc>
          <w:tcPr>
            <w:tcW w:w="320" w:type="dxa"/>
            <w:vAlign w:val="bottom"/>
          </w:tcPr>
          <w:p>
            <w:pPr>
              <w:jc w:val="right"/>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86</w:t>
              </w:r>
            </w:hyperlink>
          </w:p>
        </w:tc>
      </w:tr>
      <w:tr>
        <w:trPr>
          <w:trHeight w:val="216"/>
        </w:trPr>
        <w:tc>
          <w:tcPr>
            <w:tcW w:w="900" w:type="dxa"/>
            <w:vAlign w:val="bottom"/>
          </w:tcPr>
          <w:p>
            <w:pPr>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Part IV</w:t>
              </w:r>
            </w:hyperlink>
          </w:p>
        </w:tc>
        <w:tc>
          <w:tcPr>
            <w:tcW w:w="994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86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Item 15</w:t>
              </w:r>
            </w:hyperlink>
          </w:p>
        </w:tc>
        <w:tc>
          <w:tcPr>
            <w:tcW w:w="9940" w:type="dxa"/>
            <w:vAlign w:val="bottom"/>
          </w:tcPr>
          <w:p>
            <w:pPr>
              <w:ind w:left="14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Exhibits and Financial Statement Schedules</w:t>
              </w:r>
            </w:hyperlink>
          </w:p>
        </w:tc>
        <w:tc>
          <w:tcPr>
            <w:tcW w:w="320" w:type="dxa"/>
            <w:vAlign w:val="bottom"/>
          </w:tcPr>
          <w:p>
            <w:pPr>
              <w:jc w:val="right"/>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86</w:t>
              </w:r>
            </w:hyperlink>
          </w:p>
        </w:tc>
      </w:tr>
      <w:tr>
        <w:trPr>
          <w:trHeight w:val="216"/>
        </w:trPr>
        <w:tc>
          <w:tcPr>
            <w:tcW w:w="900" w:type="dxa"/>
            <w:vAlign w:val="bottom"/>
          </w:tcPr>
          <w:p>
            <w:pPr>
              <w:ind w:left="200"/>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Item 16</w:t>
              </w:r>
            </w:hyperlink>
          </w:p>
        </w:tc>
        <w:tc>
          <w:tcPr>
            <w:tcW w:w="9940" w:type="dxa"/>
            <w:vAlign w:val="bottom"/>
          </w:tcPr>
          <w:p>
            <w:pPr>
              <w:ind w:left="140"/>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Form 10-K Summary</w:t>
              </w:r>
            </w:hyperlink>
          </w:p>
        </w:tc>
        <w:tc>
          <w:tcPr>
            <w:tcW w:w="320" w:type="dxa"/>
            <w:vAlign w:val="bottom"/>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88</w:t>
              </w:r>
            </w:hyperlink>
          </w:p>
        </w:tc>
      </w:tr>
      <w:tr>
        <w:trPr>
          <w:trHeight w:val="216"/>
        </w:trPr>
        <w:tc>
          <w:tcPr>
            <w:tcW w:w="900" w:type="dxa"/>
            <w:vAlign w:val="bottom"/>
          </w:tcPr>
          <w:p>
            <w:pPr>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Signatures</w:t>
              </w:r>
            </w:hyperlink>
          </w:p>
        </w:tc>
        <w:tc>
          <w:tcPr>
            <w:tcW w:w="994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90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78105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80" w:top="89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1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is making this statement pursuant to the safe harbor provisions for forward-looking statements described in the Private Securities Litigation Reform Act of 1995. We make statements in this Annual Report on Form 10-K (“this Form 10-K” or this “Annual Report”) and in the documents that we incorporate by reference into this Annual Report that are forward-looking. When used in this Annual Report or in any other presentation, statements which are not historical in nature, including the words “anticipate,” “estimate,” “could,” “should,” “may,” “might,” “plan,” “seek,” “expect,” “believe,” “intend,” “target,” “will,” “project,” “forecast,” “continue” and variations of these words and negatives thereof and similar expressions are intended to identify forward-looking statements. They also include statements regarding:</w:t>
      </w:r>
    </w:p>
    <w:p>
      <w:pPr>
        <w:spacing w:after="0" w:line="68" w:lineRule="exact"/>
        <w:rPr>
          <w:sz w:val="20"/>
          <w:szCs w:val="20"/>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growth and profitability;</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competitive strengths; and</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strategy and the trends we anticipate in the industries and economies in which we operate.</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Important factors that could cause actual results to differ materially from those in forward-looking statements include:</w:t>
      </w:r>
    </w:p>
    <w:p>
      <w:pPr>
        <w:spacing w:after="0" w:line="65" w:lineRule="exact"/>
        <w:rPr>
          <w:sz w:val="20"/>
          <w:szCs w:val="20"/>
          <w:color w:val="auto"/>
        </w:rPr>
      </w:pPr>
    </w:p>
    <w:p>
      <w:pPr>
        <w:ind w:left="900" w:right="20" w:hanging="244"/>
        <w:spacing w:after="0" w:line="258"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market conditions, technological developments, regulatory or policy changes, including permitting processes and tax incentives that affect us or our customers’ industries;</w:t>
      </w:r>
    </w:p>
    <w:p>
      <w:pPr>
        <w:spacing w:after="0" w:line="76"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effect of federal, local, state, foreign or tax legislation and other regulations affecting the industries we serve and related projects and expenditures;</w:t>
      </w:r>
    </w:p>
    <w:p>
      <w:pPr>
        <w:spacing w:after="0" w:line="124" w:lineRule="exact"/>
        <w:rPr>
          <w:rFonts w:ascii="Arial" w:cs="Arial" w:eastAsia="Arial" w:hAnsi="Arial"/>
          <w:sz w:val="15"/>
          <w:szCs w:val="15"/>
          <w:color w:val="auto"/>
        </w:rPr>
      </w:pPr>
    </w:p>
    <w:p>
      <w:pPr>
        <w:jc w:val="both"/>
        <w:ind w:left="900" w:hanging="244"/>
        <w:spacing w:after="0" w:line="261" w:lineRule="auto"/>
        <w:tabs>
          <w:tab w:leader="none" w:pos="88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 on demand for our services of changes in the amount of capital expenditures by our customers due to, among other things, economic conditions, including potential adverse effects of public health issues, such as the coronavirus outbreak on economic activity generally, the availability and cost of financing, and customer consolidation in the industries we serve;</w:t>
      </w:r>
    </w:p>
    <w:p>
      <w:pPr>
        <w:spacing w:after="0" w:line="74" w:lineRule="exact"/>
        <w:rPr>
          <w:rFonts w:ascii="Arial" w:cs="Arial" w:eastAsia="Arial" w:hAnsi="Arial"/>
          <w:sz w:val="16"/>
          <w:szCs w:val="16"/>
          <w:color w:val="auto"/>
        </w:rPr>
      </w:pPr>
    </w:p>
    <w:p>
      <w:pPr>
        <w:ind w:left="900" w:hanging="244"/>
        <w:spacing w:after="0" w:line="275" w:lineRule="auto"/>
        <w:tabs>
          <w:tab w:leader="none" w:pos="889" w:val="left"/>
        </w:tabs>
        <w:numPr>
          <w:ilvl w:val="0"/>
          <w:numId w:val="4"/>
        </w:numPr>
        <w:rPr>
          <w:rFonts w:ascii="Arial" w:cs="Arial" w:eastAsia="Arial" w:hAnsi="Arial"/>
          <w:sz w:val="16"/>
          <w:szCs w:val="16"/>
          <w:color w:val="auto"/>
        </w:rPr>
      </w:pPr>
      <w:r>
        <w:rPr>
          <w:rFonts w:ascii="Arial" w:cs="Arial" w:eastAsia="Arial" w:hAnsi="Arial"/>
          <w:sz w:val="16"/>
          <w:szCs w:val="16"/>
          <w:color w:val="auto"/>
        </w:rPr>
        <w:t>activity in the industries we serve and the impact on our customers’ expenditure levels caused by fluctuations in commodity prices, including for oil, natural gas, electricity and other energy sources;</w:t>
      </w:r>
    </w:p>
    <w:p>
      <w:pPr>
        <w:spacing w:after="0" w:line="64" w:lineRule="exact"/>
        <w:rPr>
          <w:rFonts w:ascii="Arial" w:cs="Arial" w:eastAsia="Arial" w:hAnsi="Arial"/>
          <w:sz w:val="16"/>
          <w:szCs w:val="16"/>
          <w:color w:val="auto"/>
        </w:rPr>
      </w:pPr>
    </w:p>
    <w:p>
      <w:pPr>
        <w:ind w:left="900" w:right="20" w:hanging="244"/>
        <w:spacing w:after="0" w:line="310" w:lineRule="auto"/>
        <w:tabs>
          <w:tab w:leader="none" w:pos="891"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w:t>
      </w:r>
    </w:p>
    <w:p>
      <w:pPr>
        <w:spacing w:after="0" w:line="40" w:lineRule="exact"/>
        <w:rPr>
          <w:rFonts w:ascii="Arial" w:cs="Arial" w:eastAsia="Arial" w:hAnsi="Arial"/>
          <w:sz w:val="15"/>
          <w:szCs w:val="15"/>
          <w:color w:val="auto"/>
        </w:rPr>
      </w:pPr>
    </w:p>
    <w:p>
      <w:pPr>
        <w:ind w:left="880" w:hanging="224"/>
        <w:spacing w:after="0"/>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timing and extent of fluctuations in operational, geographic and weather factors affecting our customers, projects and the industries in which we operate;</w:t>
      </w:r>
    </w:p>
    <w:p>
      <w:pPr>
        <w:spacing w:after="0" w:line="124" w:lineRule="exact"/>
        <w:rPr>
          <w:rFonts w:ascii="Arial" w:cs="Arial" w:eastAsia="Arial" w:hAnsi="Arial"/>
          <w:sz w:val="15"/>
          <w:szCs w:val="15"/>
          <w:color w:val="auto"/>
        </w:rPr>
      </w:pPr>
    </w:p>
    <w:p>
      <w:pPr>
        <w:jc w:val="both"/>
        <w:ind w:left="900" w:hanging="244"/>
        <w:spacing w:after="0" w:line="261" w:lineRule="auto"/>
        <w:tabs>
          <w:tab w:leader="none" w:pos="88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w:t>
      </w:r>
    </w:p>
    <w:p>
      <w:pPr>
        <w:spacing w:after="0" w:line="74" w:lineRule="exact"/>
        <w:rPr>
          <w:rFonts w:ascii="Arial" w:cs="Arial" w:eastAsia="Arial" w:hAnsi="Arial"/>
          <w:sz w:val="16"/>
          <w:szCs w:val="16"/>
          <w:color w:val="auto"/>
        </w:rPr>
      </w:pPr>
    </w:p>
    <w:p>
      <w:pPr>
        <w:jc w:val="both"/>
        <w:ind w:left="900" w:hanging="244"/>
        <w:spacing w:after="0" w:line="261" w:lineRule="auto"/>
        <w:tabs>
          <w:tab w:leader="none" w:pos="889"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completed or potential acquisitions, including our ability to identify suitable acquisition or strategic investment opportunities, to integrate acquired businesses within expected timeframes and to achieve the revenue, cost savings and earnings levels from such acquisitions at or above the levels projected, including the risk of potential asset impairment charges and write-downs of goodwill;</w:t>
      </w:r>
    </w:p>
    <w:p>
      <w:pPr>
        <w:spacing w:after="0" w:line="74"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dependence on a limited number of customers and our ability to replace non-recurring projects with new projects;</w:t>
      </w:r>
    </w:p>
    <w:p>
      <w:pPr>
        <w:spacing w:after="0" w:line="113" w:lineRule="exact"/>
        <w:rPr>
          <w:rFonts w:ascii="Arial" w:cs="Arial" w:eastAsia="Arial" w:hAnsi="Arial"/>
          <w:sz w:val="16"/>
          <w:szCs w:val="16"/>
          <w:color w:val="auto"/>
        </w:rPr>
      </w:pPr>
    </w:p>
    <w:p>
      <w:pPr>
        <w:ind w:left="900" w:right="20" w:hanging="244"/>
        <w:spacing w:after="0" w:line="275" w:lineRule="auto"/>
        <w:tabs>
          <w:tab w:leader="none" w:pos="88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 of state and federal regulatory initiatives, including costs of compliance with existing and potential future safety and environmental requirements, including with respect to climate change;</w:t>
      </w:r>
    </w:p>
    <w:p>
      <w:pPr>
        <w:spacing w:after="0" w:line="64"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associated with potential environmental issues and other hazards from our operations;</w:t>
      </w:r>
    </w:p>
    <w:p>
      <w:pPr>
        <w:spacing w:after="0" w:line="113" w:lineRule="exact"/>
        <w:rPr>
          <w:rFonts w:ascii="Arial" w:cs="Arial" w:eastAsia="Arial" w:hAnsi="Arial"/>
          <w:sz w:val="16"/>
          <w:szCs w:val="16"/>
          <w:color w:val="auto"/>
        </w:rPr>
      </w:pPr>
    </w:p>
    <w:p>
      <w:pPr>
        <w:ind w:left="900" w:hanging="244"/>
        <w:spacing w:after="0" w:line="275" w:lineRule="auto"/>
        <w:tabs>
          <w:tab w:leader="none" w:pos="95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disputes with, or failures of, our subcontractors to deliver agreed-upon supplies or services in a timely fashion, and the risk of being required to pay our subcontractors even if our customers do not pay us;</w:t>
      </w:r>
    </w:p>
    <w:p>
      <w:pPr>
        <w:spacing w:after="0" w:line="64"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strategic arrangements, including our equity investments;</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exposure resulting from system or information technology interruptions or data security breaches;</w:t>
      </w:r>
    </w:p>
    <w:p>
      <w:pPr>
        <w:spacing w:after="0" w:line="125" w:lineRule="exact"/>
        <w:rPr>
          <w:rFonts w:ascii="Arial" w:cs="Arial" w:eastAsia="Arial" w:hAnsi="Arial"/>
          <w:sz w:val="16"/>
          <w:szCs w:val="16"/>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6"/>
          <w:szCs w:val="16"/>
          <w:color w:val="auto"/>
        </w:rPr>
        <w:t>any material changes in estimates for legal costs or case settlements or adverse determinations on any claim, lawsuit or proceeding;</w:t>
      </w:r>
    </w:p>
    <w:p>
      <w:pPr>
        <w:spacing w:after="0" w:line="104"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adequacy of our insurance, legal and other reserves;</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outcome of our plans for future operations, growth and services, including business development efforts, backlog, acquisitions and dispositions;</w:t>
      </w:r>
    </w:p>
    <w:p>
      <w:pPr>
        <w:spacing w:after="0" w:line="124" w:lineRule="exact"/>
        <w:rPr>
          <w:rFonts w:ascii="Arial" w:cs="Arial" w:eastAsia="Arial" w:hAnsi="Arial"/>
          <w:sz w:val="15"/>
          <w:szCs w:val="15"/>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a workforce based upon current and anticipated workloads;</w:t>
      </w:r>
    </w:p>
    <w:p>
      <w:pPr>
        <w:spacing w:after="0" w:line="113" w:lineRule="exact"/>
        <w:rPr>
          <w:rFonts w:ascii="Arial" w:cs="Arial" w:eastAsia="Arial" w:hAnsi="Arial"/>
          <w:sz w:val="16"/>
          <w:szCs w:val="16"/>
          <w:color w:val="auto"/>
        </w:rPr>
      </w:pPr>
    </w:p>
    <w:p>
      <w:pPr>
        <w:ind w:left="900" w:hanging="244"/>
        <w:spacing w:after="0" w:line="275" w:lineRule="auto"/>
        <w:tabs>
          <w:tab w:leader="none" w:pos="888"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and retain qualified personnel, key management and skilled employees, including from acquired businesses, and our ability to enforce any noncompetition agreements;</w:t>
      </w:r>
    </w:p>
    <w:p>
      <w:pPr>
        <w:spacing w:after="0" w:line="64"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fuel, maintenance, materials, labor and other costs;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jc w:val="both"/>
        <w:ind w:left="900" w:hanging="244"/>
        <w:spacing w:after="0" w:line="261" w:lineRule="auto"/>
        <w:tabs>
          <w:tab w:leader="none" w:pos="909"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associated with volatility of our stock price or any dilution or stock price volatility that shareholders may experience in connection with shares we may issue as consideration for earn-out obligations or as purchase consideration in connection with past or future acquisitions, or as a result of other stock issuances;</w:t>
      </w:r>
    </w:p>
    <w:p>
      <w:pPr>
        <w:spacing w:after="0" w:line="74"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restrictions imposed by our credit facility, senior notes and any future loans or securities;</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obtain performance and surety bonds;</w:t>
      </w:r>
    </w:p>
    <w:p>
      <w:pPr>
        <w:spacing w:after="0" w:line="113" w:lineRule="exact"/>
        <w:rPr>
          <w:rFonts w:ascii="Arial" w:cs="Arial" w:eastAsia="Arial" w:hAnsi="Arial"/>
          <w:sz w:val="16"/>
          <w:szCs w:val="16"/>
          <w:color w:val="auto"/>
        </w:rPr>
      </w:pPr>
    </w:p>
    <w:p>
      <w:pPr>
        <w:ind w:left="900" w:right="20" w:hanging="244"/>
        <w:spacing w:after="0" w:line="275" w:lineRule="auto"/>
        <w:tabs>
          <w:tab w:leader="none" w:pos="889"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our operations that employ a unionized workforce, including labor availability, productivity and relations, as well as risks associated with multiemployer union pension plans, including underfunding and withdrawal liabilities;</w:t>
      </w:r>
    </w:p>
    <w:p>
      <w:pPr>
        <w:spacing w:after="0" w:line="64" w:lineRule="exact"/>
        <w:rPr>
          <w:rFonts w:ascii="Arial" w:cs="Arial" w:eastAsia="Arial" w:hAnsi="Arial"/>
          <w:sz w:val="16"/>
          <w:szCs w:val="16"/>
          <w:color w:val="auto"/>
        </w:rPr>
      </w:pPr>
    </w:p>
    <w:p>
      <w:pPr>
        <w:ind w:left="900" w:hanging="244"/>
        <w:spacing w:after="0" w:line="310" w:lineRule="auto"/>
        <w:tabs>
          <w:tab w:leader="none" w:pos="889" w:val="left"/>
        </w:tabs>
        <w:numPr>
          <w:ilvl w:val="0"/>
          <w:numId w:val="5"/>
        </w:numPr>
        <w:rPr>
          <w:rFonts w:ascii="Arial" w:cs="Arial" w:eastAsia="Arial" w:hAnsi="Arial"/>
          <w:sz w:val="15"/>
          <w:szCs w:val="15"/>
          <w:color w:val="auto"/>
        </w:rPr>
      </w:pPr>
      <w:r>
        <w:rPr>
          <w:rFonts w:ascii="Arial" w:cs="Arial" w:eastAsia="Arial" w:hAnsi="Arial"/>
          <w:sz w:val="15"/>
          <w:szCs w:val="15"/>
          <w:color w:val="auto"/>
        </w:rPr>
        <w:t>risks associated with operating in or expanding into additional international markets, including risks from fluctuations in foreign currencies, foreign labor and general business conditions and risks from failure to comply with laws applicable to our foreign activities and/or governmental policy uncertainty;</w:t>
      </w:r>
    </w:p>
    <w:p>
      <w:pPr>
        <w:spacing w:after="0" w:line="40" w:lineRule="exact"/>
        <w:rPr>
          <w:rFonts w:ascii="Arial" w:cs="Arial" w:eastAsia="Arial" w:hAnsi="Arial"/>
          <w:sz w:val="15"/>
          <w:szCs w:val="15"/>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small number of our existing shareholders have the ability to influence major corporate decisions; and</w:t>
      </w:r>
    </w:p>
    <w:p>
      <w:pPr>
        <w:spacing w:after="0" w:line="113" w:lineRule="exact"/>
        <w:rPr>
          <w:rFonts w:ascii="Arial" w:cs="Arial" w:eastAsia="Arial" w:hAnsi="Arial"/>
          <w:sz w:val="16"/>
          <w:szCs w:val="16"/>
          <w:color w:val="auto"/>
        </w:rPr>
      </w:pPr>
    </w:p>
    <w:p>
      <w:pPr>
        <w:jc w:val="both"/>
        <w:ind w:left="900" w:hanging="244"/>
        <w:spacing w:after="0" w:line="261" w:lineRule="auto"/>
        <w:tabs>
          <w:tab w:leader="none" w:pos="954"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factors referenced in this Annual Report, including, without limitation, under Item 1. “Business,” Item 1A. “Risk Factors,” Item 7. “Management’s Discussion and Analysis of Financial Condition and Results of Operations” and other factors detailed from time to time in the reports and other filings we make with the Securities and Exchange Commission (the “SEC”).</w:t>
      </w:r>
    </w:p>
    <w:p>
      <w:pPr>
        <w:spacing w:after="0" w:line="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Form 10-K, in the documents that we incorporate by reference into this Form 10-K and in other documents that we file with the SEC. We do not undertake any obligation to publicly update or revise these forward-looking statements after the date of this Form 10-K to reflect future events or circumstances, except as required by applicable law. We qualify any and all of our forward-looking statements by these cautionary factors.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PART I</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generation, including from clean energy and renewable sources; pipeline infrastructure; electrical utility transmission and distribution; heavy civil; and industrial infrastructure. Our customers are primarily in these industries. Including our predecessor companies, we have been in business for over 90 years. For the twelve month period ended December 31, 2020, we had an average of approximately 18,000 employees and 420 locations. We offer our services primarily under the MasTec service mark. We have been consistently ranked among the top specialty contractors by Engineering News-Record for the past several years.</w:t>
      </w:r>
    </w:p>
    <w:p>
      <w:pPr>
        <w:spacing w:after="0" w:line="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7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We seek to grow and diversify our business organically and through acquisitions and/or other strategic arrangements in order to deepen our market presence, broaden our geographic reach and expand our service offerings. For discussion of our recent acquisitions, see Item 7. “Management’s Discussion and Analysis of Financial Condition and Results of Operations - Business,” which is incorporated by reference.</w:t>
      </w:r>
    </w:p>
    <w:p>
      <w:pPr>
        <w:spacing w:after="0" w:line="7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We manage our operations under five operating segments, which represent our five reportable segments: (1) Communications; (2) Clean Energy and Infrastructure; (3) Oil and Gas; (4) Electrical Transmission and (5) Other. This structure is generally focused on broad end-user markets for our labor-based construction services. During the second quarter of 2020, we renamed our Power Generation and Industrial segment as the Clean Energy and Infrastructure segment to better represent the nature of the segment’s operations, end markets and customer characteristics. There was no change to the composition of the segment or its historical results.</w:t>
      </w:r>
    </w:p>
    <w:p>
      <w:pPr>
        <w:spacing w:after="0" w:line="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Our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Our Clean Energy and Infrastructure segment primarily serves energy, utility and other end-markets through the installation and construction of power generation facilities, including from clean energy and renewable sources such as wind, solar and biomass, as well as various types of heavy civil and industrial infrastructure. We perform engineering, construction and maintenance services for pipelines and processing facilities for the energy and utilities industries through our Oil and Gas segment. Our Electrical Transmission segment primarily serves the energy and utility industries through the engineering, construction and maintenance of electrical transmission lines and substations. The Other segment includes certain equity investees, the services of which vary from those provided by our primary segments, as well as other small business units that perform construction and other services for a variety of international end-markets. See Note 13 - Segments and Related Information and Note 14 - Commitments and Contingencies in the notes to the audited consolidated financial statements, which are incorporated by reference, for segment related information and significant customer concentrations.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this Form 10-K, “$” means U.S. dollars unless otherwise indicated.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industry is composed of national, regional and local companies that provide services to customers in a range of industries. We believe the following industry trends affect demand for our services: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Communications Segment</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Significant advances in technology and rapid innovation in service offerings to data consumers continue to increase demand for faster and more reliable wireless and wireline/fiber communications network services. The amount of network data traffic is experiencing significant and accelerating levels of growth from increased usage of mobile devices, advancements in the “Internet of Things (IoT)” and a significant increase in the use of mobile and remote technologies in response to the COVID-19 pandemic, which has accelerated trends that were underway prior to the pandemic. Increased data usage is expected to significantly increase data traffic, resulting in the need for new and upgraded networks. Contributing to the increase in data usage are video and streaming technologies, ‘smart’ technologies, including ‘Smart City’ and ‘Smart Home’ applications, artificial intelligence and other advanced data services, including video surveillance, robotics, drones, digital health applications and autonomous vehicles, among others. Cisco Systems, Inc. (“Cisco”) predicts that broadband connection speeds in North America will more than double by 2023, from approximately 55 Mbps in 2018 to over 140 Mbps in 2023, according to its March 2020 Annual Internet Report, 2018-2023.</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According to Deloitte &amp; Touche LLP’s (“Deloitte”) 2021 Outlook for the US Telecommunications, Media and Entertainment Industry publication, in 2020, US telecommunications networks were key in driving changes in how people live, work and learn amidst the COVID-19 pandemic, and helped to mitigate the pandemic’s negative effects by keeping people and communities connected. The publication predicts that telecommunications providers will serve as the bedrock for the ability of businesses to recover and thrive in 2021 by continuing to enable new modes of communication. Telecommunications companies are projected to have an even larger role in shaping the future as next generation 5G wireless technology gains traction among both businesses and consumers. 5G, the next generation of wireless and fixed wireless network capacity, is expected to provide a platform for the IoT, which can be harnessed to drive innovation and improvements in healthcare, education, public safety, the development of Smart Cities, Smart Homes and Smart Farming, among many other applications. 5G is expected to provide businesses with significant real-time visibility, insight and control over assets, products and services, with the potential to transform how businesses operate and deliver new products and services.</w:t>
      </w:r>
    </w:p>
    <w:p>
      <w:pPr>
        <w:spacing w:after="0" w:line="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response to these growing opportunities, communications service providers (“CSPs”) are expanding, densifying and optimizing current wireless and wireline/fiber communications network capacity, while initiating a build-out of 5G infrastructure. Additionally, changes in CSPs, such as the T-Mobile acquisition of Sprint and the related creation of Dish Network as an additional nationwide CSP, are further accelerating the build-out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 w:name="page7"/>
    <w:bookmarkEnd w:id="6"/>
    <w:p>
      <w:pPr>
        <w:jc w:val="both"/>
        <w:spacing w:after="0" w:line="272" w:lineRule="auto"/>
        <w:rPr>
          <w:sz w:val="20"/>
          <w:szCs w:val="20"/>
          <w:color w:val="auto"/>
        </w:rPr>
      </w:pPr>
      <w:r>
        <w:rPr>
          <w:rFonts w:ascii="Arial" w:cs="Arial" w:eastAsia="Arial" w:hAnsi="Arial"/>
          <w:sz w:val="15"/>
          <w:szCs w:val="15"/>
          <w:color w:val="auto"/>
        </w:rPr>
        <w:t>of 5G infrastructure. An August 2019 Gartner, Inc. publication indicates that to achieve nationwide coverage levels, changes to the structure of the network architecture for 5G wireless communications will require a longer period of installation when compared to past generation changes in wireless infrastructure. In order to maintain performance standards as 5G is built-out, CSPs will need to undertake targeted strategic improvements to their 4G legacy networks by upgrading 4G core infrastructure alongside 5G deployment areas. Cisco, in its Annual Internet Report, predicts that 5G devices and connections will be over 10 percent of global mobile devices and connections by 2023. Large scale 5G deployments, which are expected over the next several years, will include additional and improved tower capacity, as well as deployment of numerous higher bandwidth small/micro cells, distributed antenna systems and fiber network expansion to densify network performance.</w:t>
      </w:r>
    </w:p>
    <w:p>
      <w:pPr>
        <w:spacing w:after="0" w:line="6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We believe that nationwide 5G tower deployments, along with the future impact of newly available C-band spectrum, deployment of small/micro cells and fiber network expansion by major carriers in support of 5G will lead to significant demand for 5G telecommunications infrastructure over multiple years. A December 2020 report by Grand View Research indicated that the global 5G infrastructure market is expected to expand at a compound annual growth rate of almost 60% from 2020 to 2027, and a September 2020 publication by Boston Consulting Group projects that U.S. telecommunications companies will invest over $250 billion to build 5G networks from 2020-2025. In August 2020, the Federal Communications Commission’s (the “FCC”) initiatives to speed deployment of 5G technology in the United States through the Facilitate America’s Superiority in 5G Technology, or “FAST” Plan, were upheld by the U.S. Court of Appeals. The FAST Plan is designed to make more spectrum available to the market and encourage implementation of and investment in 5G technology across the United States by streamlining regulatory processes and updating infrastructure policies. During 2019, the FCC completed its first set of high-band airwaves auctions to make spectrum available for 5G wireless, IoT and other advanced spectrum-based services and, in January 2021, the FCC completed a separate auction of significant mid-band 5G spectrum, making a portion of the C-band available in its largest mid-band spectrum auction to date, years ahead of schedule. According to the FCC’s release, this spectrum holds the potential to be prime spectrum for 5G services given its combination of geographic coverage and capacity.</w:t>
      </w:r>
    </w:p>
    <w:p>
      <w:pPr>
        <w:spacing w:after="0" w:line="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Several initiatives designed to drive development of telecommunications and 5G infrastructure in rural areas are also underway. The Connect America Fund (“CAF”) program is designed to improve the quality and expand the availability of high-speed internet service in rural areas, and in January 2020, the FCC announced its Rural Digital Opportunity Fund (“RDOF”), which is a follow-up initiative to the CAF program. RDOF will make over $20 billion in funding available over the next 10 years to build and connect gigabit broadband speeds in unserved rural areas. Additionally, in October 2020, the FCC established the 5G Fund for Rural America, which will provide up to $9 billion in funding over the next decade to bring 5G wireless broadband connectivity to rural America.</w:t>
      </w:r>
    </w:p>
    <w:p>
      <w:pPr>
        <w:spacing w:after="0" w:line="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market for Smart City initiatives, in which cities use IoT technologies to collect and use insights gained from data to manage city assets, resources and services more efficiently, is a developing trend that is expected to accelerate due to the combination of increased data speeds and data capacity capabilities of wireless and wireline networks and developing IoT applications. To address the expected escalating demands for resources of so many residents living, working, driving and interacting with each other, cities are looking at ways to become ‘smarter’ and more efficient in responding to these needs, including through Smart City initiatives to address and improve traffic flow, public safety and energy efficiency. According to CTIA’s Smart Cities Playbook, smart lighting solutions have the potential to save more than $1 billion per year across the United States and smart traffic management systems have the potential to reduce congestion by 40% and save $100 million annually. According to a recent Axios article, cities are projected to invest over $8 billion in smart street lighting technologies over the next ten years. Forbes Magazine in 2019 estimated that two-thirds of cities globally are investing in Smart City technologies, including such technologies as Wi-Fi kiosks, smart lighting solutions, utility meters, smart traffic management systems, video sensors, weather sensors, drone sensors for public safety efforts and radio frequency identification sensors in the pavement. Global spending on Smart City initiatives is expected to total almost $125 billion in 2020, according to a February 2020 report by International Data Corporation.</w:t>
      </w:r>
    </w:p>
    <w:p>
      <w:pPr>
        <w:spacing w:after="0" w:line="7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Smart Home technologies represent a wide range of solutions for monitoring, controlling and automating functions in a home. These technologies are expected to benefit from the global rollout of 5G and improvements in Wi-Fi technologies, which are revolutionizing the delivery of IoT services. According to Mordor Intelligence’s Global Smart Home Market 2020-2025 report, the demand for smart home solutions is expected to increase significantly as consumers look to add smart home technologies such as connected cameras, video doorbells and security systems, energy management solutions and entertainment controls. Mordor Intelligence predicts that the Smart Home market will grow from approximately $80 billion in 2019 to approximately $224 billion in 2025. We believe that opportunities for installation and maintenance of both Smart City and Smart Home technologies will provide our install-to-the-home group opportunities for future growth, providing an offset to declining trends in subscribership for satellite TV.</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believe that we are well-positioned, as one of the largest providers of communications infrastructure services, to substantially benefit from the expected multi-year significant and broad opportunities in the telecommunications market as previously described.</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Clean Energy and Infrastructure Segment</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Climate change initiatives and the desire to reduce carbon emissions continued to gain momentum in 2020, continuing the change in the mix of fuel sources used in energy generation toward cleaner and more sustainable energy sources. According to Deloitte’s Industry Outlooks 2021: Power, Utilities &amp; Renewables report, businesses, states, cities and utilities continued to announce decarbonization plans in 2020, with many utilities and their customers announcing and accelerating plans to fully decarbonize over the next three decades. Demand for clean energy sources continues to grow, with renewables reporting rising levels of usage and capacity as well as declining costs. Potential new governmental and policy initiatives, including from the United States rejoining the Paris Agreement, could drive even further growth in renewable energy infrastructure. According to a January 2021 publication by BloombergNEF, global investment in low-carbon energy transition projects totaled $501 billion in 2020, a 9% increase from 2019, with renewables totaling $304 billion of the total global 2020 investment, for which wind and solar were the primary drivers.</w:t>
      </w:r>
    </w:p>
    <w:p>
      <w:pPr>
        <w:spacing w:after="0" w:line="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Growing corporate initiatives for smaller, standalone distributed generation facilities, together with regulatory and other policy initiatives at the federal, state and municipal levels, have spurred demand for clean energy production from sustainable power sources, including electrical power production from renewable sources such as wind, solar and biomass. Currently, almost 40 states, as well as the District of Columbia and four territories, have adopted renewable portfolio standards (“RPS”) or renewable energy goals. States have created these standards to diversify their energy resources, promote domestic energy production and encourage economic development. According to Deloitte’s 2021 Renewable Energy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 w:name="page8"/>
    <w:bookmarkEnd w:id="7"/>
    <w:p>
      <w:pPr>
        <w:jc w:val="both"/>
        <w:spacing w:after="0" w:line="298" w:lineRule="auto"/>
        <w:rPr>
          <w:sz w:val="20"/>
          <w:szCs w:val="20"/>
          <w:color w:val="auto"/>
        </w:rPr>
      </w:pPr>
      <w:r>
        <w:rPr>
          <w:rFonts w:ascii="Arial" w:cs="Arial" w:eastAsia="Arial" w:hAnsi="Arial"/>
          <w:sz w:val="14"/>
          <w:szCs w:val="14"/>
          <w:color w:val="auto"/>
        </w:rPr>
        <w:t>Industry Outlook, rising state renewable portfolio standards, increasing levels of corporate and residential demand, and improving economic competitiveness of renewable sources continue to be key drivers for their growth, with potential future federal policy initiatives, mandates and stimulus providing additional growth drivers. Renewable energy policies have helped to drive the U.S. market for wind, solar and other renewable energy sources. According to BloombergNEF’s January 2021 publication, U.S. investment in renewable energy capacity approximated $49 billion in 2020. In addition, growing efforts to address electric grid resiliency are expected to drive growth in renewables, as utilities and their customers increasingly consider renewable microgrids combined with energy storage solutions to support critical facilities.</w:t>
      </w:r>
    </w:p>
    <w:p>
      <w:pPr>
        <w:spacing w:after="0" w:line="5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In 2020, renewable energy production experienced record-high levels of penetration. The Department of Energy’s (“DOE”) Annual Energy Outlook 2021 projects that renewable electric generating technologies, such as wind and solar, are expected to represent 60% of new capacity additions through 2050 due to a combination of declining capital costs, expected increases in state RPS targets and current and potential tax incentives. Renewable power generation is expected to contribute over 40% of U.S. power generation capacity by 2050, with solar and wind projected at 47% and 34%, respectively, of the total renewable power generation mix in 2050. Advancing technologies and improvements in cost and scalability of renewable energy projects are making these energy sources increasingly viable.</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a result of the trends and factors discussed above, we expect a continued drive in demand for construction of renewable infrastructure in the coming years. In addition, we believe that replacement and repowering of existing wind turbines and foundations with next generation, higher efficiency turbines, as well as maintenance of aging wind farms, will provide increased opportunities for wind infrastructure projects.</w:t>
      </w:r>
    </w:p>
    <w:p>
      <w:pPr>
        <w:spacing w:after="0" w:line="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believe that industrial plant construction opportunities exist in a wide variety of industries, including in the renewable energy industry, as power companies explore ways to reduce their carbon footprint. The low price and environmental advantage of cleaner burning natural gas is expected to continue to drive demand for gas-fired electrical generating plants and conversions of coal-fired power plants to natural gas. A wide variety of industries may seek to expand, convert or construct new plants to take advantage of this economical, cleaner, lower cost and lower carbon fuel source. Biofuel and biomass as alternative fuel sources also present opportunities for the renewable energy market. Industrial facilities and power plants in the biofuels/biomass, food processing, natural gas and related industries present opportunities as additional domestic energy reserves are produced, transported and processed.</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also provide heavy civil infrastructure construction services, including the construction and maintenance of buildings, roads, bridges, water/sewer systems and other civil infrastructure. We believe that initiatives to upgrade and replace aging infrastructure, along with potential governmental stimulus programs and other policy incentives, should lead to increased investment and future growth opportunities in this area.</w:t>
      </w:r>
    </w:p>
    <w:p>
      <w:pPr>
        <w:spacing w:after="0" w:line="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are one of the leading renewables contractors in North America, with expertise in wind, solar and biomass, as well as construction of industrial and other power plants and heavy civil infrastructure, and we expect to benefit from market trends in these industries.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Electrical Transmission Segment</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U.S. electrical transmission and distribution infrastructure (the “grid”) is composed of a network of electric generating facilities, high voltage transmission lines, substations and distribution lines that bring power to homes and businesses. The grid will continue to require significant ongoing maintenance, upgrade and expansion to continue delivery of reliable and affordable power. This will include strengthening aging infrastructure, addressing future grid resiliency and modernization efforts (“Smart Grid”) and adapting to changing energy supply and distribution requirements. According to a December 2020 IBIS World report, U.S. industry revenue for construction and repair work on electric power transmission infrastructure is projected to approximate $40 billion in 2020. While overall industry activity in 2020 was negatively affected by restrictions associated with the COVID-19 pandemic, we expect future growth in electric transmission and distribution infrastructure from projects to digitize, modernize, harden and secure the grid against increasing levels of disruption from natural and man-made disasters, including extreme weather events, wildfires and potential cyber-attacks, as well as to address changing energy supply requirements and grid reliability.</w:t>
      </w:r>
    </w:p>
    <w:p>
      <w:pPr>
        <w:spacing w:after="0" w:line="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Clean energy production trends are expected to lead to increased investment in electric infrastructure, with a changing fuel mix that is moving toward cleaner and more sustainable energy sources, such as natural gas and renewables. Deloitte’s 2021 Power and Utilities Industry Outlook reported intermittent record-high levels of renewable energy production in 2020. Additionally, the report indicated that many utilities and their customers announced plans in 2020 to fully decarbonize over the next three decades, with the effects of the COVID-19 pandemic helping to drive industry convergence toward energy transition. These trends, along with potential changes in governmental policy toward national net zero carbon emission targets, are expected to drive significant future investment in electric infrastructure. According to the DOE’s Annual Energy Outlook 2021, the percentage of U.S. electricity generated by renewable sources is expected to double to over 40% by 2050. Renewable electric generating technologies are expected to represent 60% of new capacity additions through 2050, with the balance coming almost entirely from natural gas. The expected growth in electrical power generation from renewable energy sources will require significant investment in transmission lines, as wind, solar and other renewable power generation resources are typically located in remote areas of the country, far from industrial users and major population centers. Growth in electrical power generation from renewable sources in the U.S. will also require grid updates to provide for storage of electricity from renewable energy sources and capabilities that can accommodate supply and demand for these new energy sources.</w:t>
      </w:r>
    </w:p>
    <w:p>
      <w:pPr>
        <w:spacing w:after="0" w:line="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Future demand for electrical transmission and distribution infrastructure is also expected to result from ‘Smart Utility’ initiatives, which seek to address growing populations, environmental goals and the need to optimize resources, as well as electric vehicles, as consumers and automakers increasingly shift toward electric vehicle technologies.</w:t>
      </w:r>
    </w:p>
    <w:p>
      <w:pPr>
        <w:spacing w:after="0" w:line="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According to the DOE’s Annual Energy Outlook 2021, approximately 760 net gigawatts of new electricity generating capacity are expected to be added in the U.S. through 2050, requiring significant investment in transmission and distribution by electric utility companies. We believe significant capital investment in the transmission and distribution system will continue to be required to meet the above-mentioned needs, and that we are well-positioned to benefit from these trends.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8" w:name="page9"/>
    <w:bookmarkEnd w:id="8"/>
    <w:p>
      <w:pPr>
        <w:ind w:left="340"/>
        <w:spacing w:after="0"/>
        <w:rPr>
          <w:sz w:val="20"/>
          <w:szCs w:val="20"/>
          <w:color w:val="auto"/>
        </w:rPr>
      </w:pPr>
      <w:r>
        <w:rPr>
          <w:rFonts w:ascii="Arial" w:cs="Arial" w:eastAsia="Arial" w:hAnsi="Arial"/>
          <w:sz w:val="16"/>
          <w:szCs w:val="16"/>
          <w:b w:val="1"/>
          <w:bCs w:val="1"/>
          <w:i w:val="1"/>
          <w:iCs w:val="1"/>
          <w:color w:val="auto"/>
        </w:rPr>
        <w:t>Opportunities in our Oil and Gas Segment</w:t>
      </w:r>
    </w:p>
    <w:p>
      <w:pPr>
        <w:spacing w:after="0" w:line="11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We are one of the largest pipeline contractors in North America, with a balanced portfolio of service offerings, including union and non-union services. Our pipeline offerings include the construction and maintenance of large diameter (“long-haul”) pipeline, midstream pipeline, gathering lines and related compressor, pumping stations and treatment plants, as well as gas utility distribution services and pipeline integrity maintenance, including replacement and rehabilitation of aging infrastructure.</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Disruptions in economic activity as a result of the COVID-19 pandemic have reduced overall demand for fossil energy products, affecting commodity production and price levels, and negatively affecting demand for oil, natural gas and product pipeline construction activity. While we expect energy consumption and related demand to re-accelerate as the effects of the COVID-19 pandemic recede, the expected cost, time and complexity for the construction of new long-haul large diameter pipeline projects have increased due to regulatory, judicial and environmental challenges, as well as the impact of recent or future governmental actions. Despite these trends, our oil and gas pipeline backlog remains strong as of December 31, 2020, and we anticipate having significant long-haul construction project work in 2021, and likely into 2022, from existing long-haul pipeline project awards. The effect that the above mentioned trends may have on future long-haul large diameter project awards, or the timing of future project work, however, is uncertain.</w:t>
      </w:r>
    </w:p>
    <w:p>
      <w:pPr>
        <w:spacing w:after="0" w:line="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5"/>
          <w:szCs w:val="15"/>
          <w:color w:val="auto"/>
        </w:rPr>
        <w:t>We believe that energy commodity production in the United States will continue at elevated levels for the next several years, and that this will require additional investment in midstream pipeline construction, gathering lines and related compressor, pumping stations and treatment plants, as the sources of production change within and across multiple geographic areas, such as the Permian, Bakken and Marcellus/Utica basins. We also expect that natural gas power generation will remain a fuel of choice for both primary power generation and baseload backup power generation to support intermittent clean energy sources, and this trend will drive the growth of natural gas as a source of base load lower-carbon power generation, both in the U.S. and abroad. According to the DOE’s Annual Energy Outlook 2021, U.S. natural gas was the leading fuel type for electric power generation in 2020, representing 40% of total electric power generation, more than double the rates of both coal and hydroelectric power. We believe that trends in natural gas power generation will require continued construction of pipeline infrastructure to provide fuel safely and efficiently to these facilities. In addition, according to the DOE’s Short-Term Energy Outlook December 2020 report, the United States continues to be a net exporter of natural gas, and industry reporting indicates that demand for liquified natural gas (“LNG”) exports has risen substantially in recent years, driven in part by the easing of certain export regulations. This trend is expected to drive construction of pipeline infrastructure for the transport of LNG to coastal export facilities in North America. Additionally, we believe that gas utility distribution spending for replacement and rehabilitation of aging infrastructure will accelerate over the next several years due to regulatory, sustainability and safety concerns. Similarly, we expect that aging oil and natural gas pipeline infrastructure will increasingly require replacement lines and pipeline integrity services as our customers look to enhance the safety, productivity and lives of existing pipeline infrastructure.</w:t>
      </w:r>
    </w:p>
    <w:p>
      <w:pPr>
        <w:spacing w:after="0" w:line="8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We believe that the above-mentioned trends will support continued levels of future project activity across multiple service offerings we provide and that we are well-positioned to benefit from these trends.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Competitive Strengths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competitive strengths include:</w:t>
      </w:r>
    </w:p>
    <w:p>
      <w:pPr>
        <w:spacing w:after="0" w:line="1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Diverse Customer Relationships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serve a diversified customer and industry base. Our customers include some of the largest communications, utility and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 North America, among others. We have longstanding relationships and have developed strong alliances with many of our customers, and we strive to maintain these customer relationships and our status as a preferred vendor to our customers.</w:t>
      </w:r>
    </w:p>
    <w:p>
      <w:pPr>
        <w:spacing w:after="0" w:line="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Reputation for Reliable Customer Service and Technical Expertise</w:t>
      </w:r>
      <w:r>
        <w:rPr>
          <w:rFonts w:ascii="Arial" w:cs="Arial" w:eastAsia="Arial" w:hAnsi="Arial"/>
          <w:sz w:val="16"/>
          <w:szCs w:val="16"/>
          <w:color w:val="auto"/>
        </w:rPr>
        <w:t>. We have established a reputation for quality customer service and technical expertise.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reputation gives us an advantage when competing for new work, both from existing and potential customers. In addition, we have broad capabilities and expertise in a wide variety of service offerings, including wireless, wireline/fiber and customer fulfillment activities, clean energy power generation, electrical utility, pipeline, heavy civil and industrial infrastructure.</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North American Footprint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our predecessor companies, we have been in business for over 90 years and are one of the largest companies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infrastructure construction services industry in North America, with approximately 420 locations and an average of 18,000 employees for the twelve month period ended December 31, 2020, operating primarily in the United States and Canada. We offer comprehensive end-to-end infrastructure services to our customers and believe that our experience, technical expertise, geographic reach, financial resources and size are important to our customers.</w:t>
      </w:r>
    </w:p>
    <w:p>
      <w:pPr>
        <w:spacing w:after="0" w:line="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5"/>
          <w:szCs w:val="15"/>
          <w:b w:val="1"/>
          <w:bCs w:val="1"/>
          <w:i w:val="1"/>
          <w:iCs w:val="1"/>
          <w:color w:val="auto"/>
        </w:rPr>
        <w:t>Ability to Respond Quickly and Effectively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skills required to serve our end-markets are similar, which allows us to utilize qualified personnel across multiple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end-markets and projects. We are able to respond quickly and effectively to industry and technological changes, demand and major weather events by allocating our employees, fleet and other assets as and where they are needed, enabling us to provide cost-effective and timely services for our customers.</w:t>
      </w:r>
    </w:p>
    <w:p>
      <w:pPr>
        <w:spacing w:after="0" w:line="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Experienced Management Team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management team plays a significant role in establishing and maintaining long-term relationships with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supporting the growth of our business, integrating acquired businesses and managing the financial aspects of our operations. Our executive management team, business unit presidents and project management teams have broad industry experience and a deep understanding of our customers and their requirements. Key management personnel of acquired businesses generally continue to work for us under employment or services agreements.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a leading infrastructure construction services provider, we are committed to conducting our operations in a safe, diverse, inclusive and socially responsible manner that benefits our stakeholders, including our employees, customers, subcontractors, suppliers, investors and the communities in which we operate. Sustainability principles and practices are embedded within our strategy, risk management and day-to-day operations. We strive to be recognized as a company that achieves customer expectations safely, profitably and in a manner that is environmentally responsible, socially aware and rewarding for all our stakeholders. We strive to achieve these goals through an organizational structure that provides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9" w:name="page10"/>
    <w:bookmarkEnd w:id="9"/>
    <w:p>
      <w:pPr>
        <w:jc w:val="both"/>
        <w:ind w:right="20"/>
        <w:spacing w:after="0" w:line="275" w:lineRule="auto"/>
        <w:rPr>
          <w:sz w:val="20"/>
          <w:szCs w:val="20"/>
          <w:color w:val="auto"/>
        </w:rPr>
      </w:pPr>
      <w:r>
        <w:rPr>
          <w:rFonts w:ascii="Arial" w:cs="Arial" w:eastAsia="Arial" w:hAnsi="Arial"/>
          <w:sz w:val="16"/>
          <w:szCs w:val="16"/>
          <w:color w:val="auto"/>
        </w:rPr>
        <w:t>excellent service delivery; establishes a reputation of integrity within the communities in which we work; and provides our team members growth opportunities in an injury-free environment.</w:t>
      </w:r>
    </w:p>
    <w:p>
      <w:pPr>
        <w:spacing w:after="0" w:line="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Sustainability Governance</w:t>
      </w:r>
      <w:r>
        <w:rPr>
          <w:rFonts w:ascii="Arial" w:cs="Arial" w:eastAsia="Arial" w:hAnsi="Arial"/>
          <w:sz w:val="16"/>
          <w:szCs w:val="16"/>
          <w:color w:val="auto"/>
        </w:rPr>
        <w:t>. We believe that sustainability is central to our mission and success. We have recently formalized sustainability as part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oversight function. Our Nominating, Sustainability and Corporate Governance Committee oversees and periodically reviews our integration of corporate responsibility and sustainability, including environmental, social and governance principles, into our business strategy and decision-making processes. We also formalized our policies on Human and Labor Rights and Safety, Health and Environmental matters in 2020. Our Sustainability Framework, along with our updated Nominating, Sustainability and Corporate Governance Board Committee charter and the aforementioned policies can be found on our website at https://investors.mastec.com. No reference to our website or our website address in this report constitutes incorporation by reference of the information contained on the website and such information is not part of this report.</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Stakeholder Engagement</w:t>
      </w:r>
      <w:r>
        <w:rPr>
          <w:rFonts w:ascii="Arial" w:cs="Arial" w:eastAsia="Arial" w:hAnsi="Arial"/>
          <w:sz w:val="16"/>
          <w:szCs w:val="16"/>
          <w:color w:val="auto"/>
        </w:rPr>
        <w:t>. Stakeholder engagement is a key element of our sustainability efforts and communications. We engage with our investors,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subcontractors, suppliers and communities to understand the priority sustainability issues for our business. The feedback we receive from these engagement efforts informs our understanding of the issues most significant to our stakeholders. We seek to monitor these issues and effectively communicate with our stakeholders to strengthen these relationships.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Investing in a Sustainable Future</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Through the services we provide, we help to modernize, connect and make our communities safer and more sustainable while helping to build our nation’s infrastructure, including the development and expansion of our nation’s renewable energy footprint. Investment in sustainable business opportunities is a key component of our business strategy for future growth, with selected examples highlighted below.</w:t>
      </w:r>
    </w:p>
    <w:p>
      <w:pPr>
        <w:spacing w:after="0" w:line="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Renewables infrastructure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one of the largest renewables contractors in North America, having constructed a significant percentage of North America’s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wind farms. Our clean energy and infrastructure group provides engineering, procurement and construction services and project management solutions to the power market, including for renewable energy power sources, such as wind, solar, biofuel, biomass, waste-to-energy (WtE) and biogas, cogeneration or combined heat and power projects and gas-fired power projects. We continue to invest in our renewable energy infrastructure business, which has grown significantly in the past few years to approximately 18% of our total revenue for the year ended December 31, 2020. We project that our renewables business will approximately double in size to 30% of our total revenue over the next several years. As interest in climate change solutions continues to increase, together with potential new governmental and policy initiatives, including from the United States rejoining the Paris Agreement, we anticipate continued strong growth opportunities in our renewables infrastructure business and we expect to continue to invest in this area to support and nurture this growth.</w:t>
      </w:r>
    </w:p>
    <w:p>
      <w:pPr>
        <w:spacing w:after="0" w:line="6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Electrical transmission and distribution infrastructure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build the infrastructure that connects our nation’s power generation to consumers, including solutions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access new renewable and efficient natural gas generation sources. We also work with our customers to design and build innovative, smart energy solutions, including for the modernization of overstressed sections of the electric grid with insufficient capacity, and to upgrade aging electric infrastructure. Our projects improve the performance, safety, resiliency and efficiency of the nation’s electrical grid and advance the goal of modern, smart energy solutions for our nation’s future.</w:t>
      </w:r>
    </w:p>
    <w:p>
      <w:pPr>
        <w:spacing w:after="0" w:line="5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4"/>
          <w:szCs w:val="14"/>
          <w:b w:val="1"/>
          <w:bCs w:val="1"/>
          <w:i w:val="1"/>
          <w:iCs w:val="1"/>
          <w:color w:val="auto"/>
        </w:rPr>
        <w:t>Communications infrastructure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build wireless and wireline/fiber infrastructure that connects communities and improves communications infrastructure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across our nation. Our projects incorporate cutting edge technological advances that improve speed, connectivity and bandwidth nationwide, including dense urban areas, and expand services into new areas, including rural communities. We are proud to be participating in the buildout and expansion of FirstNet</w:t>
      </w:r>
      <w:r>
        <w:rPr>
          <w:rFonts w:ascii="Arial" w:cs="Arial" w:eastAsia="Arial" w:hAnsi="Arial"/>
          <w:sz w:val="18"/>
          <w:szCs w:val="18"/>
          <w:color w:val="auto"/>
          <w:vertAlign w:val="superscript"/>
        </w:rPr>
        <w:t>TM</w:t>
      </w:r>
      <w:r>
        <w:rPr>
          <w:rFonts w:ascii="Arial" w:cs="Arial" w:eastAsia="Arial" w:hAnsi="Arial"/>
          <w:sz w:val="14"/>
          <w:szCs w:val="14"/>
          <w:color w:val="auto"/>
        </w:rPr>
        <w:t>, the nation’s first wireless official public safety network for first responders. We are also participating in the buildout of the nation’s 5G telecommunications infrastructure, helping to revolutionize telecommunications technologies. The faster speeds and reduced latency associated with 5G will serve as the foundation for transformative technological innovations, including Smart City and urbanization projects and advances in connected technologies, such as connected cars, healthcare, industrial applications and entertainment.</w:t>
      </w:r>
    </w:p>
    <w:p>
      <w:pPr>
        <w:spacing w:after="0" w:line="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Pipeline infrastructure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state-of-the-art pipelines provide a lower carbon emission and environmentally safer transportation alternative for oil and 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versus traditional truck and rail transport. Additionally, our natural gas pipeline construction services help our customers access and distribute cleaner burning natural gas throughout the United States, assisting in the transition from high carbon emission electricity sources to natural gas as a cleaner burning and lower carbon emission fuel source. Our pipeline integrity and replacement services help promote environmental and public safety while enhancing the safety, productivity and life of our customers’ assets.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Water pipelines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water pipeline services increase the efficiency of water used in energy field operations in an environmentally focused manner. We build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expansive water pipeline networks, which allow for the recycling of water, thereby reducing freshwater requirements as well as the amount of water disposed. Additionally, the use of water pipelines reduces truck traffic, resulting in lower carbon emissions.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Environmental Stewardship</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believe that we all play a role in environmental stewardship. We help our customers find solutions to their environmental goals and requirements and are likewise committed to responsibly managing the environmental impacts of our operations. Our customers rely on our expertise with governmental and regulatory agencies to meet increasingly stringent regulatory requirements. Environmental matters are an integral part of our business planning and decision-making processes. Our corporate policies and Code of Business Conduct and Ethics require that all applicable environmental regulations and compliance requirements are met in the course of our operations. Our planning processes incorporate procedures to ensure compliance with all such laws and regulations.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Community and Social Matters</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At MasTec, we are proud to serve the communities in which we operate. Partnering with our communities and our customers is fundamental to our business operations. We plan and act for the future, for the long-term good of our company, our customers and our communities. We are active in our local communities and participate in charitable giving, community outreach and community building programs, including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disaster relief efforts for communities affected by hurricanes, flooding and similar events. We also have an unwavering commitment to our team members in times of need.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community outreach programs, we seek to develop strong relationships with our local communities, businesses, subcontractors and suppliers.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Leadership and Governance</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Integrity, honesty, and fairness are at the heart of our Company. Our leadership team and Board of Directors are committed to fostering a strong organizational culture built upon accountability, business and personal ethics, integrity and compliance. We believe that an ethical culture builds credibility and trust. We hold ourselves accountable to the highest standards of professionalism, and respect the opinions, ideas and perspectives of our team members, customers, subcontractors, suppliers and those in the communities we serve.</w:t>
      </w:r>
    </w:p>
    <w:p>
      <w:pPr>
        <w:spacing w:after="0" w:line="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b w:val="1"/>
          <w:bCs w:val="1"/>
          <w:i w:val="1"/>
          <w:iCs w:val="1"/>
          <w:color w:val="auto"/>
        </w:rPr>
        <w:t>Management Structure and Shareholder Alignment</w:t>
      </w:r>
      <w:r>
        <w:rPr>
          <w:rFonts w:ascii="Arial" w:cs="Arial" w:eastAsia="Arial" w:hAnsi="Arial"/>
          <w:sz w:val="14"/>
          <w:szCs w:val="14"/>
          <w:color w:val="auto"/>
        </w:rPr>
        <w:t>. We seek to align the interests of our Board of Directors and management with those of our shareholders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stakeholders. We believe that an independent, well-diversified Board makes us a better corporate citizen, and we have a Board with racial, ethnic, gender and skill diversity. We also believe that our separation of Chairman and CEO further enhances accountability and social responsibility. Our management team and our Board of Directors have significant ownership in MasTec’s common stock, which further aligns their interests with those of our other shareholders. Our single class structure is grounded on the “one-share, one-vote” principle, which we believe is aligned with strong corporate governance standards. We have detailed governance procedures, including an Audit Committee Charter, a Compensation Committee Charter and a Nominating, Sustainability and Corporate Governance Committee Charter, as well as a comprehensive Code of Business Conduct and Ethics and Board of Director Governance Principles, all of which can be viewed on the “Investors” page of our website at MasTec.com.</w:t>
      </w:r>
    </w:p>
    <w:p>
      <w:pPr>
        <w:spacing w:after="0" w:line="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Risk Mitigation Practices</w:t>
      </w:r>
      <w:r>
        <w:rPr>
          <w:rFonts w:ascii="Arial" w:cs="Arial" w:eastAsia="Arial" w:hAnsi="Arial"/>
          <w:sz w:val="16"/>
          <w:szCs w:val="16"/>
          <w:color w:val="auto"/>
        </w:rPr>
        <w:t>. We believe that responsible corporate governance requires great attention to potential business and other risks. As part of our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mitigation strategy, we regularly assess potential risks and hazards within our business and operations, including potential risks associated with climate change. Risk assessments are performed on an ongoing basis at both the organizational and at the project level. We also apply a risk-based approach with respect to cyber security, and we regularly evaluate cyber risks to properly safeguard our systems and business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key elements of our business strategy are as follows:</w:t>
      </w:r>
    </w:p>
    <w:p>
      <w:pPr>
        <w:spacing w:after="0" w:line="10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4"/>
          <w:szCs w:val="14"/>
          <w:b w:val="1"/>
          <w:bCs w:val="1"/>
          <w:i w:val="1"/>
          <w:iCs w:val="1"/>
          <w:color w:val="auto"/>
        </w:rPr>
        <w:t>Focus on Growth Opportunities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believe that our end-markets offer multiple growth opportunities, and we expect continued spending by key customers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many of the industries we serve. We expect development of wireless and wireline/fiber infrastructure; development of clean energy infrastructure; expansion, maintenance and upgrades of electrical transmission capacity and the electrical distribution grid; oil and natural gas pipeline infrastructure, including pipeline integrity work; and heavy civil and industrial infrastructure construction projects to be areas of investment and opportunity in the coming years. We intend to use our broad geographic presence, technical expertise, financial and operational resources, customer relationships and full range of services to capitalize on these trends and grow our business.</w:t>
      </w:r>
    </w:p>
    <w:p>
      <w:pPr>
        <w:spacing w:after="0" w:line="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Operational Excellence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seek to improve our profit margins and cash flows by focusing on services and projects that have high margin potential. We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strive to identify opportunities for leverage within our business, such as deploying resources across multiple customers and projects in order to enhance our operating effectiveness and utilization rates. We also seek to maintain strong working capital management practices. Our management team pursues actions and programs designed to achieve these goals, such as increasing accountability throughout our organization, effectively managing customer contract bidding procedures, evaluating opportunities to improve our working capital cycle time, hiring and retaining experienced operating and financial professionals, and developing, expanding and integrating the use of financial systems and information technology capabilities within our business.</w:t>
      </w:r>
    </w:p>
    <w:p>
      <w:pPr>
        <w:spacing w:after="0" w:line="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Maintain Conservative Capital Structure</w:t>
      </w:r>
      <w:r>
        <w:rPr>
          <w:rFonts w:ascii="Arial" w:cs="Arial" w:eastAsia="Arial" w:hAnsi="Arial"/>
          <w:sz w:val="15"/>
          <w:szCs w:val="15"/>
          <w:color w:val="auto"/>
        </w:rPr>
        <w:t>. We evaluate our capital structure on an ongoing basis and have expanded our financial resources in recent years.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believe that we have sufficient capital resources to fund our planned operations. As of December 31, 2020, we had approximately $1.2 billion of borrowing availability under our revolving credit facility, with aggregate borrowing commitments of $1.75 billion under our senior secured credit facility and $600 million of 4.50% senior notes due 2028. We may consider opportunities to borrow additional funds, or to refinance, repurchase or retire outstanding debt or repurchase shares as part of our ongoing capital structure evaluation. See Item 7. “Management’s Discussion and Analysis of Financial Condition and Results of Operations - Summary of Financial Condition, Liquidity and Capital Resources,” for details pertaining to our debt instrument and share repurchase activities.</w:t>
      </w:r>
    </w:p>
    <w:p>
      <w:pPr>
        <w:spacing w:after="0" w:line="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Leverage Core Performance and Expertise through Strategic Acquisitions and Other Arrangements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pursue selected acquisitions, investments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arrangements that allow us to expand our operations, service offerings, customer base or geographic reach. We have diversified our business and expanded our service offerings and geographic footprint in recent years, both organically and through acquisition. In order to maximize their potential, our strategy is to integrate acquired businesses into our operations and internal control environment in a timely and efficient manner. We evaluate our business on a regular basis, and from time to time, we may divest certain businesses or assets, or curtail selected business activities or operations that do not produce adequate revenue or margin or that no longer fit within our long-term business strategy.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core services are the engineering, building, installing, maintaining and upgrading of infrastructure, primarily for communications, power generation, pipeline and utility customers. We provide similar services to each of these customers, including:</w:t>
      </w:r>
    </w:p>
    <w:p>
      <w:pPr>
        <w:spacing w:after="0" w:line="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Build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build infrastructure projects for customers across a range of industries. We specialize in building underground and overhead distribution systems,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trenches, conduits, cell towers, cable and power lines, which provide wireless and wireline/fiber communications; clean energy infrastructure, including renewable energy; natural gas, crude oil and refined product transport pipelines; electrical power generation,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1" w:name="page12"/>
    <w:bookmarkEnd w:id="11"/>
    <w:p>
      <w:pPr>
        <w:jc w:val="both"/>
        <w:ind w:right="20"/>
        <w:spacing w:after="0" w:line="275" w:lineRule="auto"/>
        <w:rPr>
          <w:sz w:val="20"/>
          <w:szCs w:val="20"/>
          <w:color w:val="auto"/>
        </w:rPr>
      </w:pPr>
      <w:r>
        <w:rPr>
          <w:rFonts w:ascii="Arial" w:cs="Arial" w:eastAsia="Arial" w:hAnsi="Arial"/>
          <w:sz w:val="16"/>
          <w:szCs w:val="16"/>
          <w:color w:val="auto"/>
        </w:rPr>
        <w:t>transmission and distribution systems; heavy industrial plants; compressor and pump stations and treatment plants; water and sewer infrastructure, including water pipelines; and other civil construction infrastructure.</w:t>
      </w:r>
    </w:p>
    <w:p>
      <w:pPr>
        <w:spacing w:after="0" w:line="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Install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install electrical and other energy distribution and transmission systems, power generation facilities, buried and aerial fiber optic and other cables,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satellite dishes, home automation and energy management solutions in a variety of environments for our customers. In connection with our installation work, we deploy and manage network connections that involve our customers’ hardware, software and network equipment.</w:t>
      </w:r>
    </w:p>
    <w:p>
      <w:pPr>
        <w:spacing w:after="0" w:line="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Maintain and Upgrade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offer 24 hour/365 days-a-year maintenance and upgrade support to our customers. Our comprehensive service offerings include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regular maintenance of our customers’ distribution facilities, networks and infrastructure, including communications, power generation, pipeline, electrical distribution and transmission and heavy civil infrastructure. We also provide emergency services for accidents or storm damage. Our upgrade work ranges from routine replacements and upgrades to major overhauls.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have longstanding relationships with many customers, and often provide services under master service and other service agreements, which are generally multi-year agreements. Our master service agreements are typically exclusive up to a specified dollar amount per work order for each defined geographic area, but do not obligate our customers to undertake any infrastructure projects or other work with us. Work performed under master service and other service agreements is usually generated through work orders, each of which is performed for a fixed fee. Services provided under these agreements range from engineering, project management and installation work to maintenance and upgrade services. Master service and other service agreements are frequently awarded on a competitive bidding basis, although customers are sometimes willing to negotiate contract extensions beyond their original terms without re-bidding. Our master service and other service agreements have various terms, depending upon the nature of the services provided, and typically provide for termination on short or no advance notice. For each of the years ended December 31, 2020 and 2019, revenue derived from projects performed under master service and other service agreements totaled 36% of consolidated revenue, and in 2018, totaled 35%.</w:t>
      </w:r>
    </w:p>
    <w:p>
      <w:pPr>
        <w:spacing w:after="0" w:line="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remainder of our work is generated pursuant to contracts for specific projects or jobs requiring the construction and installation of an entire infrastructure system or specified units within an entire infrastructure system. Customers are billed with varying frequency, the timing of which is generally dependent upon advance billing terms, milestone billings based on completion of certain phases of the work, or when services are provided. Under the typical payment terms of master and other service agreements and contracts for specific projects, the customer makes progress payments based on quantifiable measures of performance as defined in the agreements. Some of our contracts include retainage provisions, under which a portion of the contract amount (generally, from 5% to 10% of billings) can be retained by the customer until final contract settlement.</w:t>
      </w:r>
    </w:p>
    <w:p>
      <w:pPr>
        <w:spacing w:after="0" w:line="8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We believe that our industry experience, technical expertise and reputation for customer service, as well as the relationships developed between our customers and our senior management and project management teams are important to our being retained by our customers. See Note 13 - Segments and Related Information and Note 14 - Commitments and Contingencies in the notes to the audited consolidated financial statements, which are incorporated by reference, for customer concentration information.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expect to realize approximately 80% of our estimated year end 2020 backlog in 2021. The following table presents 18-month estimated backlog by reportable segment, as of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Reportable Segment </w:t>
            </w:r>
            <w:r>
              <w:rPr>
                <w:rFonts w:ascii="Arial" w:cs="Arial" w:eastAsia="Arial" w:hAnsi="Arial"/>
                <w:sz w:val="14"/>
                <w:szCs w:val="14"/>
                <w:b w:val="1"/>
                <w:bCs w:val="1"/>
                <w:color w:val="auto"/>
              </w:rPr>
              <w:t>(in millions)</w:t>
            </w:r>
            <w:r>
              <w:rPr>
                <w:rFonts w:ascii="Arial" w:cs="Arial" w:eastAsia="Arial" w:hAnsi="Arial"/>
                <w:sz w:val="16"/>
                <w:szCs w:val="16"/>
                <w:b w:val="1"/>
                <w:bCs w:val="1"/>
                <w:color w:val="auto"/>
              </w:rPr>
              <w:t>:</w:t>
            </w:r>
          </w:p>
        </w:tc>
        <w:tc>
          <w:tcPr>
            <w:tcW w:w="1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December 31, 2020</w:t>
            </w:r>
          </w:p>
        </w:tc>
        <w:tc>
          <w:tcPr>
            <w:tcW w:w="14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December 31, 2019</w:t>
            </w:r>
          </w:p>
        </w:tc>
        <w:tc>
          <w:tcPr>
            <w:tcW w:w="0" w:type="dxa"/>
            <w:vAlign w:val="bottom"/>
          </w:tcPr>
          <w:p>
            <w:pPr>
              <w:spacing w:after="0"/>
              <w:rPr>
                <w:sz w:val="1"/>
                <w:szCs w:val="1"/>
                <w:color w:val="auto"/>
              </w:rPr>
            </w:pPr>
          </w:p>
        </w:tc>
      </w:tr>
      <w:tr>
        <w:trPr>
          <w:trHeight w:val="213"/>
        </w:trPr>
        <w:tc>
          <w:tcPr>
            <w:tcW w:w="6940" w:type="dxa"/>
            <w:vAlign w:val="bottom"/>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Communications</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3,853</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4,228</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Clean Energy and Infrastructure</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Oil and Gas</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Electrical Transmission</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6940" w:type="dxa"/>
            <w:vAlign w:val="bottom"/>
          </w:tcPr>
          <w:p>
            <w:pPr>
              <w:ind w:left="100"/>
              <w:spacing w:after="0"/>
              <w:rPr>
                <w:sz w:val="20"/>
                <w:szCs w:val="20"/>
                <w:color w:val="auto"/>
              </w:rPr>
            </w:pPr>
            <w:r>
              <w:rPr>
                <w:rFonts w:ascii="Arial" w:cs="Arial" w:eastAsia="Arial" w:hAnsi="Arial"/>
                <w:sz w:val="16"/>
                <w:szCs w:val="16"/>
                <w:color w:val="auto"/>
              </w:rPr>
              <w:t>Estimated 18-month backlog</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7,702</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7,959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December 31, 2020, 45% of our backlog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the potential adverse effects of the COVID-19 pandemic on economic activity,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changes in governmental permitting, regulatory delays and/or other factors. There can be no assurance as to our customers’ requirements or if actual results will be consistent with the estimates included in our forecasts. As a result, our backlog as of any particular date is an uncertain indicator of future revenue and earnings.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2" w:name="page13"/>
    <w:bookmarkEnd w:id="12"/>
    <w:p>
      <w:pPr>
        <w:jc w:val="both"/>
        <w:ind w:firstLine="648"/>
        <w:spacing w:after="0" w:line="291" w:lineRule="auto"/>
        <w:rPr>
          <w:sz w:val="20"/>
          <w:szCs w:val="20"/>
          <w:color w:val="auto"/>
        </w:rPr>
      </w:pPr>
      <w:r>
        <w:rPr>
          <w:rFonts w:ascii="Arial" w:cs="Arial" w:eastAsia="Arial" w:hAnsi="Arial"/>
          <w:sz w:val="14"/>
          <w:szCs w:val="14"/>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audited consolidated financial statements, which is incorporated by reference. As of December 31, 2020, total 18-month backlog differed from the amount of our remaining performance obligations due primarily to the inclusion of $3.1 billion of estimated future revenue under master service and other service agreements within our backlog estimates, as described above, and the exclusion of approximately $0.2 billion of remaining performance obligations and estimated future revenue under master service and other service agreements in excess of 18 months, which amount is not included in the backlog estimates above. Backlog expected to be realized in 2021 differed from the amount of remaining performance obligations expected to be recognized for the same period due primarily to the inclusion of approximately $1.7 billion of estimated future revenue under master service and other service agreements that is included within the related backlog estimate.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1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6"/>
          <w:szCs w:val="16"/>
          <w:color w:val="auto"/>
        </w:rPr>
        <w:t>Our customers increasingly require resources from multiple disciplines. Therefore, our subsidiary services companies market their services not only individually, but also in combination with other companies, including other MasTec companies and independent companies, to provide what we believe are the most efficient and effective solutions to meet our customers’ demands. Through our unified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and an integrated organizational structure designed to permit rapid deployment of labor, equipment and materials, we are able to quickly and efficiently allocate resources to meet customer needs. We offer services that are branded under the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service mark and other service marks.</w:t>
      </w:r>
    </w:p>
    <w:p>
      <w:pPr>
        <w:spacing w:after="0" w:line="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5"/>
          <w:szCs w:val="15"/>
          <w:color w:val="auto"/>
        </w:rPr>
        <w:t>We have developed a marketing plan emphasizing the MasTec</w:t>
      </w:r>
      <w:r>
        <w:rPr>
          <w:rFonts w:ascii="Arial" w:cs="Arial" w:eastAsia="Arial" w:hAnsi="Arial"/>
          <w:sz w:val="20"/>
          <w:szCs w:val="20"/>
          <w:color w:val="auto"/>
          <w:vertAlign w:val="superscript"/>
        </w:rPr>
        <w:t>®</w:t>
      </w:r>
      <w:r>
        <w:rPr>
          <w:rFonts w:ascii="Arial" w:cs="Arial" w:eastAsia="Arial" w:hAnsi="Arial"/>
          <w:sz w:val="15"/>
          <w:szCs w:val="15"/>
          <w:color w:val="auto"/>
        </w:rPr>
        <w:t xml:space="preserve"> registered service mark and trade names of certain acquired companies, as well as an integrated service offering to position ourselves as a provider of a full range of service solutions, providing services including installation as well as sophisticated engineering, design and integration. We believe our longstanding relationships with customers and our reputation for reliability and efficiency facilitate our recurring business. Our marketing efforts are principally carried out by the management of our business units and project groups in coordination with our corporate business development organization. Our management team has many years of industry experience, both at the service provider level, and in some cases, with the customers we serve. Our business unit and project group managers market directly to existing and potential customers for new contracts and also seek our inclusion on lists of vendors invited to submit proposals for service agreements and individual projects. We also market our services in conjunction with certain business partners, strategic investments and arrangements. Our executive management supplements these efforts at the national and international level.</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 and Insurance/Risk Management</w:t>
      </w:r>
    </w:p>
    <w:p>
      <w:pPr>
        <w:spacing w:after="0" w:line="1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5"/>
          <w:szCs w:val="15"/>
          <w:color w:val="auto"/>
        </w:rPr>
        <w:t>We have a proactive safety culture and we strive to instill and enforce safe work habits in our employees. Our employees are required to participate in training programs relevant to their employment, including all those required by law. We actively train our workforce in everyday safety practices and provide detailed guidelines that are required to be followed as work tasks are contemplated and completed. Training programs are tailored to an employee’s job function, responsibilities and level of experience and are designed in accordance with industry best practices and standards. We evaluate employees in part based upon their safety records and the safety records of the employees they supervise. Team members are responsible for preventing incidents, injuries and occupational illnesses, and our project leadership team is tasked with ensuring that projects are accomplished in a safe, productive, environmentally and quality-focused manner. Our business units have established robust safety programs to monitor and improve compliance with safety procedures and regulations, and through our risk management programs, we educate our staff, subcontractors and suppliers on safety matters. We also provide company-wide training where appropriate, including for information technology and cyber security, emergency preparedness and other potential workplace hazards, and workplace and employee awareness programs.</w:t>
      </w:r>
    </w:p>
    <w:p>
      <w:pPr>
        <w:spacing w:after="0" w:line="7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Our business involves the use of heavy equipment and exposure to potentially dangerous workplace conditions. While we are committed to operating safely and prudently, we are subject to claims by employees, customers and third parties for property damage and personal injuries that occur in connection with our work. Our insurance policies are subject to high deductibles and we are self-insured up to the amount of the deductible. We maintain insurance policies for workers’ compensation, general liability and automobile liability that are subject to per claim deductibles. We also maintain excess umbrella coverage and an insurance policy with respect to employee group medical claims, which is subject to annual per employee maximum losses. We are required to post collateral to certain of our insurance carriers, generally in the form of letters of credit, surety bonds and cash. See Note 14 - Commitments and Contingencies in the notes to the audited consolidated financial statements, which is incorporated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Suppliers, Materials and Working Capital</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Under many of our contracts, our customers provide the necessary materials and supplies for projects and we are responsible for the installation of, but not the cost or warranty of those materials. Under certain other projects, we purchase the necessary materials and supplies on behalf of our customers from third-party providers. We are not dependent on any one vendor and have not experienced significant difficulty in obtaining project-related materials or supplies as and when required for the projects we manage.</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utilize independent contractors to assist on projects and to help us manage our work flow. Our independent contractors typically provide their own vehicles, tools and insurance coverage. We are not dependent on any one independent contractor. We need working capital to support seasonal variations in our business, including the spending patterns of our customers and the effects of weather conditions on external construction and maintenance work, both of which can influence the timing of spending to support related customer demand. See Item 7. “Management’s Discussion and Analysis of Financial Condition and Results of Operations - Financial Condition, Liquidity and Capital Resources - Working Capital,” which is incorporated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Our industry is highly competitive and highly fragmented. We compete with a number of companies in the markets in which we operate, ranging from small local independent companies to large national firms, including Quanta Services, Inc., MYR Group, Inc., Dycom Industries, Inc., Jacobs Engineering Group Inc., Primoris Services Corporation, Pike Electric, Inc., Bechtel Corporation, D.H. Blattner &amp; Sons, Inc., M.A. Mortenson Company, Black &amp; Veatch and Nexius.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3" w:name="page14"/>
    <w:bookmarkEnd w:id="13"/>
    <w:p>
      <w:pPr>
        <w:jc w:val="both"/>
        <w:ind w:firstLine="648"/>
        <w:spacing w:after="0" w:line="253" w:lineRule="auto"/>
        <w:rPr>
          <w:sz w:val="20"/>
          <w:szCs w:val="20"/>
          <w:color w:val="auto"/>
        </w:rPr>
      </w:pPr>
      <w:r>
        <w:rPr>
          <w:rFonts w:ascii="Arial" w:cs="Arial" w:eastAsia="Arial" w:hAnsi="Arial"/>
          <w:sz w:val="16"/>
          <w:szCs w:val="16"/>
          <w:color w:val="auto"/>
        </w:rPr>
        <w:t>Certain barriers to entry exist in the markets in which we operate, including adequate financial resources, technical expertise, high safety ratings and a proven track record of operational success. Some of our customers employ their own personnel to perform infrastructure services of the type we provide. We compete based upon our industry experience, technical expertise, financial and operational resources, geographic presence, industry reputation, safety record and reputation for customer service. While we believe our customers consider a number of factors when selecting a service provider, they award most of their work through a bid process, and price is often a principal factor in determining which service provider is selected.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Environmental and Climate Change Matters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We are subject to state and federal laws that apply to businesses generally, including laws and regulations related to labor relations, wages, worker safety and environmental protection. While many of our customers operate in regulated industries (for example, utilities regulated by the public service commission or communications companies regulated by the Federal Communications Commission (“FCC”), we are not generally subject to such regulation and oversight.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environmental laws and regulations, as a contractor, our operations are subject to various laws, including:</w:t>
      </w:r>
    </w:p>
    <w:p>
      <w:pPr>
        <w:spacing w:after="0" w:line="113" w:lineRule="exact"/>
        <w:rPr>
          <w:sz w:val="20"/>
          <w:szCs w:val="20"/>
          <w:color w:val="auto"/>
        </w:rPr>
      </w:pPr>
    </w:p>
    <w:p>
      <w:pPr>
        <w:ind w:left="900" w:right="620" w:hanging="244"/>
        <w:spacing w:after="0" w:line="275" w:lineRule="auto"/>
        <w:tabs>
          <w:tab w:leader="none" w:pos="876"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regulations related to worker safety and health, including those established by the Occupational Safety and Health Administration (“OSHA”) and state equivalents;</w:t>
      </w:r>
    </w:p>
    <w:p>
      <w:pPr>
        <w:spacing w:after="0" w:line="64"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regulations related to vehicle registrations, including those of the states and the U.S. Department of Transportation (“DOT”);</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contractor licensing requirements;</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permitting and inspection requirements; and</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building and electrical codes.</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5"/>
          <w:szCs w:val="15"/>
          <w:color w:val="auto"/>
        </w:rPr>
        <w:t>We are also subject to numerous environmental laws, regulations and programs, including the handling, transportation and disposal of non-hazardous and hazardous substances and wastes, laws governing emissions and discharges into the environment, including discharges into air, surface water, groundwater and soil, and programs related to the protection of endangered species and critical habitats. In particular, our oil and gas related activities require careful adherence to environmental regulations because such operations may have impacts on groundwater, surface waters and other environmentally sensitive areas. Similarly, our electrical transmission and distribution construction operations often require us to operate in remote areas involving environmentally sensitive habitats.</w:t>
      </w:r>
    </w:p>
    <w:p>
      <w:pPr>
        <w:spacing w:after="0" w:line="8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We have a substantial investment in construction equipment that utilizes fuel. Any changes in laws requiring us to use equipment that runs on alternative fuels could require a significant investment, which could have a material adverse effect on our results of operations, cash flows and liquidity.</w:t>
      </w:r>
    </w:p>
    <w:p>
      <w:pPr>
        <w:spacing w:after="0" w:line="6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We also are subject to laws and regulations that impose liability and cleanup responsibility for releases of hazardous substances into the environment. Under certain of these laws and regulations, liabilities can be imposed for cleanup of properties, regardless of whether we directly caused the contamination or violated any law at the time of discharge or disposal. The presence of contamination from such substances or wastes could interfere with ongoing operations or adversely affect our business.</w:t>
      </w:r>
    </w:p>
    <w:p>
      <w:pPr>
        <w:spacing w:after="0" w:line="4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addition, we could be held liable for significant penalties and damages under certain environmental laws and regulations. Our contracts with customers may also impose liabilities on us regarding environmental issues that arise through the performance of our services. From time to time, we may incur unanticipated and substantial costs and obligations related to environmental compliance and/or remediation matters.</w:t>
      </w:r>
    </w:p>
    <w:p>
      <w:pPr>
        <w:spacing w:after="0" w:line="7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We believe we have all material licenses and permits needed to conduct operations and that we are in material compliance with all applicable regulatory and environmental requirements. We could, however, incur significant liabilities if we fail to comply with such requirements.</w:t>
      </w:r>
    </w:p>
    <w:p>
      <w:pPr>
        <w:spacing w:after="0" w:line="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potential effects of climate change on our operations is highly uncertain. Climate change may result in, among other things, changes in rainfall patterns, storm patterns and intensities and temperature levels. Our operating results are significantly influenced by weather. Therefore, major changes in weather patterns could have a significant effect on our future operating results. For example, if climate change results in significantly more adverse weather conditions in a given period, we could experience reduced productivity, which could negatively affect our revenue and profitability. Climate change could also affect our customers and the projects that they award. Demand for power projects, underground pipelines or other projects could be negatively affected by significant changes in weather or from legislation or regulations governing climate change.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Information About Geographic Areas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operate throughout North America, primarily in the United States and Canada. See Note 13 - Segments and Related Information in the notes to the audited consolidated financial statements, which is incorporated by reference.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At MasTec, our employees are an integral part of our growth and success. MasTec began as a family business, and every member of the MasTec team is considered part of the MasTec family. The safety, health and welfare of our employees is at the heart of our operations. We are committed to diversity and inclusion in the workplace and value the diverse and varied perspectives and experiences of our employees. We believe that our commitment to our employees, together with our team culture, fosters an environment of strong employee engagement. When our employees are safe, healthy and engaged, we are most productive. We believe that our employees and our customers benefit from the collective and well-coordinated efforts that result from effective employee engagement, teamwork and collaboration, which, in turn, allows us to deliver the highest level of excellence to our stakeholders.</w:t>
      </w:r>
    </w:p>
    <w:p>
      <w:pPr>
        <w:spacing w:after="0" w:line="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For the twelve month period ended December 31, 2020, we had an average of approximately 18,000 employees, of which approximately 1,700 were represented by unions or were subject to collective bargaining agreements. Approximately 97% of our employees are located in the U.S.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4" w:name="page15"/>
    <w:bookmarkEnd w:id="14"/>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Safety. </w:t>
      </w:r>
      <w:r>
        <w:rPr>
          <w:rFonts w:ascii="Arial" w:cs="Arial" w:eastAsia="Arial" w:hAnsi="Arial"/>
          <w:sz w:val="15"/>
          <w:szCs w:val="15"/>
          <w:color w:val="auto"/>
        </w:rPr>
        <w:t>Safety is a core value at MasTec. It is a mindset that permeates all aspects of our operations, and an attitude that our employees exhibit, strongly and</w:t>
      </w:r>
      <w:r>
        <w:rPr>
          <w:rFonts w:ascii="Arial" w:cs="Arial" w:eastAsia="Arial" w:hAnsi="Arial"/>
          <w:sz w:val="15"/>
          <w:szCs w:val="15"/>
          <w:b w:val="1"/>
          <w:bCs w:val="1"/>
          <w:color w:val="auto"/>
        </w:rPr>
        <w:t xml:space="preserve"> </w:t>
      </w:r>
      <w:r>
        <w:rPr>
          <w:rFonts w:ascii="Arial" w:cs="Arial" w:eastAsia="Arial" w:hAnsi="Arial"/>
          <w:sz w:val="15"/>
          <w:szCs w:val="15"/>
          <w:color w:val="auto"/>
        </w:rPr>
        <w:t>openly. We recognize the need of our workforce to have a safe workplace and are committed to maintaining a strong and sustainable safety culture within our organization. We continually evaluate our safety programs to protect our most important asset – our team members. For example, the COVID- 19 pandemic presented unprecedented challenges in many parts of our business and operations, including with respect to keeping our employees safe. Accordingly, we have adjusted our standard operating procedures within our business operations to ensure employee and customer safety and are continually monitoring evolving health guidelines and responding to changes as appropriate. We have also developed human resource guidance to assist our employees.</w:t>
      </w:r>
    </w:p>
    <w:p>
      <w:pPr>
        <w:spacing w:after="0" w:line="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have a proactive safety culture, and our safety leadership structure is designed to create accountability within each of our businesses and at the corporate level, including continuously monitoring, reporting and addressing our key safety performance indicators. Our “Zero Harm” culture is fundamental to our goal of world class safety performance, and we work to instill safety values in every team member, such that safe behavior becomes instinctive and automatic. We strive continuously to improve our safety performance. We provide regular safety training and skill-level improvement programs and, through our risk management programs and other safety initiatives, we educate our staff, subcontractors and suppliers on safety matters. We have memberships and participate in numerous safety and other organizations that promote industry safety. Our safety performance is periodically recognized by our customers as well as by safety organizations.</w:t>
      </w:r>
    </w:p>
    <w:p>
      <w:pPr>
        <w:spacing w:after="0" w:line="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Health and Wellness. </w:t>
      </w:r>
      <w:r>
        <w:rPr>
          <w:rFonts w:ascii="Arial" w:cs="Arial" w:eastAsia="Arial" w:hAnsi="Arial"/>
          <w:sz w:val="16"/>
          <w:szCs w:val="16"/>
          <w:color w:val="auto"/>
        </w:rPr>
        <w:t>Encouraging good health and following a healthy lifestyle is a MasTec philosophy. We encourage all our employees to take an active role in</w:t>
      </w:r>
      <w:r>
        <w:rPr>
          <w:rFonts w:ascii="Arial" w:cs="Arial" w:eastAsia="Arial" w:hAnsi="Arial"/>
          <w:sz w:val="16"/>
          <w:szCs w:val="16"/>
          <w:b w:val="1"/>
          <w:bCs w:val="1"/>
          <w:color w:val="auto"/>
        </w:rPr>
        <w:t xml:space="preserve"> </w:t>
      </w:r>
      <w:r>
        <w:rPr>
          <w:rFonts w:ascii="Arial" w:cs="Arial" w:eastAsia="Arial" w:hAnsi="Arial"/>
          <w:sz w:val="16"/>
          <w:szCs w:val="16"/>
          <w:color w:val="auto"/>
        </w:rPr>
        <w:t>living a healthy lifestyle and offer wellness tools and resources to help achieve and maintain good health. We offer a comprehensive and flexible benefits program, including medical, dental, vision and prescription insurance, as well as access to telehealth services, which we expanded in 2020 in light of the COVID-19 pandemic to assist employees with medical and mental health matters. In addition, to help our employees build a financially secure future, we offer a 401(k) plan with matching benefits, an employee stock purchase plan, life and disability insurance plans and a flexible spending account to help employees cover medical expenses. We also offer employees support for personal and work-life issues, including health, legal and financial matters.</w:t>
      </w:r>
    </w:p>
    <w:p>
      <w:pPr>
        <w:spacing w:after="0" w:line="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color w:val="auto"/>
        </w:rPr>
        <w:t xml:space="preserve">Professional and Career Development. </w:t>
      </w:r>
      <w:r>
        <w:rPr>
          <w:rFonts w:ascii="Arial" w:cs="Arial" w:eastAsia="Arial" w:hAnsi="Arial"/>
          <w:sz w:val="16"/>
          <w:szCs w:val="16"/>
          <w:color w:val="auto"/>
        </w:rPr>
        <w:t>We believe that professional development is essential to the success of our business, as it drives employee engagement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ensures that our team members have the requisite skills and training to deliver the highest level of excellence to our customers. We invest significant resources in education, certification, training programs, and other professional development opportunities, including apprenticeship- and leadership-oriented training programs, tuition reimbursement for qualified training programs, sponsored attendance at industry conferences, departmental and divisional leadership conferences, employee training centers and advancement opportunities within and across businesses and divisions. These programs are designed to create high performing teams, improve productivity, positively affect employee motivation and retention and further enhance career development opportunities. We believe that our team culture, along with competitive salary and benefits packages and our focus on employee training and career development, including opportunities for promotion and mobility within our organization, helps us to attract and retain a diverse and experienced workforce.</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Diversity and Inclusion. </w:t>
      </w:r>
      <w:r>
        <w:rPr>
          <w:rFonts w:ascii="Arial" w:cs="Arial" w:eastAsia="Arial" w:hAnsi="Arial"/>
          <w:sz w:val="16"/>
          <w:szCs w:val="16"/>
          <w:color w:val="auto"/>
        </w:rPr>
        <w:t>At MasTec, we are committed to diversity and inclusion in the workplace and to fostering an environment where our employees can</w:t>
      </w:r>
      <w:r>
        <w:rPr>
          <w:rFonts w:ascii="Arial" w:cs="Arial" w:eastAsia="Arial" w:hAnsi="Arial"/>
          <w:sz w:val="16"/>
          <w:szCs w:val="16"/>
          <w:b w:val="1"/>
          <w:bCs w:val="1"/>
          <w:color w:val="auto"/>
        </w:rPr>
        <w:t xml:space="preserve"> </w:t>
      </w:r>
      <w:r>
        <w:rPr>
          <w:rFonts w:ascii="Arial" w:cs="Arial" w:eastAsia="Arial" w:hAnsi="Arial"/>
          <w:sz w:val="16"/>
          <w:szCs w:val="16"/>
          <w:color w:val="auto"/>
        </w:rPr>
        <w:t>freely bring diverse perspectives and varied experiences to work. We seek to attract the best talent and foster a culture of inclusion, teamwork, support and empowerment where all talented individuals have access to opportunities and can achieve success. Our commitment to diversity, equality and inclusion, together with our culture of belonging allows us to recruit and retain highly talented employees so that we are able to deliver exceptional results to our customers. In 2020, 49% of our overall U.S. workforce and 43% of our U.S. management team was represented by women and minorities.</w:t>
      </w:r>
    </w:p>
    <w:p>
      <w:pPr>
        <w:spacing w:after="0" w:line="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Certain of our businesses have incorporated the use of annual diversity assessments and goal setting targets to expand diversity within our management and employee teams, and we expect to continue in these efforts. We also have an extensive military veteran workforce, and actively engage in outreach programs tailored to military veterans.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 copy of this Form 10-K, as well as our Quarterly Reports on Form 10-Q, Current Reports on Form 8-K and any amendments to those reports filed or furnished pursuant to Section 13 or 15(d) of the Securities Exchange Act of 1934 are available free of charge on our website, www.mastec.com, as soon as reasonably practicable after we electronically file these reports with, or furnish these reports to, the SEC. Copies of our Board of Directors Governance Principles and Code of Business Conduct and Ethics, which applies to all of our directors, officers, including our principal executive, financial and accounting officers, and employees and includes additional criteria that are applicable to our Chief Executive Officer and senior financial officers, and the charters for each of our Audit, Compensation, and Nominating, Sustainability and Corporate Governance Committees are also available on our website in the Investors section under the tab “Corporate Governance,” or may be obtained by contacting our Vice President of Investor Relations by phone at (305) 406-1815, or by email at investor.relations@mastec.com. We intend to provide any amendments or waivers to our Code of Business Conduct and Ethics for any of our directors and senior officers on our website within four business days of any such amendment or waiver. The reference to our website address does not constitute incorporation by reference of the information contained on the website and such information is not part of this report. Our reports filed with the SEC may be accessed at the SEC’s website at www.sec.gov.</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Use of our Website to Distribute Material Company Information</w:t>
      </w:r>
    </w:p>
    <w:p>
      <w:pPr>
        <w:spacing w:after="0" w:line="11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www.mastec.com. We also use our website to expedite public access to time-critical information regarding our Company in advance of or in lieu of distributing a press release or a filing with the SEC disclosing the same information. Therefore, investors should look to the Investor Relations subpage of our website for important and time-critical information. Visitors to our website can also register to receive automatic e-mail and other notifications alerting them when new information is made available on the Investor Relations subpage of our website.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Our business is subject to a variety of risks and uncertainties, including, but not limited to, the risks and uncertainties described below. Additional risks and uncertainties not known to us or not described below could also negatively affect our operations. If any of the risks described below or other risks that are unknown to us were to occur, our business, financial condition, results of operations and cash flows could suffer, and/or the trading price of our common stock could decline. We also may not be able to achieve our goals or expectations. You should carefully consider the risks described below, together with all of the other information in this Form 10-K, including our Cautionary Statement Regarding Forward-Looking Statements described above.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Industries We Serve</w:t>
      </w:r>
    </w:p>
    <w:p>
      <w:pPr>
        <w:spacing w:after="0" w:line="117" w:lineRule="exact"/>
        <w:rPr>
          <w:sz w:val="20"/>
          <w:szCs w:val="20"/>
          <w:color w:val="auto"/>
        </w:rPr>
      </w:pPr>
    </w:p>
    <w:p>
      <w:pPr>
        <w:jc w:val="both"/>
        <w:spacing w:after="0" w:line="315" w:lineRule="auto"/>
        <w:rPr>
          <w:sz w:val="20"/>
          <w:szCs w:val="20"/>
          <w:color w:val="auto"/>
        </w:rPr>
      </w:pPr>
      <w:r>
        <w:rPr>
          <w:rFonts w:ascii="Arial" w:cs="Arial" w:eastAsia="Arial" w:hAnsi="Arial"/>
          <w:sz w:val="14"/>
          <w:szCs w:val="14"/>
          <w:b w:val="1"/>
          <w:bCs w:val="1"/>
          <w:i w:val="1"/>
          <w:iCs w:val="1"/>
          <w:color w:val="auto"/>
        </w:rPr>
        <w:t>Changes to laws, governmental regulations and policies, including governmental permitting processes and tax incentives, could affect demand for our services. Additionally, demand for construction services depends on industry activity and expenditure levels, which can be affected by a variety of factors. Our inability or failure to adjust to such changes or activity could result in decreased demand for our services and adversely affect our results of operations, cash flows and liquidity.</w:t>
      </w:r>
    </w:p>
    <w:p>
      <w:pPr>
        <w:spacing w:after="0" w:line="2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5"/>
          <w:szCs w:val="15"/>
          <w:color w:val="auto"/>
        </w:rPr>
        <w:t>The industries we serve are subject to effects of governmental regulation, climate change initiatives and political or social activism, any of which could result in reduced demand for our services, delays in timing of construction of projects, or cancellations of current or planned future projects. Many of our customers face stringent regulatory and environmental requirements and permitting processes, including governmental regulations and policies. Most of our communications customers are regulated by the FCC, and our energy customers are regulated by the Federal Energy Regulatory Commission (“FERC”), among others. In addition, our utility customers are regulated by state public utility commissions. These agencies or governments could change their interpretation of current regulations and/or may impose additional regulations, which could have an adverse effect on our customers, reduce demand for our services and adversely affect our results of operations, cash flows and liquidity. Our customers in the oil and gas industry could be adversely affected by regulatory initiatives or additional requirements, restrictions or legislation imposed by federal, state, local, or foreign governments. We build renewable energy infrastructure, including wind, solar and other renewable energy facilities, for which the development may be partially dependent upon federal tax credits, existing renewable portfolio standards and other tax or state incentives. Elimination of, or changes to, existing renewable portfolio standards, tax incentives or similar environmental policies could negatively affect demand for our services.</w:t>
      </w:r>
    </w:p>
    <w:p>
      <w:pPr>
        <w:spacing w:after="0" w:line="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All of the above factors could result in fewer projects than anticipated or a delay in the timing of construction of these projects and the related infrastructure, which could negatively affect demand for our services, and have a material adverse effect on our results of operations, cash flows and liquidity.</w:t>
      </w:r>
    </w:p>
    <w:p>
      <w:pPr>
        <w:spacing w:after="0" w:line="5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Many of the industries we serve are highly competitive and subject to rapid technological and regulatory changes, as well as customer consolidation, any of which could result in decreased demand for our services and adversely affect our results of operations, cash flows and liquidity.</w:t>
      </w:r>
    </w:p>
    <w:p>
      <w:pPr>
        <w:spacing w:after="0" w:line="4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4"/>
          <w:szCs w:val="14"/>
          <w:color w:val="auto"/>
        </w:rPr>
        <w:t>Our industry is highly fragmented, and we compete with other companies in most of the markets in which we operate, ranging from small independent firms servicing local markets to larger firms servicing regional and national markets. We also face competition from existing and prospective customers that employ in-house personnel to perform some of the services we provide. There are relatively few barriers to entry into certain of the markets in which we operate and, as a result, any organization that has adequate financial resources and access to technical expertise and skilled personnel may become a competitor. Most of our customers’ work is awarded through bid processes, and our project bids may not be successful. Our results of operations, cash flows and liquidity could be materially and adversely affected if we are unsuccessful in bidding for projects or renewing our master service agreements, or if our ability to win such projects or agreements requires that we accept lower margins.</w:t>
      </w:r>
    </w:p>
    <w:p>
      <w:pPr>
        <w:spacing w:after="0" w:line="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derive a substantial portion of our revenue from customers in industries that are subject to rapid changes in technology, governmental regulation, changing consumer demands and consolidation. Technological advances in the markets we serve could render existing projects or technologies uncompetitive or obsolete, and/or our could alter our customers’ existing operating models. Our failure to rapidly adopt and master new technologies as they are developed or adapt to changing customer requirements could reduce demand for our services. Additionally, consolidation among our customers could result in the loss of customer revenue or could negatively affect customer demand for the services we provide and have a material adverse effect on our results of operations, cash flows and liquidity.</w:t>
      </w:r>
    </w:p>
    <w:p>
      <w:pPr>
        <w:spacing w:after="0" w:line="55" w:lineRule="exact"/>
        <w:rPr>
          <w:sz w:val="20"/>
          <w:szCs w:val="20"/>
          <w:color w:val="auto"/>
        </w:rPr>
      </w:pPr>
    </w:p>
    <w:p>
      <w:pPr>
        <w:jc w:val="both"/>
        <w:spacing w:after="0" w:line="329" w:lineRule="auto"/>
        <w:rPr>
          <w:sz w:val="20"/>
          <w:szCs w:val="20"/>
          <w:color w:val="auto"/>
        </w:rPr>
      </w:pPr>
      <w:r>
        <w:rPr>
          <w:rFonts w:ascii="Arial" w:cs="Arial" w:eastAsia="Arial" w:hAnsi="Arial"/>
          <w:sz w:val="14"/>
          <w:szCs w:val="14"/>
          <w:b w:val="1"/>
          <w:bCs w:val="1"/>
          <w:i w:val="1"/>
          <w:iCs w:val="1"/>
          <w:color w:val="auto"/>
        </w:rPr>
        <w:t>Unfavorable market conditions, market uncertainty, health outbreaks such as the COVID-19 pandemic, and/or economic downturns could reduce capital expenditures in the industries we serve or could adversely affect our customers, which could result in decreased demand or impair our customers’ ability to pay for our services.</w:t>
      </w:r>
    </w:p>
    <w:p>
      <w:pPr>
        <w:spacing w:after="0" w:line="1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Demand for our services has been, and will likely continue to be, cyclical in nature and vulnerable to general downturns in the U.S. economy and the economies of the countries in which we operate. Unfavorable market conditions, market uncertainty, health outbreaks such as the COVID-19 pandemic, and/or economic downturns could have a negative effect on demand for our customers’ services or the profitability of their services. We continually monitor our customers’ industries and their relative health compared to the economy as a whole. Our customers may not have the ability to fund capital expenditures for infrastructure or may have difficulty obtaining financing for planned projects during economic downturns. Uncertain or adverse economic conditions or the lack of availability of debt or equity financing for our customers could reduce their capital spending and/or result in project cancellations or deferrals. Any of these conditions could materially and adversely affect our results of operations, cash flows and liquidity, and could add uncertainty to our backlog determinations.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oil and gas markets have historically been volatile and are likely to continue to be volatile. Oil and gas prices are subject to large fluctuations in response to changes in supply and demand, including from disruptions in global economic activity as a result of the COVID-19 pandemic, demand for alternative energy sources and legislative and regulatory changes, including from climate change initiatives, as well as market uncertainty and a variety of other factors that are beyond our control. Demand for pipeline construction services is sensitive to the level of activity in the oil and gas industry as well as industrial and utility customer demand and regulatory constraints. Other economic factors can also negatively affect demand for our services, including economic downturns affecting our communications and customer fulfillment customers, if services are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jc w:val="both"/>
        <w:ind w:right="20"/>
        <w:spacing w:after="0" w:line="275" w:lineRule="auto"/>
        <w:rPr>
          <w:sz w:val="20"/>
          <w:szCs w:val="20"/>
          <w:color w:val="auto"/>
        </w:rPr>
      </w:pPr>
      <w:r>
        <w:rPr>
          <w:rFonts w:ascii="Arial" w:cs="Arial" w:eastAsia="Arial" w:hAnsi="Arial"/>
          <w:sz w:val="16"/>
          <w:szCs w:val="16"/>
          <w:color w:val="auto"/>
        </w:rPr>
        <w:t>ordered at a reduced rate, or not at all. A decrease in demand for the services we provide from any of the above factors, among others, could materially and adversely affect our results of operations, cash flows and liquidity.</w:t>
      </w:r>
    </w:p>
    <w:p>
      <w:pPr>
        <w:spacing w:after="0" w:line="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An impairment of the financial condition of one or more of our customers due to economic downturns, or due to the potential adverse effects of the COVID-19 pandemic on economic activity, could hinder their ability to pay us on a timely basis. In the past, we have incurred significant losses from customers who filed for bankruptcy or experienced financial difficulties following a general economic downturn, in which certain industry factors worsened the effect of the overall economic downturn on those customers. In difficult economic times, some of our clients may find it difficult to pay for our services on a timely basis, increasing the risk that our accounts receivable could become uncollectible and ultimately be written off. In certain cases, our clients are project-specific entities that do not have significant assets other than their interests in the project. From time to time, it may be difficult for us to collect payments owed to us by these clients. Delays in client payments may require us to make a working capital investment, which could negatively affect our cash flows and liquidity. Our results of operations, cash flows and liquidity could be materially and adversely affected if a client fails to pay us on a timely basis or defaults in making payments on a project for which we have devoted significant resources.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Operations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failure to properly manage projects, or project delays, including those resulting from difficult work sites and environments, could result in additional costs or claims, which could have a material adverse effect on our operating results, cash flows and liquidity.</w:t>
      </w:r>
    </w:p>
    <w:p>
      <w:pPr>
        <w:spacing w:after="0" w:line="5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Certain of our engagements involve large-scale, complex projects that may occur over extended time periods. The quality of our performance on such a project depends in large part upon our ability to manage our client relationship and the project itself, such as the timely deployment of appropriate resources, including third-party contractors and our own personnel. Our results of operations, cash flows and liquidity could be adversely affected if we miscalculate the resources or time needed to complete a project with capped or fixed fees, or the resources or time needed to meet contractual milestones.</w:t>
      </w:r>
    </w:p>
    <w:p>
      <w:pPr>
        <w:spacing w:after="0" w:line="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We perform work under a variety of conditions, including, but not limited to, challenging and hard to reach terrain and difficult site conditions. Performing work under such conditions can result in project delays or cancellations, potentially causing us to incur unanticipated costs, reductions in revenue or the payment of liquidated damages. In addition, some of our contracts require that we assume the risk should actual site conditions vary from those expected. Some of our projects involve challenging engineering, procurement and construction phases, which may occur over extended time periods. We may encounter difficulties in engineering, delays in designs or materials provided by the customer or a third-party, equipment and material delivery delays, permitting delays, schedule changes, delays from customer failure to timely obtain rights-of-way, weather-related delays, delays by subcontractors in completing their portion of projects and governmental, market and political or other factors, some of which are beyond our control and could affect our ability to complete a project as originally scheduled. In some cases, delays and additional costs may be substantial, and/or we may be required to cancel or defer a project and/or compensate the customer for the delay. We may not be able to recover any of such costs. Any such delays, cancellations, errors or other failures to meet customer expectations could result in damage claims substantially in excess of the revenue associated with a project. Delays or cancellations could also negatively affect our reputation or relationships with our customers, which could adversely affect our ability to secure new contracts.</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could also encounter project delays due to local opposition, including political and social activism, which could include injunctive actions or public protests related to the siting of our projects, and such delays could adversely affect our project margins. In addition, some of our agreements require that we share in cost overages or pay liquidated damages if we do not meet project deadlines; therefore, any failure to properly estimate or manage cost, or delays in the completion of projects, could subject us to penalties, which could adversely affect our results of operations, cash flows and liquidity. Further, any defects or errors, or failures to meet our customers’ expectations, could result in large damage claims against us. Due to the substantial cost of, and potentially long lead-times necessary to acquire certain of the materials and equipment used in our complex projects, damage claims could substantially exceed the amount we can charge for our associated services.</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Our failure to recover adequately on claims against project owners, subcontractors or suppliers for payment or performance could have a material adverse effect on our financial results.</w:t>
      </w:r>
    </w:p>
    <w:p>
      <w:pPr>
        <w:spacing w:after="0" w:line="6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5"/>
          <w:szCs w:val="15"/>
          <w:color w:val="auto"/>
        </w:rPr>
        <w:t>We occasionally bring claims against project owners for additional costs that exceed the contract price or for amounts not included in the original contract price. Similarly, we present change orders and claims to our subcontractors and suppliers. We could incur reduced profits, cost overruns or project losses if we fail to properly document the nature of change orders or claims or are otherwise unsuccessful in negotiating an expected settlement. These types of claims can often occur due to matters such as owner-caused delays or changes from the initial project scope, which result in additional costs, both direct and indirect, or from project or contract terminations. From time to time, these claims can be the subject of lengthy and costly proceedings, and it is often difficult to accurately predict when these claims will be fully resolved. When these types of events occur and unresolved claims are pending, we may invest significant working capital in projects to cover cost overruns pending the resolution of the relevant claims. A failure to promptly recover on these types of claims could have a material adverse effect on our liquidity and financial results.</w:t>
      </w:r>
    </w:p>
    <w:p>
      <w:pPr>
        <w:spacing w:after="0" w:line="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Additionally, we generally warrant the work we perform following substantial completion of a project. Warranty claims have historically not been material, but such claims could potentially increase. The costs associated with such warranties, including any warranty-related legal proceedings, could have a material adverse effect on our results of operations, cash flows and liquidity.</w:t>
      </w:r>
    </w:p>
    <w:p>
      <w:pPr>
        <w:spacing w:after="0" w:line="6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auto"/>
        </w:rPr>
        <w:t>We may not accurately estimate the costs associated with services provided under fixed price contracts, which could impair our financial performance. Additionally, we recognize revenue for certain projects using the cost-to-cost method of accounting; therefore, variations of actual results from our assumptions could reduce our profitability.</w:t>
      </w:r>
    </w:p>
    <w:p>
      <w:pPr>
        <w:spacing w:after="0" w:line="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We derive a significant portion of our revenue from fixed price master service and other service agreements. Under these contracts, we typically set the price of our services on a per unit or aggregate basis and assume the risk that costs associated with our performance may be greater than what we estimated. We also enter into contracts for specific projects or jobs that require the installation or construction of an entire infrastructure system or specified units within an infrastructure system, many of which are priced on a fixed price or per unit basis. Our profitability will be reduced if actual costs to complete a project exceed our original estimates. Our profitability is therefore dependent upon our ability 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 w:name="page18"/>
    <w:bookmarkEnd w:id="17"/>
    <w:p>
      <w:pPr>
        <w:jc w:val="both"/>
        <w:spacing w:after="0" w:line="284" w:lineRule="auto"/>
        <w:rPr>
          <w:sz w:val="20"/>
          <w:szCs w:val="20"/>
          <w:color w:val="auto"/>
        </w:rPr>
      </w:pPr>
      <w:r>
        <w:rPr>
          <w:rFonts w:ascii="Arial" w:cs="Arial" w:eastAsia="Arial" w:hAnsi="Arial"/>
          <w:sz w:val="14"/>
          <w:szCs w:val="14"/>
          <w:color w:val="auto"/>
        </w:rPr>
        <w:t>accurately estimate the costs associated with our services and our ability to execute in accordance with our plans. A variety of factors could negatively affect these estimates, including changes in expected productivity levels, conditions at work sites differing materially from those anticipated at the time we bid on the contract and higher than expected costs of labor and/or materials. These variations, along with other risks inherent in performing fixed price contracts, could cause actual project results to differ materially from our original estimates, which could result in lower margins than anticipated, or losses, which could reduce our profitability, cash flows and liquidity.</w:t>
      </w:r>
    </w:p>
    <w:p>
      <w:pPr>
        <w:spacing w:after="0" w:line="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In addition, we recognize revenue from fixed price contracts, as well as for certain projects pursuant to master and other service agreements, over time utilizing the cost-to-cost measure of progress, or the “cost-to-cost” method of accounting, under which the percentage of revenue to be recognized in a given period is measured by the percentage of costs incurred to date on the contract to the total estimated costs for the contract. The cost-to-cost method, therefore, relies on estimates of total expected contract costs. Contract revenue and total contract cost estimates are reviewed and revised on an ongoing basis as the work progresses. Adjustments arising from changes in the estimates of contract revenue or costs are reflected in the fiscal period in which such estimates are revised. Estimates are based on management’s reasonable assumptions, judgment and experience, but are subject to the risks inherent in estimates, including unanticipated delays or technical complications, changes in job performance, job conditions and management’s assessment of expected variable consideration. Variances in actual results from related estimates on a large project, or on several smaller projects, could be material. The full amount of an estimated loss on a contract is recognized in the period such losses are determined. Any such adjustments could result in reduced profitability and negatively affect our results of operations.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i w:val="1"/>
          <w:iCs w:val="1"/>
          <w:color w:val="auto"/>
        </w:rPr>
        <w:t>We derive a significant portion of our revenue from a few customers, and the loss of one or more of these customers, or a reduction in their demand for our services, could impair our financial performance. In addition, many of our contracts, including our service agreements, do not obligate our customers to undertake any infrastructure projects or other work with us, and most of our contracts may be canceled on short or no advance notice.</w:t>
      </w:r>
    </w:p>
    <w:p>
      <w:pPr>
        <w:spacing w:after="0" w:line="7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business is concentrated among relatively few customers, and a substantial portion of our services are provided on a non-recurring, project-by-project basis. Our revenue could significantly decline if we were to lose one or more of our significant customers, or if one or more of our customers reduce the amount of business they provide to us. In addition, our results of operations, cash flows and liquidity could be negatively affected if we complete the required work on non-recurring projects and cannot replace them with similar projects. See Note 1 - Business, Basis of Presentation and Significant Accounting Policies, Note 13 - Segments and Related Information and Note 14 - Commitments and Contingencies in the notes to the audited consolidated financial statements, which are incorporated by reference, for revenue concentration information.</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derive a significant portion of our revenue from multi-year master service and other service agreements. Under these agreements, our customers have no obligation to undertake any infrastructure projects or other work with us. In addition, most of our contracts are cancelable on short or no advance notice, ranging from immediate cancellation to cancellation upon 180 days notice, even if we are not in default under the contract. This makes it difficult to estimate our customers’ demand for our services. A significant decline in the volume of work our customers request us to perform under these service agreements could negatively affect our results of operations, cash flows and liquidity.</w:t>
      </w:r>
    </w:p>
    <w:p>
      <w:pPr>
        <w:spacing w:after="0" w:line="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Many of our contracts, including our service agreements, are periodically open to public bid. We may not be the successful bidder on existing contracts that are re-bid. We could experience a reduction in revenue, profitability and liquidity if we fail to win a significant number of existing contracts upon re-bid, or, for services that are provided on a non-recurring basis, if we complete the required work under a significant number of projects and cannot replace them with similar projects. Additionally, from time to time, we enter into contracts that contain financing or other conditions that must be satisfied before we can begin work. Certain of these contracts may not result in revenue or profits if our customers are unable to obtain financing or to satisfy other conditions associated with such projects.</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Amounts included in our backlog may not result in actual revenue or translate into profits. Our backlog is subject to cancellation and unexpected adjustments and is, therefore, an uncertain indicator of future operating results.</w:t>
      </w:r>
    </w:p>
    <w:p>
      <w:pPr>
        <w:spacing w:after="0" w:line="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5"/>
          <w:szCs w:val="15"/>
          <w:color w:val="auto"/>
        </w:rPr>
        <w:t>Our backlog consists of the estimated amount of revenue we expect to realize from future work on uncompleted contracts, including new contracts under which work has not begun, as well as revenue from change orders and renewal options and our proportionate share of estimated revenue from proportionately consolidated non-controlled contractual joint ventures. A significant portion of our 18-month backlog is attributable to master service agreements and other service agreements, none of which require our customers to purchase a minimum amount of services and are cancelable on short or no advance notice. The balance of our backlog is our estimate of work to be completed under contracts for specific projects. Backlog amounts are determined based on estimates that incorporate historical trends, anticipated seasonal impacts, experience from similar projects and estimates of customer demand based on communications with our customers. These estimates may prove inaccurate, which could cause estimated revenue to be realized in periods later than originally expected, or not at all. In the past, we have experienced postponements, cancellations and reductions in expected future work due to changes in our customers’ spending plans, market volatility, regulatory delays and/or other factors. There can be no assurance as to our customers’ requirements or that actual results will be consistent with the estimates included in our forecasts. As a result, our backlog as of any particular date is an uncertain indicator of future revenue and earnings. In addition, contracts included in our backlog may not be profitable. If our backlog fails to materialize, our results of operations, cash flows and liquidity would be materially and adversely affected.</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operations, and the operations of our customers, may be adversely affected by epidemics or pandemics such as the COVID-19 pandemic.</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5"/>
          <w:szCs w:val="15"/>
          <w:color w:val="auto"/>
        </w:rPr>
        <w:t>We may face risks related to health epidemics and pandemics or other outbreaks of communicable diseases. The global spread of COVID-19 has created significant volatility, uncertainty and economic disruption, including significant volatility in the U.S. economy and financial markets. The extent to which the COVID-19 pandemic could affect our business, operations, financial results and the trading price of our common stock will depend on numerous evolving factors that we may not be able to accurately predict, including the duration and scope of the pandemic and new information that may emerge concerning the severity and effect of COVID-19, the continued emergence of new strains of COVID-19, the development and availability of effective treatments and vaccines and the speed with which they are administered to the public. Additional factors include governmental and business actions that have been and continue to be taken in response to the pandemic, including mitigation efforts such as "stay-at-home," "shelter-in-place," social distancing, travel restrictions and other similar orders, as well as the impact of the pandemic on the U.S. economy, global economic and market activity and actions taken in response, including from governmental stimulus efforts.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8" w:name="page19"/>
    <w:bookmarkEnd w:id="18"/>
    <w:p>
      <w:pPr>
        <w:jc w:val="both"/>
        <w:ind w:firstLine="648"/>
        <w:spacing w:after="0" w:line="267" w:lineRule="auto"/>
        <w:rPr>
          <w:sz w:val="20"/>
          <w:szCs w:val="20"/>
          <w:color w:val="auto"/>
        </w:rPr>
      </w:pPr>
      <w:r>
        <w:rPr>
          <w:rFonts w:ascii="Arial" w:cs="Arial" w:eastAsia="Arial" w:hAnsi="Arial"/>
          <w:sz w:val="15"/>
          <w:szCs w:val="15"/>
          <w:color w:val="auto"/>
        </w:rPr>
        <w:t>A public health epidemic or pandemic, such as the COVID-19 pandemic, poses the risk that we or our employees, customers and/or business partners may be prevented from conducting ordinary course business activities for an indefinite period of time, including due to shutdowns or cancellations that may be mandated or requested by governmental authorities or others, or that the pandemic may otherwise interrupt or affect business activities. While our business model has, thus far, proven resilient, the COVID-19 pandemic has had a negative effect on our operations, and we expect this to continue into at least early 2021. It is currently unclear how long an economic recovery could take, and we cannot predict the extent or duration of potential negative effects on our operations. We have adjusted standard operating procedures within our business operations to ensure continued employee and customer safety and are continually monitoring evolving health guidelines as well as market conditions and responding to changes as appropriate. We cannot be certain, however, that these efforts will prevent further disruption due to effects of the pandemic on business and market conditions. Additionally, we could be exposed to increased risks and costs associated with workplace health claims. To comply with health guidelines implemented to control the spread of COVID-19, we have incorporated work-at-home programs as appropriate for our administrative offices and, despite our implementation of information technology security measures, there is no guarantee that the data security and privacy safeguards we have put in place will be completely effective or that we will not encounter some of the common risks associated with employees accessing Company data and systems remotely.</w:t>
      </w:r>
    </w:p>
    <w:p>
      <w:pPr>
        <w:spacing w:after="0" w:line="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Disruptions in global economic activity as a result of the COVID-19 pandemic have had, and may continue to have, adverse effects across our end markets, particularly in the oil and gas sector, which has experienced significant volatility in oil prices and demand. Unfavorable market conditions and market uncertainty due to the COVID-19 pandemic could have a negative effect on demand for our customers’ services and/or the profitability of services. Our customers may not have the ability to fund capital expenditures for infrastructure, or may have difficulty obtaining financing for planned projects, which could reduce their capital spending and/or result in reduced demand for our services and/or delays or cancellations of current or planned future projects. Delay in the receipt of regulatory approvals due to pandemic-related disruptions could also affect project timing and activity levels. We could also incur incremental costs to operate in the current environment or experience lower levels of overhead absorption from a reduction in revenue, both of which could negatively affect our margins and profitability. Additionally, the economic and market disruptions resulting from COVID-19 could also lead to greater than normal uncertainty with respect to the realization of estimated amounts, including our estimates for backlog, revenue recognition, recoverability of goodwill, intangible assets and other investments and our provisions for credit losses. Our customers could seek to delay payments to us as a result of the pandemic’s financial effects on them, which could negatively affect our cash flows and liquidity. The COVID-19 pandemic or any other future pandemics could also precipitate or aggravate other risk factors presented in this Annual Report on Form 10-K, which in turn could materially adversely affect our business, financial condition and results of operations.</w:t>
      </w:r>
    </w:p>
    <w:p>
      <w:pPr>
        <w:spacing w:after="0" w:line="73"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4"/>
          <w:szCs w:val="14"/>
          <w:color w:val="auto"/>
        </w:rPr>
        <w:t>The ultimate extent, duration and impact of the COVID-19 pandemic is uncertain, the effects of which could be significant, and we cannot predict or quantify with any certainty the extent to which it could adversely affect our future financial condition, results of operations, liquidity, cash flows or the market price of our common stock.</w:t>
      </w:r>
    </w:p>
    <w:p>
      <w:pPr>
        <w:spacing w:after="0" w:line="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We maintain a workforce based upon current and anticipated workloads. We could incur significant costs and reduced profitability from underutilization of our workforce if there is a significant reduction in the level of services we provide or if contract awards are delayed or not received.</w:t>
      </w:r>
    </w:p>
    <w:p>
      <w:pPr>
        <w:spacing w:after="0" w:line="4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Our estimates of future performance and results of operations depend, among other factors, on whether and when we receive new contract awards, which affect the extent to which we are able to utilize our workforce. The rate at which we utilize our workforce is affected by a variety of factors, including our ability to forecast the need for our services, which allows us to maintain an appropriately sized workforce, our ability to transition employees from completed projects to new projects, our ability to manage attrition and our need to devote resources to non-chargeable activities such as training or business development. While our estimates are based upon our good faith judgment, professional knowledge and experience, these estimates may not be accurate and can frequently change based on newly available information. In the case of large-scale projects where timing is often uncertain, it is particularly difficult to predict whether and when we will receive a contract award. The uncertainty of contract award timing can present difficulties in matching our workforce size to our project needs. If an expected contract award is delayed or not received, we could incur costs resulting from underutilization of our workforce, redundancy of facilities, or from efforts to right-size our workforce and/or operations, which could reduce our profitability and cash flows.</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Our financial results are based, in part, upon estimates and assumptions that may differ from actual results. In addition, changes in accounting principles may cause unexpected fluctuations in our reported financial information.</w:t>
      </w:r>
    </w:p>
    <w:p>
      <w:pPr>
        <w:spacing w:after="0" w:line="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4"/>
          <w:szCs w:val="14"/>
          <w:color w:val="auto"/>
        </w:rPr>
        <w:t>In preparing our consolidated financial statements in conformity with U.S. GAAP, management makes a number of estimates and assumptions that affect the amounts reported in our consolidated financial statements and accompanying notes. These estimates and assumptions must be made because certain information used in the preparation of our consolidated financial statements is either dependent on future events or cannot be calculated with a high degree of precision from data available. In some cases, these estimates are particularly uncertain and we must exercise significant judgment. See Note 1 - Business, Basis of Presentation and Significant Accounting Policies in the notes to the audited consolidated financial statements, which is incorporated by reference, for details of key estimates. Actual results could differ materially from the estimates and assumptions that we use, which could have a material adverse effect on our results of operations, cash flows and liquidity.</w:t>
      </w:r>
    </w:p>
    <w:p>
      <w:pPr>
        <w:spacing w:after="0" w:line="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addition, accounting rules and regulations are subject to review and interpretation by the Financial Accounting Standards Board (the “FASB”), the SEC and various other governing bodies. A change in U.S. GAAP could have a material effect on our reported financial results, and the adoption of new or revised accounting principles could require that we make significant changes to our systems, processes and controls, which could have an adverse effect on our results of operations, cash flows and liquidity.</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Our business is subject to operational risk, including from operational and physical hazards that could result in substantial liabilities and weaken our financial condition.</w:t>
      </w:r>
    </w:p>
    <w:p>
      <w:pPr>
        <w:spacing w:after="0" w:line="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business is subject to operational hazards due to the nature of services we provide and the conditions in which we operate, including electricity, fires, explosions, mechanical failures and weather-related incidents. While we invest substantial resources in occupational health and safety programs, there can be no assurance that we will be able to mitigate all such hazards or avoid significant liability. Construction projects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9" w:name="page20"/>
    <w:bookmarkEnd w:id="19"/>
    <w:p>
      <w:pPr>
        <w:jc w:val="both"/>
        <w:spacing w:after="0" w:line="249" w:lineRule="auto"/>
        <w:rPr>
          <w:sz w:val="20"/>
          <w:szCs w:val="20"/>
          <w:color w:val="auto"/>
        </w:rPr>
      </w:pPr>
      <w:r>
        <w:rPr>
          <w:rFonts w:ascii="Arial" w:cs="Arial" w:eastAsia="Arial" w:hAnsi="Arial"/>
          <w:sz w:val="16"/>
          <w:szCs w:val="16"/>
          <w:color w:val="auto"/>
        </w:rPr>
        <w:t>undertaken by us expose our employees to electrical lines, pipelines carrying potentially explosive or toxic materials, heavy equipment, transportation accidents, adverse weather conditions and the risk of damage to equipment and property. These risks and hazards, among others, can cause personal injuries and loss of life, severe damage to or destruction of property and equipment and other consequential damages and could lead to suspension of operations, large damage claims which could, in some cases, substantially exceed the amount we charge for the associated services, government enforcement actions or regulatory penalties, civil litigation or criminal prosecution. Personal injury claims for damages, including for bodily injury or loss of life, could result in substantial costs and liabilities, which could materially and adversely affect our financial condition, results of operations or cash flows. In addition, if serious accidents or fatalities occur, or if our safety records were to deteriorate, we may be restricted from bidding on certain work or obtaining new contracts, and certain existing contracts could be terminated. Our safety processes and procedures are monitored by various agencies and ratings bureaus. The occurrence of accidents in the course of our business could result in significant liabilities, employee turnover or an increase the costs of our projects or harm our ability to perform under our contracts or enter into new customer contracts, all of which could materially adversely affect our revenue, profitability and liquidity.</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business is seasonal and affected by the spending patterns of our customers and timing of governmental permitting, as well as weather conditions and natural catastrophes, which exposes us to variations in quarterly results.</w:t>
      </w:r>
    </w:p>
    <w:p>
      <w:pPr>
        <w:spacing w:after="0" w:line="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Some of our customers reduce their expenditures and work order requests towards the end of the calendar year. In addition, adverse weather conditions, particularly during the winter season, can affect our ability to perform outdoor services in certain regions. As a result, we generally experience reduced revenue in the first quarter of each calendar year. Natural catastrophes such as hurricanes or other severe weather, wildfires or flooding could affect our ability to perform outdoor services or utilize equipment and crews in affected regions. The effects of the COVID-19 pandemic and changes in governmental permitting could also result in greater seasonal and cyclical volatility than would otherwise exist under normal conditions. These events, as well as other global and/or economic effects, could adversely affect demand for our services and our results of operations, cash flows and liquidity.</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In the ordinary course of our business, we may become subject to lawsuits, indemnity or other claims, which could materially and adversely affect our business, results of operations and cash flows.</w:t>
      </w:r>
    </w:p>
    <w:p>
      <w:pPr>
        <w:spacing w:after="0" w:line="6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From time to time, we are subject to various claims, lawsuits and other legal proceedings brought or threatened against us in the ordinary course of our business. These actions and proceedings may seek, among other things, compensation for alleged personal injury, workers’ compensation, employment discrimination and other employment-related damages, breach of contract, property damage, environmental liabilities, liquidated damages, consequential damages, punitive damages and civil penalties or other losses, or injunctive or declaratory relief. We may also be subject to litigation in the normal course of business involving allegations of violations of the Fair Labor Standards Act and state wage and hour laws. In addition, we generally indemnify our customers for claims related to the services we provide and actions we take under our contracts, and, in some instances, we may be allocated risk through our contract terms for actions by our joint venture partners, equity investments, customers or other third parties.</w:t>
      </w:r>
    </w:p>
    <w:p>
      <w:pPr>
        <w:spacing w:after="0" w:line="9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Claimants may seek large damage awards and defending claims can involve significant costs. When appropriate, we establish accruals for litigation and contingencies that we believe to be adequate in light of current information, legal advice and our indemnity insurance coverages. We reassess our potential liability for litigation and contingencies as additional information becomes available and adjust our accruals as necessary. We could experience a reduction in our profitability and liquidity if we do not properly estimate the amount of required accruals for litigation or contingencies, or if our insurance coverage proves to be inadequate or becomes unavailable, or if our self-insurance liabilities are higher than expected. The outcome of litigation is difficult to assess or quantify, as plaintiffs may seek recovery of very large or indeterminate amounts and the magnitude of the potential loss may remain unknown for substantial periods of time. Furthermore, because litigation is inherently uncertain, the ultimate resolution of any such claim, lawsuit or proceeding through settlement, mediation, or court judgment could have a material adverse effect on our business, financial condition or results of operations. In addition, claims, lawsuits and proceedings may harm our reputation or divert management’s attention from our business or divert resources away from operating our business and cause us to incur significant expenses, any of which could have a material adverse effect on our business, results of operations or financial condition.</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We rely on information, communications and data systems in our operations. Systems and information technology interruptions and/or data security breaches could adversely affect our ability to operate and our operating results or could result in harm to our reputation.</w:t>
      </w:r>
    </w:p>
    <w:p>
      <w:pPr>
        <w:spacing w:after="0" w:line="6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5"/>
          <w:szCs w:val="15"/>
          <w:color w:val="auto"/>
        </w:rPr>
        <w:t>We are heavily reliant on information and communications technology, computer and other related systems in order to operate. We also rely, in part, on third-party software and information technology to run certain of our critical accounting, project management and financial information systems. From time to time, we experience system interruptions and delays. Our operations could be interrupted or delayed, or our data security could be breached, if we are unable to deploy software and hardware, gain access to, or effectively maintain and upgrade our systems and network infrastructure and/or take other steps to improve and otherwise protect our systems. In addition, our information technology and communications systems, including those associated with acquired businesses, and our operations could be damaged or interrupted by cyber-attacks and/or physical security risks. These risks include natural disasters, power loss, telecommunications failures, intentional or inadvertent user misuse or error, failures of information technology solutions, computer viruses, phishing attacks, social engineering schemes, malicious code, ransomware attacks, acts of terrorism and physical or electronic security breaches, including breaches by computer hackers, cyber-terrorists and/or unauthorized access to or disclosure of our and/or our employees’ or customers’ data. Furthermore, such unauthorized access or cyber-attacks could go unnoticed for some period of time.</w:t>
      </w:r>
    </w:p>
    <w:p>
      <w:pPr>
        <w:spacing w:after="0" w:line="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These events, among others, could cause system interruptions, delays and/or the loss or release of critical or sensitive data, including the unintentional disclosure of customer, employee or our information, and could delay or prevent operations, including the processing of transactions and reporting of financial results or cause processing inefficiency or downtime, all of which could have a material adverse effect on our business, results of operations and financial condition and could harm our reputation and/or result in significant costs, fines or litigation. Similar risks could affect our customers, subcontractors or suppliers, indirectly affecting us.</w:t>
      </w:r>
    </w:p>
    <w:p>
      <w:pPr>
        <w:spacing w:after="0" w:line="6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While we have security, internal control and technology measures in place to protect our systems and network, if these measures fail as a result of a cyber-attack, other third-party action, employee error, malfeasance or other security failure, and someone obtains unauthorized access to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0" w:name="page21"/>
    <w:bookmarkEnd w:id="20"/>
    <w:p>
      <w:pPr>
        <w:jc w:val="both"/>
        <w:spacing w:after="0" w:line="250" w:lineRule="auto"/>
        <w:rPr>
          <w:sz w:val="20"/>
          <w:szCs w:val="20"/>
          <w:color w:val="auto"/>
        </w:rPr>
      </w:pPr>
      <w:r>
        <w:rPr>
          <w:rFonts w:ascii="Arial" w:cs="Arial" w:eastAsia="Arial" w:hAnsi="Arial"/>
          <w:sz w:val="16"/>
          <w:szCs w:val="16"/>
          <w:color w:val="auto"/>
        </w:rPr>
        <w:t>our or our employees’ or customers’ information, our reputation could be damaged, our business may suffer and we could incur significant liability, or, in some cases, we may lose access to our business data. In the ordinary course of business, we have been targeted by malicious cyber-attacks, although our systems have been sufficiently resilient to prevent disruption of our operations; however, because the techniques used to obtain unauthorized access or sabotage systems change frequently and generally are not identified until they are launched against a target, our current or future defenses may not be adequate to protect against new or revised techniques. As a result, we may be required to expend significant resources to protect against the threat of system disruptions and security breaches or to investigate and mitigate problems caused by these disruptions and breaches. Any of these events could damage our reputation and have a material adverse effect on our business, results of operations, financial condition and cash flows. Furthermore, while we maintain insurance policies that we consider to be adequate, our coverage may not specifically cover all types of losses or claims that may arise.</w:t>
      </w:r>
    </w:p>
    <w:p>
      <w:pPr>
        <w:spacing w:after="0" w:line="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the unauthorized disclosure of confidential information and current and future laws and regulations governing data privacy may pose complex compliance challenges and/or result in additional costs. Failure to comply with such laws and regulations could result in penalties, fines and/or legal liabilities and/or harm our reputation. The continuing and evolving threat of cyber-attacks has also resulted in increased regulatory focus on risk management and prevention. New cyber-related regulations or other requirements could require significant additional resources and/or cause us to incur significant costs, which could have an adverse effect on our results of operations and cash flows.</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regularly evaluate the need to upgrade, enhance and/or replace our systems and network infrastructure to protect our information technology environment, to stay current on vendor supported products and to improve the efficiency and scope of our systems and information technology capabilities. The implementation of new systems and information technology could adversely impact our operations by requiring substantial capital expenditures, diverting management’s attention, and/or causing delays or difficulties in transitioning to new systems. In addition, our system implementations may not result in productivity improvements at the levels anticipated. System implementation and/or any other information technology disruptions, if not anticipated and appropriately mitigated, could have an adverse effect on our business and remediation of any such disruptions could result in significant costs.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Our subcontractors and suppliers may fail, or be unable to, satisfy their obligations to us or other parties, or we may be unable to maintain these relationships, either of which could have a material adverse effect on our results of operations, cash flows and liquidity.</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4"/>
          <w:szCs w:val="14"/>
          <w:color w:val="auto"/>
        </w:rPr>
        <w:t>We depend on subcontractors to perform work for some of our projects. There is a risk that we could have disputes with subcontractors arising from, among other things, the quality and timeliness of the work they perform, customer concerns, or our failure to extend existing work orders or issue new work orders under a subcontracting arrangement. Our ability to fulfill our obligations as a prime contractor could be jeopardized if any of our subcontractors fail to perform the agreed-upon services on a timely basis and/or deliver the agreed-upon supplies. In addition, the absence of qualified subcontractors with whom we have satisfactory relationships could adversely affect our ability to perform under some of our contracts, or the quality of the services we provide. Additionally, in some cases, we pay our subcontractors before our customers pay us for the related services. We could experience a material decrease in profitability and liquidity if we pay our subcontractors for work performed for customers that fail to or delay paying us for the related work. Any of these factors could have a material adverse effect on our results of operations, cash flows and liquidity.</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We also rely on suppliers, equipment manufacturers and lessors to obtain or provide the materials and equipment we require to conduct our operations. Any substantial limitation on the availability of suppliers or equipment, including from economic, regulatory or market conditions, could negatively affect our operations. Our results of operations, cash flows and liquidity could be adversely affected if we were unable to acquire sufficient materials or equipment to conduct our operations.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additional tax liabilities associated with our domestic and international operations.</w:t>
      </w:r>
    </w:p>
    <w:p>
      <w:pPr>
        <w:spacing w:after="0" w:line="100"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We are subject to income taxes in the United States and certain foreign jurisdictions. Management must exercise significant judgment in determining our provision for income taxes due to lack of clear and concise tax laws and regulations in certain jurisdictions. Tax laws are dynamic and subject to change as new laws are passed and new interpretations of laws are issued or applied, and such changes could materially affect our tax provisions. The federal government signed various relief measures into law in 2020 in response to the COVID-19 pandemic, including the Coronavirus Aid, Relief and Economic Security Act (the “CARES Act”), which provides various tax relief and incentive measures, including provisions permitting the deferral and/or reduction of certain federal and payroll tax amounts. We have pursued certain of these relief provisions, which require significant judgments and estimates to be made. Our interpretations of these provisions could differ from those of the U.S. Treasury Department or the Internal Revenue Service (the “IRS”). The foregoing items, as well as any other future changes in tax laws, could have a material adverse effect on our business, cash flow, financial condition, or results of operations.</w:t>
      </w:r>
    </w:p>
    <w:p>
      <w:pPr>
        <w:spacing w:after="0" w:line="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In addition, we are audited by various U.S. and foreign tax authorities, and in the ordinary course of our business, there are many transactions and calculations for which the ultimate tax determination may be uncertain. The final outcome of income tax examinations could be materially different from our expectations and the estimates that are reflected in our consolidated financial statements, which could have a material adverse effect on our results of operations, cash flows and liquidity.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incur goodwill and intangible asset impairment charges, which could harm our profitability.</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have significant amounts of goodwill and intangible assets. We periodically review the carrying values of goodwill and intangible assets to determine whether such carrying values exceed their fair market values. Declines in the profitability of individual reporting units due to economic or market conditions or otherwise, as well as adverse changes in financial, competitive and other conditions, including declines in the operating performance of our reporting units or other adverse changes in the key valuation assumptions contributing to the estimated fair value of our reporting units, could adversely affect the estimated fair values of the related reporting units, which could result in an impairment of the recorded balances of goodwill or intangible assets. See Note 3 - Goodwill and Other Intangible Assets in the notes to the audited consolidated financial statements, which is incorporated by reference, for additional details.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self-insured against many potential liabilities.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1" w:name="page22"/>
    <w:bookmarkEnd w:id="21"/>
    <w:p>
      <w:pPr>
        <w:jc w:val="both"/>
        <w:ind w:firstLine="648"/>
        <w:spacing w:after="0" w:line="271" w:lineRule="auto"/>
        <w:rPr>
          <w:sz w:val="20"/>
          <w:szCs w:val="20"/>
          <w:color w:val="auto"/>
        </w:rPr>
      </w:pPr>
      <w:r>
        <w:rPr>
          <w:rFonts w:ascii="Arial" w:cs="Arial" w:eastAsia="Arial" w:hAnsi="Arial"/>
          <w:sz w:val="14"/>
          <w:szCs w:val="14"/>
          <w:color w:val="auto"/>
        </w:rPr>
        <w:t>We maintain insurance policies with respect to automobile liability, general liability, employer’s liability, worker’s compensation and other type of coverages. These policies are subject to high deductibles or self-insured retention amounts. We are effectively self-insured for substantially all claims because most claims against us do not exceed the deductibles under our insurance policies and there can be no assurance that our insurance coverages will be sufficient or effective under all circumstances, or against all claims or liabilities to which we may be subject, which could expose us to significant liabilities and materially and adversely affect our business, financial condition, results of operations and cash flows. In addition, insurance liabilities are difficult to assess and estimate due to many factors, the effects of which are often unknown or difficult to estimate, including the severity of an injury, the determination of our liability in proportion to other parties’ liability, the number of incidents not reported and the effectiveness of our safety programs. If our insurance costs exceed our estimates of insurance liabilities, or if our insurance claims increase, or if our insurance coverage proves to be inadequate or becomes unavailable, we could experience increased exposure to risk and/or a decline in profitability and liquidity.</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If we are unable to attract and retain qualified managers and skilled employees, we will be unable to operate efficiently, which could reduce our revenue, profitability and liquidity.</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4"/>
          <w:szCs w:val="14"/>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efficiently operate our business and maintain productivity and profitability. At times of low unemployment, it can be difficult for us to find appropriately skilled and qualified personnel at affordable rates. We may be unable to hire and retain a sufficiently skilled labor force to support our operating requirements and growth strategy. Our labor and training expenses could increase as a result of a shortage in the supply of skilled personnel, which could adversely affect our profitability. Additionally, our business is managed by a number of key executive and operational officers, many of whom have extensive industry experience, and is dependent upon retaining and recruiting qualified management to execute our business strategy. Labor shortages, increased labor or training costs, or the loss of key personnel could materially adversely affect our results of operations, cash flows and liquidity.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use of a unionized workforce and any related obligations could subject us to liabilities that could adversely affect our liquidity, cash flows and results of operations.</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5"/>
          <w:szCs w:val="15"/>
          <w:color w:val="auto"/>
        </w:rPr>
        <w:t>Certain of our employees are represented by labor unions and collective bargaining agreements.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that could affect their members. Therefore, we cannot assure you that new agreements will be reached with employee labor unions as existing contracts expire, or on desirable terms. Any action against us relating to the union workforce we employ could have a material adverse effect on our liquidity, cash flows and results of operations.</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Substantially all of our union and collective bargaining agreements require us to participate with other companies in multiemployer pension plans. We may be subject to substantial liabilities in the event of a complete or partial withdrawal from, or upon termination of, an underfunded U.S.-registered multiemployer pension plan, which are governed by the Employee Retirement Income Security Act ("ERISA"), as amended. In addition, the Pension Protection Act of 2006, as amended, requires underfunded pension plans to improve their funding ratios within prescribed intervals, under which benefit reductions may apply and/or participating employers could be required to make additional contributions. If a multiemployer defined benefit plan fails to satisfy certain minimum funding requirements, the Internal Revenue Service can impose on the contributing employers a non-deductible excise tax of 5% of the amount of the accumulated funding deficiency.</w:t>
      </w:r>
    </w:p>
    <w:p>
      <w:pPr>
        <w:spacing w:after="0" w:line="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Based upon the information available to us from plan administrators as of December 31, 2020, several of the multiemployer pension plans in which we participate are underfunded and, as a result, we could be required to increase our contributions. The amount we may be obligated to pay or contribute in the future cannot be estimated, as these amounts are based on future levels of work of the union employees covered by these plans, investment returns and the level of underfunding of such plans. Although we do not have current plans to withdraw from any of the multiemployer pension plans in which we participate and are not aware of circumstances that would reasonably lead to material claims against us in connection with these plans, we could be assessed withdrawal liabilities, requirements to pay increased contributions and/or excise taxes in the future, any of which could adversely affect our cash flows, liquidity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our internal control over financial reporting could materially affect our business.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 internal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Internal control over financial reporting may not prevent or detect misstatements due to inherent limitations in internal control systems. Any failure to maintain an effective system of internal control over financial reporting could limit our ability to report our financial results accurately and timely or to detect and prevent fraud, and could expose us to litigation, harm our reputation, and/or adversely affect the market price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Regulation and Compliance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operations could affect the environment or cause exposure to hazardous substances. In addition, our properties could have environmental contamination, which could result in material liabilities.</w:t>
      </w:r>
    </w:p>
    <w:p>
      <w:pPr>
        <w:spacing w:after="0" w:line="5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Our operations are subject to various environmental laws and regulations, including those dealing with the handling and disposal of waste products, polychlorinated biphenyls, fuel storage, air quality and the protection of endangered species. Certain of our current and historical construction operations have used hazardous materials and, to the extent that such materials are not properly stored, contained or recycled, they could become hazardous waste. Additionally, some of our contracts require that we assume the environmental risk of site conditions and require that we indemnify our customers for any damages, including environmental damages, incurred in connection with our projects. We may be subject to claims under various environmental laws and regulations, federal and state statutes and/or common law doctrines for toxic torts and other damages, as well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2" w:name="page23"/>
    <w:bookmarkEnd w:id="22"/>
    <w:p>
      <w:pPr>
        <w:jc w:val="both"/>
        <w:spacing w:after="0" w:line="250" w:lineRule="auto"/>
        <w:rPr>
          <w:sz w:val="20"/>
          <w:szCs w:val="20"/>
          <w:color w:val="auto"/>
        </w:rPr>
      </w:pPr>
      <w:r>
        <w:rPr>
          <w:rFonts w:ascii="Arial" w:cs="Arial" w:eastAsia="Arial" w:hAnsi="Arial"/>
          <w:sz w:val="15"/>
          <w:szCs w:val="15"/>
          <w:color w:val="auto"/>
        </w:rPr>
        <w:t>as for natural resource damages and the investigation and clean-up of soil, surface water, groundwater, and other media under laws such as the Comprehensive Environmental Response, Compensation and Liability Act. Such claims may arise, for example, out of current or former conditions at project sites, current or former properties owned or leased by us, or contaminated sites that have always been owned or operated by third parties. For example, we own and lease several facilities at which we store our equipment. Some of these facilities contain fuel storage tanks that may be above or below ground. If these tanks were to leak, we could be responsible for the cost of remediation as well as potential fines. Liability may be imposed without regard to fault and may be strict and joint and several, such that we may be held responsible for more than our share of any contamination or other damages, or even for the entire share, and we may be unable to obtain reimbursement from the parties that caused the contamination. The obligations, liabilities, fines and costs or reputational harm associated with these and other events could be material and could have a material adverse impact on our business, financial condition, results of operations and cash flows.</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We perform work in underground environments, which could affect the environment. A failure to comply with environmental laws could result in significant liabilities or harm our reputation, and new environmental laws or regulations could adversely affect our business.</w:t>
      </w:r>
    </w:p>
    <w:p>
      <w:pPr>
        <w:spacing w:after="0" w:line="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Some of the work we perform is in underground environments. If the field location maps supplied to us are not accurate, or if objects are present in the soil that are not indicated on the field location maps, our underground work could strike objects in the soil containing pollutants and result in a rupture and discharge of pollutants. In such a case, we could incur significant costs, including clean-up costs, and we may be liable for significant fines and damages and could suffer reputational harm. Additionally, we sometimes perform directional drilling operations below certain environmentally sensitive terrains and water bodies. Due to the inconsistent nature of terrain and water bodies, it is possible that such directional drilling could cause a surface fracture releasing subsurface materials or drilling fluid. These releases alone or, in combination with releases that may contain contaminants in excess of amounts permitted by law, could potentially expose us to significant clean up and remediation costs, damages, fines and reputational harm, which could have a material adverse effect on our results of operations, cash flows and liquidity.</w:t>
      </w:r>
    </w:p>
    <w:p>
      <w:pPr>
        <w:spacing w:after="0" w:line="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New environmental laws and regulations, stricter enforcement of existing laws and regulations, the discovery of previously unknown contamination or leaks, or the imposition of new clean-up requirements could require us to incur significant costs or result in new or increased liabilities that could have a material adverse effect on our results of operations, cash flows and liquidity. We may incur work stoppages to avoid violating these laws and regulations, or we may risk fines or other sanctions if we inadvertently violate these laws and regulations, which could adversely affect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associated with climate change.</w:t>
      </w:r>
    </w:p>
    <w:p>
      <w:pPr>
        <w:spacing w:after="0" w:line="10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In recent years, there has been an increased focus on climate change, greenhouse gas and other emissions and other potential damage to the environment caused by human activities. The potential effects of climate change on our operations is highly uncertain. Climate change may result in, among other things, an increase in extreme weather events, such as floods, hurricanes, wildfires, rising sea levels and limitations on water availability and quality. Extreme weather conditions could limit the availability of resources or increase the costs of our projects, or could cause projects to be delayed or canceled. Our operating results are significantly influenced by weather. Therefore, major changes in weather patterns could have a significant effect on our future operating results. We could experience project cancellations, reduced demand or reduced productivity if climate change results in a significant increase in adverse weather conditions in a given period, which could negatively affect our revenue and profitability.</w:t>
      </w:r>
    </w:p>
    <w:p>
      <w:pPr>
        <w:spacing w:after="0" w:line="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Climate change could also affect our customers and the projects they award. Concerns about climate change could result in potential new regulations, regulatory actions or requirements to fund energy efficiency activities, any of which could negatively affect our customers, decrease the projects they award and decrease demand for our services, including for power projects, underground pipeline and other projects, or result in increased costs associated with our operations. Legislative and/or regulatory responses related to climate change could also affect the availability of goods, increase our costs or otherwise negatively affect our operations.</w:t>
      </w:r>
    </w:p>
    <w:p>
      <w:pPr>
        <w:spacing w:after="0" w:line="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4"/>
          <w:szCs w:val="14"/>
          <w:color w:val="auto"/>
        </w:rPr>
        <w:t>There are significant environmental regulations and policies under consideration or reconsideration to encourage the use of clean energy technologies and regulate emissions of greenhouse gases to address climate change. For example, in January 2021, the new presidential administration announced its intentions that the United States would return to the 2015 Paris Agreement, among other initiatives. We cannot predict future changes to environmental regulations and policies, nor can we predict the effects that any conceivable changes would have on our business. The establishment of rules limiting greenhouse gas emissions could affect customer demand as well as our ability to perform construction services or to perform these services at current levels of profitability. For example, if new regulations were adopted regulating greenhouse gas emissions from sources such as cars and trucks, we could experience a significant increase in environmental compliance costs in light of our large fleet and the amount of construction machinery we own. New regulations may require us to acquire different equipment or change processes. The new equipment may not be available, or we may not be able to purchase or rent this equipment in a cost-effective manner. Compliance with any new laws or regulations regarding the reduction of greenhouse gases could result in significant changes to our operations and a significant increase in the cost of conducting our business. In addition, our reputation could suffer and/or we could experience a reduction in the amount of future work we are awarded if our operations are perceived to result in high greenhouse gas emissions or to otherwise pose environmental risks. Reductions in project awards, project deferrals, delays or cancellations, or increases in costs related to the effects of climate change, climate change initiatives or climate change regulations could have a material adverse effect on our results of operations, cash flows and liquidity.</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Our failure to comply with the regulations of federal, state and local agencies that oversee transportation and safety compliance could reduce our revenue, profitability and liquidity.</w:t>
      </w:r>
    </w:p>
    <w:p>
      <w:pPr>
        <w:spacing w:after="0" w:line="6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OSHA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incur capital and operating expenditures and other costs in the ordinary course of business in complying with OSHA and other state and local laws and regulations, and could incur penalties and fines in the future from violations of health and safety regulations, including, in extreme cases, criminal sanctions. Our customers could cancel existing contracts and not award future business to us if we were in violation of these regulations.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3" w:name="page24"/>
    <w:bookmarkEnd w:id="23"/>
    <w:p>
      <w:pPr>
        <w:jc w:val="both"/>
        <w:ind w:firstLine="648"/>
        <w:spacing w:after="0" w:line="261" w:lineRule="auto"/>
        <w:rPr>
          <w:sz w:val="20"/>
          <w:szCs w:val="20"/>
          <w:color w:val="auto"/>
        </w:rPr>
      </w:pPr>
      <w:r>
        <w:rPr>
          <w:rFonts w:ascii="Arial" w:cs="Arial" w:eastAsia="Arial" w:hAnsi="Arial"/>
          <w:sz w:val="16"/>
          <w:szCs w:val="16"/>
          <w:color w:val="auto"/>
        </w:rPr>
        <w:t>From time to time, we have received notice from the DOT that our motor carrier operations will be monitored and that the failure to improve our safety performance could result in suspension or revocation of vehicle registration privileges. Our ability to service our customers could be damaged if we were not able to successfully resolve such issues, which could lead to a material adverse effect on our results of operations, cash flows and liquidity.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Strategic Transactions and Foreign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 and strategic investments involve risks that could negatively affect our operating results, cash flows and liquidity and may not enhance shareholder value.</w:t>
      </w:r>
    </w:p>
    <w:p>
      <w:pPr>
        <w:spacing w:after="0" w:line="13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have made, and may continue to make, strategic acquisitions and investments, including share repurchases. Acquisitions may expose us to operational challenges and risks, including the ability to profitably manage the acquired business or successfully integrate the operations, internal controls and procedures and financial reporting and accounting systems of the acquired business into our business; increased indebtedness and contingent earn-out obligations; the ability to fund cash flow shortages that may occur if anticipated revenue is not realized or is delayed, whether by general economic or market conditions, or other unforeseen difficulties; the expense of integrating acquired businesses; the availability of funding sufficient to meet increased capital needs; diversion of management’s attention; and the ability to retain or hire qualified personnel required for expanded operations.</w:t>
      </w:r>
    </w:p>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we may not be able to identify suitable acquisition or strategic investment opportunities or may be unable to obtain the required consent of our lenders and therefore, may not be able to complete such acquisitions or strategic investments. We may pay for acquisitions or strategic investments with our common stock or with debt instruments, including convertible debt securities, which could dilute the ownership interests of our common shareholders, or we may decide to pursue acquisitions with which our investors may not agree. Borrowings or issuances of debt associated with these acquisitions could also result in higher levels of indebtedness, which could negatively affect our ability to service our debt within the scheduled repayment terms. In addition, in connection with most of our acquisitions, we agree to substantial future earn-out arrangements. To the extent we defer payment of an acquisition’s purchase price through a cash earn-out arrangement, it will reduce our cash flows in subsequent periods.</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Acquired companies may have liabilities that we failed, or were unable, to discover in the course of performing due diligence investigations. We cannot assure you that the indemnifications granted to us by sellers of acquired companies will be sufficient in amount, scope or duration to fully offset potential liabilities associated with acquired businesses. We may learn additional information about the businesses we have acquired that could materially adversely affect us, such as unknown or contingent liabilities, unprofitable projects and liabilities related to compliance with applicable laws. Any such liabilities, individually or in the aggregate, could have a material adverse effect on our business. We generally require that key management and former principals of the businesses we acquire enter into non-competition agreements in our favor. If we are unable, and the courts refuse to enforce the non-competition agreement entered into by such person or persons, we might be subject to increased competition. Failure to successfully manage the operational challenges and risks associated with, or resulting from, our acquisitions could adversely affect our results of operations, cash flows and liquidity.</w:t>
      </w:r>
    </w:p>
    <w:p>
      <w:pPr>
        <w:spacing w:after="0" w:line="8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Additionally, we have repurchased shares of our common stock in the past and may continue to do so in the future. We cannot provide assurance that any stock repurchases will enhance shareholder value because the market price of our common stock may decline below the levels at which we repurchased such shares.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participation in strategic arrangements, including joint ventures and equity investments, exposes us to numerous risks.</w:t>
      </w:r>
    </w:p>
    <w:p>
      <w:pPr>
        <w:spacing w:after="0" w:line="10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5"/>
          <w:szCs w:val="15"/>
          <w:color w:val="auto"/>
        </w:rPr>
        <w:t>We have certain strategic arrangements, including joint ventures and equity investments, which provide us the oppo</w:t>
      </w:r>
      <w:r>
        <w:rPr>
          <w:rFonts w:ascii="Arial" w:cs="Arial" w:eastAsia="Arial" w:hAnsi="Arial"/>
          <w:sz w:val="16"/>
          <w:szCs w:val="16"/>
          <w:color w:val="auto"/>
        </w:rPr>
        <w:t>rtu</w:t>
      </w:r>
      <w:r>
        <w:rPr>
          <w:rFonts w:ascii="Arial" w:cs="Arial" w:eastAsia="Arial" w:hAnsi="Arial"/>
          <w:sz w:val="15"/>
          <w:szCs w:val="15"/>
          <w:color w:val="auto"/>
        </w:rPr>
        <w:t>nity to combine our skills and resources with those of others to allow for the performance of particular projects for which we do not control the day-to-day operations. The success of these arrangements depends, in large part, on whether our partners satisfy their contractual and performance obligations. In certain of these arrangements, we and our partners are jointly and severally liable for liabilities and obligations of the entity or joint venture. If one of our partners fails to perform or is financially unable to bear its portion of required capital contributions or other obligations, including liabilities stemming from claims or lawsuits, we could be required to make additional investments, provide additional services or pay more than our proportionate share of a liability to make up for our partner’s shortfall. Further, if we are unable to adequately address our partner’s performance issues, the projects could be terminated, which could result in legal liability, harm our reputation and/or impair our ability to participate in future investment and project opportunities, all of which could adversely affect our results of operations, cash flows and liquidity. We also could be subject to a write-down of a portion or all of the net investment related to such arrangements. Market or other conditions, such as the inability of our investees to complete certain transactions, could subject us to a loss of some or all of the value of our investment. See Note 14 - Commitments and Contingencies and Note 4 - Fair Value of Financial Instruments in the notes to the audited consolidated financial statements, which are incorporated by reference, for additional information.</w:t>
      </w:r>
    </w:p>
    <w:p>
      <w:pPr>
        <w:spacing w:after="0" w:line="76"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Our existing operations in international markets, or expanding into additional international markets, may not be successful and could expose us to risks, including failure to comply with the U.S. Foreign Corrupt Practices Act and/or similar anti-bribery laws, which could harm our business and prospects.</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5"/>
          <w:szCs w:val="15"/>
          <w:color w:val="auto"/>
        </w:rPr>
        <w:t>We derive a portion of our revenue from international markets, and we may further expand the volume of international services we provide, as well as the foreign geographic territories in which we operate. See Note 13 - Segments and Related Information in the notes to the audited consolidated financial statements, which is incorporated by reference, for foreign revenue information. Our foreign operations are presently conducted primarily in Canada, but we have performed work in various other foreign countries, and the revenue we derive from, or the number of countries in which we operate, could expand in the future. Economic conditions, including those resulting from health outbreaks, wars, geopolitical shifts, civil unrest, acts of terrorism and other conflicts, or volatility in the global markets could adversely affect our foreign customers, their demand for our services and/or their ability to pay for our services. In addition, there are numerous risks inherent in conducting business internationally, including, but not limited to, potential instability in international markets, changes in regulatory requirements applicable to international operations, including evolving consumer protection and data use and security standards, foreign currency fluctuations, exchange controls and other limits on our ability to repatriate and reinvest earnings, political, economic and social conditions in foreign countries, tariffs and duties, and complex U.S. and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4" w:name="page25"/>
    <w:bookmarkEnd w:id="24"/>
    <w:p>
      <w:pPr>
        <w:jc w:val="both"/>
        <w:spacing w:after="0" w:line="243" w:lineRule="auto"/>
        <w:rPr>
          <w:sz w:val="20"/>
          <w:szCs w:val="20"/>
          <w:color w:val="auto"/>
        </w:rPr>
      </w:pPr>
      <w:r>
        <w:rPr>
          <w:rFonts w:ascii="Arial" w:cs="Arial" w:eastAsia="Arial" w:hAnsi="Arial"/>
          <w:sz w:val="16"/>
          <w:szCs w:val="16"/>
          <w:color w:val="auto"/>
        </w:rPr>
        <w:t>foreign laws and treaties, including taxation laws and the U.S. Foreign Corrupt Practices Act (the “FCPA”). These risks could restrict our ability to provide services to foreign customers or to operate our international businesses profitably, and our overall business and results of operations could be negatively affected by our foreign activities.</w:t>
      </w:r>
    </w:p>
    <w:p>
      <w:pPr>
        <w:spacing w:after="0" w:line="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The FCPA and similar anti-bribery laws in other jurisdictions prohibit U.S.-based companies and their intermediaries from making improper payments for the purpose of obtaining or retaining business. We pursue opportunities in certain parts of the world that experience corruption to some degree, and, in certain circumstances, compliance with anti-bribery laws may conflict with local customs and practices. Our policies mandate compliance with these anti-bribery laws, and our subcontractors, agents and others who work for us or on our behalf are expected to comply with the FCPA and other anti-bribery laws. There is no assurance that our employees and agents will comply with the FCPA, or that anti-bribery laws will protect us against liability under the FCPA or other laws for actions taken by our agents, employees and/or intermediaries. We could incur severe criminal or civil penalties or other sanctions if we are found to be liable for FCPA violations, either due to our own acts or our inadvertence, or due to the acts or inadvertence of others, which could have a material adverse effect on our reputation, business, results of operations and cash flows. In addition, detecting, investigating and resolving actual or alleged FCPA violations is expensive and can consume significant time and attention of our senior management.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Financing Our Business</w:t>
      </w:r>
    </w:p>
    <w:p>
      <w:pPr>
        <w:spacing w:after="0" w:line="117" w:lineRule="exact"/>
        <w:rPr>
          <w:sz w:val="20"/>
          <w:szCs w:val="20"/>
          <w:color w:val="auto"/>
        </w:rPr>
      </w:pPr>
    </w:p>
    <w:p>
      <w:pPr>
        <w:jc w:val="both"/>
        <w:spacing w:after="0" w:line="349" w:lineRule="auto"/>
        <w:rPr>
          <w:sz w:val="20"/>
          <w:szCs w:val="20"/>
          <w:color w:val="auto"/>
        </w:rPr>
      </w:pPr>
      <w:r>
        <w:rPr>
          <w:rFonts w:ascii="Arial" w:cs="Arial" w:eastAsia="Arial" w:hAnsi="Arial"/>
          <w:sz w:val="14"/>
          <w:szCs w:val="14"/>
          <w:b w:val="1"/>
          <w:bCs w:val="1"/>
          <w:i w:val="1"/>
          <w:iCs w:val="1"/>
          <w:color w:val="auto"/>
        </w:rPr>
        <w:t>We have a significant amount of debt, which could adversely affect our business, financial condition and results of operations or could affect our ability to access capital markets in the future. In addition, our debt contains restrictive covenants that may prevent us from engaging in transactions that might benefit us.</w:t>
      </w:r>
    </w:p>
    <w:p>
      <w:pPr>
        <w:spacing w:after="0" w:line="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Our outstanding debt and debt service requirements could have significant consequences on our future operations, including: making it more difficult for us to meet our payment and other obligations; an event of default if we fail to comply with the financial and other restrictive covenants contained in our debt agreements, which could result in all of our debt becoming immediately due and payable; reducing the availability of our cash flows to fund working capital, capital expenditures, acquisitions or strategic investments, and limiting our ability to obtain additional financing for these purposes; subjecting us to the risk of increasing interest expense on variable rate indebtedness; limiting our flexibility in planning for, or reacting to changes in our business, the industries in which we operate and the general economy; and placing us at a competitive disadvantage compared to our competitors that have less debt or are less leveraged.</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terms of our indebtedness contain customary events of default and covenants that prohibit us from taking certain actions without satisfying certain financial tests or obtaining the consent of the lenders. Should we be unable to comply with the terms and covenants of our indebtedness, including our credit facility, we would be required to obtain consents from our bank group, modify our credit facility or other debt instruments or secure another source of financing to continue to operate our business, none of which may be available to us on reasonable terms or at all. A default could also result in the acceleration of our obligations. In addition, these covenants may prevent us from engaging in transactions that benefit us, including responding to changing business and economic conditions or securing additional financing, if needed.</w:t>
      </w:r>
    </w:p>
    <w:p>
      <w:pPr>
        <w:spacing w:after="0" w:line="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Any of these factors could have an adverse effect on our business, financial condition and results of operations. Our ability to meet our payment and other obligations under our debt instruments depends on our ability to generate significant cash flow in the future, which can be subject to many factors, some of which are beyond our control. We cannot assure that our business will generate future cash flow from operations, or that future borrowings will be available to us in an amount sufficient to enable us to meet our payment obligations and to fund other liquidity needs. Our business is capital intensive, and if we are not able to generate sufficient cash flow to service our debt obligations, we may need to refinance or restructure our debt, sell assets, reduce or delay capital investments, or seek to raise additional capital, and some of these activities could have terms that are unfavorable or could be highly dilutive. Our ability to obtain additional financing or to refinance our existing indebtedness will depend on the capital markets and our financial condition at such time. Any of the above factors could adversely affect our results of operations, cash flows and liquidity.</w:t>
      </w:r>
    </w:p>
    <w:p>
      <w:pPr>
        <w:spacing w:after="0" w:line="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In addition, regulatory changes and/or reforms, such as the phase-out of the London Inter-bank Offered Rate (“LIBOR”), which is expected to occur by June 30, 2023, could lead to additional volatility in interest rates for our variable rate debt and other unpredictable effects. While our material financing arrangements indexed to LIBOR have procedures for determining an alternative base rate, such alternative base rate could perform differently than the current LIBOR-indexed rate and could result in an increase in the cost of our variable rate indebtedness, which could negatively affect our results of operations and cash flows.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may be unable to obtain sufficient bonding capacity to support certain service offerings, and the need for performance and surety bonds could reduce availability under our credit facility.</w:t>
      </w:r>
    </w:p>
    <w:p>
      <w:pPr>
        <w:spacing w:after="0" w:line="5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Some of our contracts require performance and payment bonds. If we are not able to renew or obtain a sufficient level of bonding capacity in the future, we may be precluded from being able to bid for certain contracts or successfully contract with certain customers. In addition, even if we are able to successfully renew or obtain performance or payment bonds, we may be required to post letters of credit in connection with the bonds, which would reduce availability under our credit facility. Furthermore, under standard terms in the surety market, sureties issue bonds on a project-by-project basis and can decline to issue bonds at any time or require the posting of additional collateral as a condition to issuing or renewing any bonds. If we were to experience an interruption or reduction in the availability of bonding capacity, we may be unable to compete for or work on projects that require bonding.</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11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There may be future sales of our common stock or other dilution of our equity that could adversely affect the market price of our common stock and dilute your share ownership and could lead to volatility in our common stock price.</w:t>
      </w:r>
    </w:p>
    <w:p>
      <w:pPr>
        <w:spacing w:after="0" w:line="5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We are not restricted from issuing additional common stock. Our Amended and Restated Articles of Incorporation provide that we may issue up to a total 145.0 million shares of common stock, of which approximately 74.2 million shares were outstanding as of December 31, 2020. We grow our business organically as well as through acquisition. One method of acquiring companies or otherwise funding our corporate activities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5" w:name="page26"/>
    <w:bookmarkEnd w:id="25"/>
    <w:p>
      <w:pPr>
        <w:jc w:val="both"/>
        <w:spacing w:after="0" w:line="235" w:lineRule="auto"/>
        <w:rPr>
          <w:sz w:val="20"/>
          <w:szCs w:val="20"/>
          <w:color w:val="auto"/>
        </w:rPr>
      </w:pPr>
      <w:r>
        <w:rPr>
          <w:rFonts w:ascii="Arial" w:cs="Arial" w:eastAsia="Arial" w:hAnsi="Arial"/>
          <w:sz w:val="16"/>
          <w:szCs w:val="16"/>
          <w:color w:val="auto"/>
        </w:rPr>
        <w:t>is through the issuance of equity securities. In connection with certain completed acquisitions, we have the option to issue shares of our common stock instead of cash as consideration for future earn-out obligations. The issuance of additional shares of our common stock in connection with future acquisitions, financing transactions, share-based payment awards or other issuances of our common stock will dilute the ownership interest of our common shareholders. Sales of a substantial number of shares of our common stock or other equity-related securities in the public market could depress the market price of our common stock and impair our ability to raise capital through the sale of additional equity or equity-linked securities. We cannot predict the effect that future sales of our common stock or other equity-related securities would have on the market price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highly volatile.</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5"/>
          <w:szCs w:val="15"/>
          <w:color w:val="auto"/>
        </w:rPr>
        <w:t>The market price of our common stock on the New York Stock Exchange has been volatile in recent years. We may continue to experience significant volatility in the market price of our common stock. Numerous factors could have a significant effect on the price of our common stock, including: announcements of fluctuations in our operating results or the operating results of one of our competitors; market conditions in our customers' industries; capital spending plans of our significant customers; volatility in energy and fuel prices; announcements of new or terminated customers or contracts; announcements of acquisitions by us or our competitors; changes in recommendations or earnings estimates by securities analysts; announcements of share repurchase programs, or activity under existing repurchase programs; and issuances of our common stock or other securities, including in connection with acquisition or financing transactions.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In addition, the stock market has recently experienced significant volatility, which has sometimes been unrelated or disproportionate to operating performance.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Volatility in the market price of our common stock could cause shareholders to lose some or all of their investment in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small number of our existing shareholders have the ability to influence major corporate decisions.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Jorge Mas, our Chairman, and José R. Mas, our Chief Executive Officer, beneficially owned approximately 24% of the outstanding shares of our common stock as of December 31, 2020. Accordingly, they are in a position to influence: the vote of most matters submitted to our shareholders, including any merger, consolidation or sale of all or substantially all of our assets; the nomination of individuals to our Board of Directors; and a change in our control.</w:t>
      </w:r>
    </w:p>
    <w:p>
      <w:pPr>
        <w:spacing w:after="0" w:line="7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These factors may discourage, delay or prevent a takeover attempt that shareholders might consider in their best interests or that might result in shareholders receiving a premium for their common stock.</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articles of incorporation and certain provisions of Florida law contain anti-takeover provisions that may make it more difficult to effect a change in our control.</w:t>
      </w:r>
    </w:p>
    <w:p>
      <w:pPr>
        <w:spacing w:after="0" w:line="13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Certain provisions of our articles of incorporation, by-laws and the Florida Business Corporation Act could delay or prevent an acquisition or change in control and the replacement of our incumbent directors and management, even if doing so might be beneficial to our shareholders by providing them with the opportunity to sell their shares at a premium over the then market price of our common stock. For example, our Board of Directors is divided into three classes. At any annual meeting of our shareholders, our shareholders only have the right to appoint approximately one-third of the directors on our Board of Directors. Consequently, it will take at least two annual shareholder meetings to effect a change in control of our Board of Directors, which may discourage hostile takeover bids. In addition, our articles of incorporation authorize our Board of Directors, without further shareholder approval, to issue preferred stock. The issuance of preferred stock could also dilute the voting power of holders of our common stock, including the granting of voting control to others, which could delay or prevent an acquisition or change in control.</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1B.</w:t>
        <w:tab/>
        <w:t>UNRESOLVED STAFF COMMENTS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6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tab/>
        <w:t>PROPERTIES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operations are conducted from different locations, primarily within the United States and Canada, including our corporate headquarters located in Coral Gables, Florida. Substantially all of these properties, including our corporate headquarters, are leased facilities, none of which is material to our operations. We believe that our existing facilities are adequate for our current and planned levels of operation.</w:t>
      </w:r>
    </w:p>
    <w:p>
      <w:pPr>
        <w:spacing w:after="0" w:line="12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3.</w:t>
        <w:tab/>
        <w:t>LEGAL PROCEEDINGS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information set forth in Note 14 - Commitments and Contingencies in the notes to the audited consolidated financial statements in Item 8 of this Form 10-K is incorporated by reference.</w:t>
      </w:r>
    </w:p>
    <w:p>
      <w:pPr>
        <w:spacing w:after="0" w:line="168"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167" w:lineRule="exact"/>
        <w:rPr>
          <w:sz w:val="20"/>
          <w:szCs w:val="20"/>
          <w:color w:val="auto"/>
        </w:rPr>
      </w:pPr>
    </w:p>
    <w:p>
      <w:pPr>
        <w:jc w:val="both"/>
        <w:ind w:left="840" w:hanging="1295"/>
        <w:spacing w:after="0" w:line="280" w:lineRule="auto"/>
        <w:tabs>
          <w:tab w:leader="none" w:pos="820" w:val="left"/>
        </w:tabs>
        <w:rPr>
          <w:sz w:val="20"/>
          <w:szCs w:val="20"/>
          <w:color w:val="auto"/>
        </w:rPr>
      </w:pPr>
      <w:r>
        <w:rPr>
          <w:rFonts w:ascii="Arial" w:cs="Arial" w:eastAsia="Arial" w:hAnsi="Arial"/>
          <w:sz w:val="16"/>
          <w:szCs w:val="16"/>
          <w:b w:val="1"/>
          <w:bCs w:val="1"/>
          <w:color w:val="auto"/>
        </w:rPr>
        <w:t>ITEM 5.</w:t>
        <w:tab/>
        <w:t>MARKET FOR THE REGISTRANT’S COMMON EQUITY, RELATED SHAREHOLDER MATTERS AND ISSUER PURCHASES OF EQUITY SECURITIES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New York Stock Exchange (“NYSE”) under the symbol “MTZ.”</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6" w:name="page27"/>
    <w:bookmarkEnd w:id="26"/>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Holders. </w:t>
      </w:r>
      <w:r>
        <w:rPr>
          <w:rFonts w:ascii="Arial" w:cs="Arial" w:eastAsia="Arial" w:hAnsi="Arial"/>
          <w:sz w:val="16"/>
          <w:szCs w:val="16"/>
          <w:color w:val="auto"/>
        </w:rPr>
        <w:t>As of February 22, 2021, there were 1,686 holders of record of our common stock. In calculating the number of shareholders, we consider clearing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agencies and security position listings as one shareholder for each agency or listing.</w:t>
      </w:r>
    </w:p>
    <w:p>
      <w:pPr>
        <w:spacing w:after="0" w:line="6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Dividends. </w:t>
      </w:r>
      <w:r>
        <w:rPr>
          <w:rFonts w:ascii="Arial" w:cs="Arial" w:eastAsia="Arial" w:hAnsi="Arial"/>
          <w:sz w:val="14"/>
          <w:szCs w:val="14"/>
          <w:color w:val="auto"/>
        </w:rPr>
        <w:t>We have historically not paid cash dividends and do not currently anticipate paying a cash dividend. We intend to retain future earnings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reinvestment. Our Board of Directors will make any future determination as to the payment of dividends at its discretion, and this determination will depend upon our operating results, financial condition and capital requirements, general business conditions and such other factors that the Board of Directors considers relevant. The indenture governing our senior notes, as well as our credit agreements, contains covenants that may restrict our ability to make certain payments, including the payment of dividends. See Item 7. “Management’s Discussion and Analysis of Financial Condition and Results of Operations - Financial Condition, Liquidity and Capital Resources.”</w:t>
      </w:r>
    </w:p>
    <w:p>
      <w:pPr>
        <w:spacing w:after="0" w:line="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Issuer Purchases of Equity Securities. </w:t>
      </w:r>
      <w:r>
        <w:rPr>
          <w:rFonts w:ascii="Arial" w:cs="Arial" w:eastAsia="Arial" w:hAnsi="Arial"/>
          <w:sz w:val="16"/>
          <w:szCs w:val="16"/>
          <w:color w:val="auto"/>
        </w:rPr>
        <w:t>During the year ended December 31, 2020, we repurchased a total of 3,597,009 shares of our common stock under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repurchase programs. See Note 11 - Equity in the notes to the audited consolidated financial statements, which is incorporated by reference, for additional information pertaining to our share repurchase programs.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three month period ended December 31,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6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9"/>
              <w:spacing w:after="0" w:line="216" w:lineRule="exact"/>
              <w:rPr>
                <w:sz w:val="20"/>
                <w:szCs w:val="20"/>
                <w:color w:val="auto"/>
              </w:rPr>
            </w:pPr>
            <w:r>
              <w:rPr>
                <w:rFonts w:ascii="Arial" w:cs="Arial" w:eastAsia="Arial" w:hAnsi="Arial"/>
                <w:sz w:val="16"/>
                <w:szCs w:val="16"/>
                <w:b w:val="1"/>
                <w:bCs w:val="1"/>
                <w:color w:val="auto"/>
                <w:w w:val="94"/>
              </w:rPr>
              <w:t xml:space="preserve">Shares Purchased </w:t>
            </w:r>
            <w:r>
              <w:rPr>
                <w:rFonts w:ascii="Arial" w:cs="Arial" w:eastAsia="Arial" w:hAnsi="Arial"/>
                <w:sz w:val="21"/>
                <w:szCs w:val="21"/>
                <w:b w:val="1"/>
                <w:bCs w:val="1"/>
                <w:color w:val="auto"/>
                <w:w w:val="94"/>
                <w:vertAlign w:val="superscript"/>
              </w:rPr>
              <w:t>(a)</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0"/>
              </w:rPr>
              <w:t>Paid per Share</w:t>
            </w:r>
          </w:p>
        </w:tc>
        <w:tc>
          <w:tcPr>
            <w:tcW w:w="16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Program</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19"/>
              <w:spacing w:after="0" w:line="216" w:lineRule="exact"/>
              <w:rPr>
                <w:sz w:val="20"/>
                <w:szCs w:val="20"/>
                <w:color w:val="auto"/>
              </w:rPr>
            </w:pPr>
            <w:r>
              <w:rPr>
                <w:rFonts w:ascii="Arial" w:cs="Arial" w:eastAsia="Arial" w:hAnsi="Arial"/>
                <w:sz w:val="16"/>
                <w:szCs w:val="16"/>
                <w:b w:val="1"/>
                <w:bCs w:val="1"/>
                <w:color w:val="auto"/>
                <w:w w:val="88"/>
              </w:rPr>
              <w:t xml:space="preserve">Programs </w:t>
            </w:r>
            <w:r>
              <w:rPr>
                <w:rFonts w:ascii="Arial" w:cs="Arial" w:eastAsia="Arial" w:hAnsi="Arial"/>
                <w:sz w:val="21"/>
                <w:szCs w:val="21"/>
                <w:b w:val="1"/>
                <w:bCs w:val="1"/>
                <w:color w:val="auto"/>
                <w:w w:val="88"/>
                <w:vertAlign w:val="superscript"/>
              </w:rPr>
              <w:t>(b)</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through October 31</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20" w:type="dxa"/>
            <w:vAlign w:val="bottom"/>
            <w:shd w:val="clear" w:color="auto" w:fill="CCEEFF"/>
          </w:tcPr>
          <w:p>
            <w:pPr>
              <w:ind w:left="19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158,617,588</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November 1 through November 30</w:t>
            </w:r>
          </w:p>
        </w:tc>
        <w:tc>
          <w:tcPr>
            <w:tcW w:w="1680" w:type="dxa"/>
            <w:vAlign w:val="bottom"/>
          </w:tcPr>
          <w:p>
            <w:pPr>
              <w:jc w:val="right"/>
              <w:spacing w:after="0"/>
              <w:rPr>
                <w:sz w:val="20"/>
                <w:szCs w:val="20"/>
                <w:color w:val="auto"/>
              </w:rPr>
            </w:pPr>
            <w:r>
              <w:rPr>
                <w:rFonts w:ascii="Arial" w:cs="Arial" w:eastAsia="Arial" w:hAnsi="Arial"/>
                <w:sz w:val="16"/>
                <w:szCs w:val="16"/>
                <w:color w:val="auto"/>
              </w:rPr>
              <w:t>393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53.85</w:t>
            </w:r>
          </w:p>
        </w:tc>
        <w:tc>
          <w:tcPr>
            <w:tcW w:w="160" w:type="dxa"/>
            <w:vAlign w:val="bottom"/>
          </w:tcPr>
          <w:p>
            <w:pPr>
              <w:spacing w:after="0"/>
              <w:rPr>
                <w:sz w:val="18"/>
                <w:szCs w:val="18"/>
                <w:color w:val="auto"/>
              </w:rPr>
            </w:pPr>
          </w:p>
        </w:tc>
        <w:tc>
          <w:tcPr>
            <w:tcW w:w="2220" w:type="dxa"/>
            <w:vAlign w:val="bottom"/>
          </w:tcPr>
          <w:p>
            <w:pPr>
              <w:ind w:left="198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158,617,588</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through December 31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158,617,588</w:t>
            </w:r>
          </w:p>
        </w:tc>
        <w:tc>
          <w:tcPr>
            <w:tcW w:w="0" w:type="dxa"/>
            <w:vAlign w:val="bottom"/>
          </w:tcPr>
          <w:p>
            <w:pPr>
              <w:spacing w:after="0"/>
              <w:rPr>
                <w:sz w:val="1"/>
                <w:szCs w:val="1"/>
                <w:color w:val="auto"/>
              </w:rPr>
            </w:pPr>
          </w:p>
        </w:tc>
      </w:tr>
      <w:tr>
        <w:trPr>
          <w:trHeight w:val="207"/>
        </w:trPr>
        <w:tc>
          <w:tcPr>
            <w:tcW w:w="3480" w:type="dxa"/>
            <w:vAlign w:val="bottom"/>
          </w:tcPr>
          <w:p>
            <w:pPr>
              <w:ind w:left="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bottom w:val="single" w:sz="8" w:color="auto"/>
            </w:tcBorders>
          </w:tcPr>
          <w:p>
            <w:pPr>
              <w:ind w:left="1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shares withheld for income tax purposes in connection with shares issued under compensation and benefit programs.</w:t>
      </w:r>
    </w:p>
    <w:p>
      <w:pPr>
        <w:spacing w:after="0" w:line="21" w:lineRule="exact"/>
        <w:rPr>
          <w:rFonts w:ascii="Arial" w:cs="Arial" w:eastAsia="Arial" w:hAnsi="Arial"/>
          <w:sz w:val="14"/>
          <w:szCs w:val="14"/>
          <w:color w:val="auto"/>
        </w:rPr>
      </w:pPr>
    </w:p>
    <w:p>
      <w:pPr>
        <w:ind w:left="420" w:right="420" w:hanging="412"/>
        <w:spacing w:after="0" w:line="301" w:lineRule="auto"/>
        <w:tabs>
          <w:tab w:leader="none" w:pos="412"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December 31, 2020, the remaining amount available for share repurchases includes $8.6 million under our December 2018 $100 million share repurchase program, which was publicly announced on December 21, 2018, and the full amount under our March 2020 $150 million share repurchase program, which was publicly announced on March 19, 2020.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Performance Graph</w:t>
      </w:r>
    </w:p>
    <w:p>
      <w:pPr>
        <w:spacing w:after="0" w:line="11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performance graph below compares the cumulative five year total return for our common stock with the cumulative total return (including reinvestment of dividends) of the Standard and Poor’s 500 Composite Stock Index (“S&amp;P 500”), and with that of our peer group, which is composed of Quanta Services, Inc., MYR Group, Inc., Dycom Industries, Inc., Jacobs Engineering Group Inc. and Primoris Services Corporation. The graph assumes that the value of the investment in our common stock, as well as that of the S&amp;P 500 and our peer group, was $100 on December 31, 2015 and tracks it through December 31, 2020. The comparisons in the graph are based upon historical data and are not intended to forecast or be indicative of possible future performance of our common stock.</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i w:val="1"/>
          <w:iCs w:val="1"/>
          <w:color w:val="auto"/>
        </w:rPr>
        <w:t>The performance graph shall not be deemed incorporated by reference by any general statement incorporating by reference this Annual Report into any filing under the Securities Act of 1933 or the Securities Exchange Act of 1934, except to the extent we specifically incorporate this information by reference, and shall not otherwise be deemed filed under such acts.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MasTec, Inc.,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34925</wp:posOffset>
            </wp:positionV>
            <wp:extent cx="3994785" cy="2854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9478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 invested on 12/31/15 in stock or index, including reinvestment of dividends.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Fiscal year ending December 31.</w:t>
      </w:r>
    </w:p>
    <w:p>
      <w:pPr>
        <w:jc w:val="center"/>
        <w:spacing w:after="0"/>
        <w:rPr>
          <w:sz w:val="20"/>
          <w:szCs w:val="20"/>
          <w:color w:val="auto"/>
        </w:rPr>
      </w:pPr>
      <w:r>
        <w:rPr>
          <w:rFonts w:ascii="Arial" w:cs="Arial" w:eastAsia="Arial" w:hAnsi="Arial"/>
          <w:sz w:val="14"/>
          <w:szCs w:val="14"/>
          <w:color w:val="auto"/>
        </w:rPr>
        <w:t>Copyright© 2021 Standard &amp; Poor’s, a division of S&amp;P Global. All rights reserved.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w:t>
            </w:r>
          </w:p>
        </w:tc>
        <w:tc>
          <w:tcPr>
            <w:tcW w:w="240" w:type="dxa"/>
            <w:vAlign w:val="bottom"/>
          </w:tcPr>
          <w:p>
            <w:pPr>
              <w:spacing w:after="0"/>
              <w:rPr>
                <w:sz w:val="16"/>
                <w:szCs w:val="16"/>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MasTec, Inc.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392.29</w:t>
            </w:r>
          </w:p>
        </w:tc>
      </w:tr>
      <w:tr>
        <w:trPr>
          <w:trHeight w:val="213"/>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S&amp;P 500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111.96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136.40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130.42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171.49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203.04</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Peer Group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257.66</w:t>
            </w:r>
          </w:p>
        </w:tc>
      </w:tr>
    </w:tbl>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6.</w:t>
        <w:tab/>
        <w:t>SELECTED FINANCIAL DATA</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following selected consolidated financial data has been derived from our audited consolidated financial statements and should be read together with our audited consolidated financial statements and notes thereto, as well as Management’s Discussion and Analysis of Financial Condition and Results of Operations (“MD&amp;A”) in this Form 10-K. Our consolidated results of operations are not necessarily comparable from year to year due to the effect of acquisitions and certain other items, which are further described within MD&amp;A.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jc w:val="center"/>
              <w:ind w:right="139"/>
              <w:spacing w:after="0"/>
              <w:rPr>
                <w:sz w:val="20"/>
                <w:szCs w:val="20"/>
                <w:color w:val="auto"/>
              </w:rPr>
            </w:pPr>
            <w:r>
              <w:rPr>
                <w:rFonts w:ascii="Arial" w:cs="Arial" w:eastAsia="Arial" w:hAnsi="Arial"/>
                <w:sz w:val="16"/>
                <w:szCs w:val="16"/>
                <w:b w:val="1"/>
                <w:bCs w:val="1"/>
                <w:color w:val="auto"/>
                <w:w w:val="91"/>
              </w:rPr>
              <w:t>For the Years Ended December 31,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39"/>
        </w:trPr>
        <w:tc>
          <w:tcPr>
            <w:tcW w:w="5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9"/>
              <w:spacing w:after="0" w:line="240" w:lineRule="exact"/>
              <w:rPr>
                <w:sz w:val="20"/>
                <w:szCs w:val="20"/>
                <w:color w:val="auto"/>
              </w:rPr>
            </w:pPr>
            <w:r>
              <w:rPr>
                <w:rFonts w:ascii="Arial" w:cs="Arial" w:eastAsia="Arial" w:hAnsi="Arial"/>
                <w:sz w:val="16"/>
                <w:szCs w:val="16"/>
                <w:b w:val="1"/>
                <w:bCs w:val="1"/>
                <w:color w:val="auto"/>
                <w:w w:val="94"/>
              </w:rPr>
              <w:t xml:space="preserve">2020 </w:t>
            </w:r>
            <w:r>
              <w:rPr>
                <w:rFonts w:ascii="Arial" w:cs="Arial" w:eastAsia="Arial" w:hAnsi="Arial"/>
                <w:sz w:val="21"/>
                <w:szCs w:val="21"/>
                <w:b w:val="1"/>
                <w:bCs w:val="1"/>
                <w:color w:val="auto"/>
                <w:w w:val="94"/>
                <w:vertAlign w:val="superscript"/>
              </w:rPr>
              <w:t>(a)</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line="240" w:lineRule="exact"/>
              <w:rPr>
                <w:sz w:val="20"/>
                <w:szCs w:val="20"/>
                <w:color w:val="auto"/>
              </w:rPr>
            </w:pPr>
            <w:r>
              <w:rPr>
                <w:rFonts w:ascii="Arial" w:cs="Arial" w:eastAsia="Arial" w:hAnsi="Arial"/>
                <w:sz w:val="16"/>
                <w:szCs w:val="16"/>
                <w:b w:val="1"/>
                <w:bCs w:val="1"/>
                <w:color w:val="auto"/>
                <w:w w:val="96"/>
              </w:rPr>
              <w:t xml:space="preserve">2019 </w:t>
            </w:r>
            <w:r>
              <w:rPr>
                <w:rFonts w:ascii="Arial" w:cs="Arial" w:eastAsia="Arial" w:hAnsi="Arial"/>
                <w:sz w:val="21"/>
                <w:szCs w:val="21"/>
                <w:b w:val="1"/>
                <w:bCs w:val="1"/>
                <w:color w:val="auto"/>
                <w:w w:val="96"/>
                <w:vertAlign w:val="superscript"/>
              </w:rPr>
              <w:t>(b)</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9"/>
              <w:spacing w:after="0" w:line="240" w:lineRule="exact"/>
              <w:rPr>
                <w:sz w:val="20"/>
                <w:szCs w:val="20"/>
                <w:color w:val="auto"/>
              </w:rPr>
            </w:pPr>
            <w:r>
              <w:rPr>
                <w:rFonts w:ascii="Arial" w:cs="Arial" w:eastAsia="Arial" w:hAnsi="Arial"/>
                <w:sz w:val="16"/>
                <w:szCs w:val="16"/>
                <w:b w:val="1"/>
                <w:bCs w:val="1"/>
                <w:color w:val="auto"/>
                <w:w w:val="83"/>
              </w:rPr>
              <w:t xml:space="preserve">2018 </w:t>
            </w:r>
            <w:r>
              <w:rPr>
                <w:rFonts w:ascii="Arial" w:cs="Arial" w:eastAsia="Arial" w:hAnsi="Arial"/>
                <w:sz w:val="21"/>
                <w:szCs w:val="21"/>
                <w:b w:val="1"/>
                <w:bCs w:val="1"/>
                <w:color w:val="auto"/>
                <w:w w:val="83"/>
                <w:vertAlign w:val="superscript"/>
              </w:rPr>
              <w:t>(c)</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9"/>
              <w:spacing w:after="0" w:line="240" w:lineRule="exact"/>
              <w:rPr>
                <w:sz w:val="20"/>
                <w:szCs w:val="20"/>
                <w:color w:val="auto"/>
              </w:rPr>
            </w:pPr>
            <w:r>
              <w:rPr>
                <w:rFonts w:ascii="Arial" w:cs="Arial" w:eastAsia="Arial" w:hAnsi="Arial"/>
                <w:sz w:val="16"/>
                <w:szCs w:val="16"/>
                <w:b w:val="1"/>
                <w:bCs w:val="1"/>
                <w:color w:val="auto"/>
                <w:w w:val="96"/>
              </w:rPr>
              <w:t xml:space="preserve">2017 </w:t>
            </w:r>
            <w:r>
              <w:rPr>
                <w:rFonts w:ascii="Arial" w:cs="Arial" w:eastAsia="Arial" w:hAnsi="Arial"/>
                <w:sz w:val="21"/>
                <w:szCs w:val="21"/>
                <w:b w:val="1"/>
                <w:bCs w:val="1"/>
                <w:color w:val="auto"/>
                <w:w w:val="96"/>
                <w:vertAlign w:val="superscript"/>
              </w:rPr>
              <w:t>(d)</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r>
      <w:tr>
        <w:trPr>
          <w:trHeight w:val="220"/>
        </w:trPr>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55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Statement of Operations Data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5540" w:type="dxa"/>
            <w:vAlign w:val="bottom"/>
          </w:tcPr>
          <w:p>
            <w:pPr>
              <w:ind w:left="60"/>
              <w:spacing w:after="0"/>
              <w:rPr>
                <w:sz w:val="20"/>
                <w:szCs w:val="20"/>
                <w:color w:val="auto"/>
              </w:rPr>
            </w:pPr>
            <w:r>
              <w:rPr>
                <w:rFonts w:ascii="Arial" w:cs="Arial" w:eastAsia="Arial" w:hAnsi="Arial"/>
                <w:sz w:val="16"/>
                <w:szCs w:val="16"/>
                <w:color w:val="auto"/>
              </w:rPr>
              <w:t>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6,321.0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7,183.2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6,909.4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6,607.0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5,134.7</w:t>
            </w:r>
          </w:p>
        </w:tc>
      </w:tr>
      <w:tr>
        <w:trPr>
          <w:trHeight w:val="219"/>
        </w:trPr>
        <w:tc>
          <w:tcPr>
            <w:tcW w:w="5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Costs of revenue, excluding depreciation and amortization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5,270.9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6,070.2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5,939.3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5,745.3</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4,442.1</w:t>
            </w:r>
          </w:p>
        </w:tc>
      </w:tr>
      <w:tr>
        <w:trPr>
          <w:trHeight w:val="213"/>
        </w:trPr>
        <w:tc>
          <w:tcPr>
            <w:tcW w:w="5540" w:type="dxa"/>
            <w:vAlign w:val="bottom"/>
          </w:tcPr>
          <w:p>
            <w:pPr>
              <w:ind w:left="220"/>
              <w:spacing w:after="0"/>
              <w:rPr>
                <w:sz w:val="20"/>
                <w:szCs w:val="20"/>
                <w:color w:val="auto"/>
              </w:rPr>
            </w:pPr>
            <w:r>
              <w:rPr>
                <w:rFonts w:ascii="Arial" w:cs="Arial" w:eastAsia="Arial" w:hAnsi="Arial"/>
                <w:sz w:val="16"/>
                <w:szCs w:val="16"/>
                <w:color w:val="auto"/>
              </w:rPr>
              <w:t>Net income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322.7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394.1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259.2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348.9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134.0</w:t>
            </w:r>
          </w:p>
        </w:tc>
      </w:tr>
      <w:tr>
        <w:trPr>
          <w:trHeight w:val="219"/>
        </w:trPr>
        <w:tc>
          <w:tcPr>
            <w:tcW w:w="5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attributable to MasTec, Inc.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392.3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r>
      <w:tr>
        <w:trPr>
          <w:trHeight w:val="213"/>
        </w:trPr>
        <w:tc>
          <w:tcPr>
            <w:tcW w:w="5540" w:type="dxa"/>
            <w:vAlign w:val="bottom"/>
          </w:tcPr>
          <w:p>
            <w:pPr>
              <w:ind w:left="220"/>
              <w:spacing w:after="0"/>
              <w:rPr>
                <w:sz w:val="20"/>
                <w:szCs w:val="20"/>
                <w:color w:val="auto"/>
              </w:rPr>
            </w:pPr>
            <w:r>
              <w:rPr>
                <w:rFonts w:ascii="Arial" w:cs="Arial" w:eastAsia="Arial" w:hAnsi="Arial"/>
                <w:sz w:val="16"/>
                <w:szCs w:val="16"/>
                <w:color w:val="auto"/>
              </w:rPr>
              <w:t>Earnings per share from continuing operations: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0"/>
        </w:trPr>
        <w:tc>
          <w:tcPr>
            <w:tcW w:w="5540" w:type="dxa"/>
            <w:vAlign w:val="bottom"/>
          </w:tcPr>
          <w:p>
            <w:pPr>
              <w:ind w:left="1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w:t>
            </w:r>
          </w:p>
        </w:tc>
      </w:tr>
    </w:tbl>
    <w:p>
      <w:pPr>
        <w:spacing w:after="0" w:line="68" w:lineRule="exact"/>
        <w:rPr>
          <w:sz w:val="20"/>
          <w:szCs w:val="20"/>
          <w:color w:val="auto"/>
        </w:rPr>
      </w:pPr>
    </w:p>
    <w:p>
      <w:pPr>
        <w:ind w:left="420" w:hanging="412"/>
        <w:spacing w:after="0" w:line="261" w:lineRule="auto"/>
        <w:tabs>
          <w:tab w:leader="none" w:pos="417"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2020 results include $5.6 million of pre-tax debt extinguishment losses. See Note 7 - Debt in the notes to the audited consolidated financial statements, which is incorporated by reference, for additional information.</w:t>
      </w:r>
    </w:p>
    <w:p>
      <w:pPr>
        <w:ind w:left="420" w:hanging="412"/>
        <w:spacing w:after="0" w:line="256" w:lineRule="auto"/>
        <w:tabs>
          <w:tab w:leader="none" w:pos="412"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2019 results include $3.3 million of pre-tax intangible asset impairment charges. See Note 3 - Goodwill and Other Intangible Assets in the notes to the audited consolidated financial statements, which is incorporated by reference, for additional information.</w:t>
      </w:r>
    </w:p>
    <w:p>
      <w:pPr>
        <w:ind w:left="420" w:right="20" w:hanging="412"/>
        <w:spacing w:after="0" w:line="251" w:lineRule="auto"/>
        <w:tabs>
          <w:tab w:leader="none" w:pos="417"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2018 results include $47.7 million of pre-tax goodwill impairment charges. See Note 3 - Goodwill and Other Intangible Assets in the notes to the audited consolidated financial statements, which is incorporated by reference, for additional information.</w:t>
      </w:r>
    </w:p>
    <w:p>
      <w:pPr>
        <w:ind w:left="400" w:hanging="392"/>
        <w:spacing w:after="0"/>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2017 results include a non-cash tax benefit of $120.1 million related to the Tax Cuts and Jobs Act of 2017 (the “2017 Tax Act”).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b w:val="1"/>
                <w:bCs w:val="1"/>
                <w:color w:val="auto"/>
                <w:w w:val="90"/>
              </w:rPr>
              <w:t>As of December 31,</w:t>
            </w: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5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2018</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r>
      <w:tr>
        <w:trPr>
          <w:trHeight w:val="209"/>
        </w:trPr>
        <w:tc>
          <w:tcPr>
            <w:tcW w:w="5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(in millions)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55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5540" w:type="dxa"/>
            <w:vAlign w:val="bottom"/>
          </w:tcPr>
          <w:p>
            <w:pPr>
              <w:ind w:left="60"/>
              <w:spacing w:after="0"/>
              <w:rPr>
                <w:sz w:val="20"/>
                <w:szCs w:val="20"/>
                <w:color w:val="auto"/>
              </w:rPr>
            </w:pPr>
            <w:r>
              <w:rPr>
                <w:rFonts w:ascii="Arial" w:cs="Arial" w:eastAsia="Arial" w:hAnsi="Arial"/>
                <w:sz w:val="16"/>
                <w:szCs w:val="16"/>
                <w:color w:val="auto"/>
              </w:rPr>
              <w:t>Working capital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943.8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954.4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885.4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888.5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562.5</w:t>
            </w:r>
          </w:p>
        </w:tc>
      </w:tr>
      <w:tr>
        <w:trPr>
          <w:trHeight w:val="219"/>
        </w:trPr>
        <w:tc>
          <w:tcPr>
            <w:tcW w:w="5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982.3</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747.8</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w:t>
            </w:r>
          </w:p>
        </w:tc>
      </w:tr>
      <w:tr>
        <w:trPr>
          <w:trHeight w:val="213"/>
        </w:trPr>
        <w:tc>
          <w:tcPr>
            <w:tcW w:w="5540" w:type="dxa"/>
            <w:vAlign w:val="bottom"/>
          </w:tcPr>
          <w:p>
            <w:pPr>
              <w:ind w:left="6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5,227.8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4,997.0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4,440.0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4,066.6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3,183.1</w:t>
            </w:r>
          </w:p>
        </w:tc>
      </w:tr>
      <w:tr>
        <w:trPr>
          <w:trHeight w:val="219"/>
        </w:trPr>
        <w:tc>
          <w:tcPr>
            <w:tcW w:w="5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debt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1,302.7</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1,406.9</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1,368.6</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1,026.0</w:t>
            </w:r>
          </w:p>
        </w:tc>
      </w:tr>
      <w:tr>
        <w:trPr>
          <w:trHeight w:val="210"/>
        </w:trPr>
        <w:tc>
          <w:tcPr>
            <w:tcW w:w="5540" w:type="dxa"/>
            <w:vAlign w:val="bottom"/>
          </w:tcPr>
          <w:p>
            <w:pPr>
              <w:ind w:left="60"/>
              <w:spacing w:after="0"/>
              <w:rPr>
                <w:sz w:val="20"/>
                <w:szCs w:val="20"/>
                <w:color w:val="auto"/>
              </w:rPr>
            </w:pPr>
            <w:r>
              <w:rPr>
                <w:rFonts w:ascii="Arial" w:cs="Arial" w:eastAsia="Arial" w:hAnsi="Arial"/>
                <w:sz w:val="16"/>
                <w:szCs w:val="16"/>
                <w:color w:val="auto"/>
              </w:rPr>
              <w:t>Total equity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2,005.5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1,791.7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1,392.0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1,433.4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1,103.6</w:t>
            </w:r>
          </w:p>
        </w:tc>
      </w:tr>
    </w:tbl>
    <w:p>
      <w:pPr>
        <w:spacing w:after="0" w:line="200" w:lineRule="exact"/>
        <w:rPr>
          <w:sz w:val="20"/>
          <w:szCs w:val="20"/>
          <w:color w:val="auto"/>
        </w:rPr>
      </w:pPr>
    </w:p>
    <w:p>
      <w:pPr>
        <w:spacing w:after="0" w:line="400"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w:t>
      </w:r>
    </w:p>
    <w:p>
      <w:pPr>
        <w:spacing w:after="0" w:line="117"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5"/>
          <w:szCs w:val="15"/>
          <w:color w:val="auto"/>
        </w:rPr>
        <w:t>The following discussion and analysis of our business, financial condition and results of operations should be read in conjunction with our audited consolidated financial statements and notes thereto in Item 8 of this Form 10-K. The discussion below contains forward-looking statements that are based upon our current expectations and is subject to uncertainty and changes in circumstances. Actual results may differ materially from these expectations due to inaccurate assumptions and known or unknown risks and uncertainties, including those identified in “Cautionary Statement Regarding Forward-Looking Statements” and Item 1A. “Risk Factors.”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COVID-19 Pandemic</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World Health Organization declared a global pandemic related to the rapidly growing outbreak of a novel strain of coronavirus (“COVID-19”) in the first quarter of 2020. The COVID-19 pandemic has disrupted business activities and significantly affected global economic conditions as federal, state and local governments imposed mitigation measures to address the public health crisis, including "stay-at-home," "shelter-in-place," social distancing, travel restrictions and other similar orders, resulting in workforce, supply chain and production disruptions, along with reduced demand and spending in many industry sectors, creating significant uncertainties in the U.S. and global economies. Restrictions have been enacted, lifted, and reenacted during 2020 and into 2021, and the possibility of future restrictions remains. The extent of such restrictions and/or how long an economic recovery could take is currently unclear. The extent to which the COVID-19 pandemic could affect our business, operations and financial results will depend upon numerous evolving factors that we may not be able to accurately predict, including the development and availability of effective treatments and vaccines and the speed with which they are administered to the public and the length and extent of the economic and market disruption.</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Most of our construction services have been deemed essential under state and local pandemic mitigation orders and all of our business segments continue to operate. As our services have been deemed essential, our customers have generally directed us, where safe and possible, to maintain normal work schedules. Our business model has, thus far, proven resilient, and we continue to make efforts to adapt to the changing operational and economic environment resulting from the COVID-19 pandemic. Our top priority has been to take appropriate actions to protect the health and safety of our employees, customers and business partners. We have adjusted our standard operating procedures within our business operations to ensure employee and customer safety and are continually monitoring evolving health guidelines and responding to changes as appropriate. These procedures include implementation of specialized training programs, appropriate social distancing procedures and required use of personal protective equipment for our crew operations, as well as appropriate sanitation measures for key equipment and facilities. We have reduced non-essential business travel and incorporated work-at-home programs as appropriate for our administrative offices. For in-office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jc w:val="both"/>
        <w:spacing w:after="0" w:line="261" w:lineRule="auto"/>
        <w:rPr>
          <w:sz w:val="20"/>
          <w:szCs w:val="20"/>
          <w:color w:val="auto"/>
        </w:rPr>
      </w:pPr>
      <w:r>
        <w:rPr>
          <w:rFonts w:ascii="Arial" w:cs="Arial" w:eastAsia="Arial" w:hAnsi="Arial"/>
          <w:sz w:val="16"/>
          <w:szCs w:val="16"/>
          <w:color w:val="auto"/>
        </w:rPr>
        <w:t>appropriate safety and social distancing measures have been incorporated. We have also developed human resource guidance to assist our employees. In certain locations where our operations have experienced challenges as a result of the pandemic, we are collaborating with our customers to minimize potential service disruptions and operational impacts.</w:t>
      </w:r>
    </w:p>
    <w:p>
      <w:pPr>
        <w:spacing w:after="0" w:line="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5"/>
          <w:szCs w:val="15"/>
          <w:color w:val="auto"/>
        </w:rPr>
        <w:t>The COVID-19 pandemic had a negative impact on our operations in 2020 and is expected to continue to affect our future business activities for an unknown period of time. These impacts include lost productivity from governmental permitting approval delays, reduced crew productivity due to social distancing, other mitigation measures or other factors, the health and availability of work crews or other key personnel, including subcontractors or supply chain disruptions, and/or delayed project start dates or project shutdowns or cancellations that may be mandated or requested by governmental authorities or others, all of which could result in lower revenue or higher operating costs and/or create lower levels of overhead cost absorption. We continue to actively monitor the effects of the COVID-19 pandemic on our operations and may take further actions, as necessary, that we determine to be in the best interests of our employees, customers, business partners and stakeholders, or as required by federal, state, or local authorities. Additionally, disruptions in economic activity as a result of the COVID-19 pandemic have had, and may continue to have, adverse effects across our end markets, particularly in the oil and gas sector. To the extent that future business activities are adversely affected by the pandemic, we intend to take appropriate actions designed to mitigate these impacts. Given the uncertainty regarding the magnitude and duration of the pandemic’s effects, we are unable to predict with specificity or quantify any potential future impact on our business, financial condition and/or results of operations.</w:t>
      </w:r>
    </w:p>
    <w:p>
      <w:pPr>
        <w:spacing w:after="0" w:line="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CARES Act, which provides for various tax relief and incentive measures, including provisions permitting the deferral and/or reduction of certain federal and payroll tax amounts, was signed into law in March 2020 in response to the COVID-19 pandemic. Under certain of the relief provisions of the CARES Act, we deferred approximately $59 million of payroll taxes for the year ended December 31, 2020, of which half are due by December 31, 2021, with the remainder due by December 31, 2022. Additionally, the Coronavirus Response and Relief Supplemental Appropriations Act (the “Coronavirus Relief Act”), which provides additional COVID-19 relief measures, was signed into law in December 2020. We will continue to evaluate the potential effects of the CARES Act, along with any potential effects of the Coronavirus Relief Act, on our financial position, results of operations and cash flows, and will continue to monitor all other available federal and other COVID-19 relief provisions to determine our qualification for, and the usefulness to us, of any such relief measures.</w:t>
      </w:r>
    </w:p>
    <w:p>
      <w:pPr>
        <w:spacing w:after="0" w:line="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of December 31, 2020, we maintained a strong balance sheet, have strong relationships with our banking partners and had ample liquidity totaling approximately $1.6 billion, comprising $1.2 billion of availability under our Credit Facility and $423 million of cash. We believe that our financial position, strong cash flows and operational strengths will enable us to manage the current challenges and uncertainties resulting from the COVID-19 pandemic. Our business operations typically generate significant cash flow, affording us the flexibility to invest strategically in our efforts to maximize shareholder value through mergers and acquisitions, share repurchases and capital expenditures. We are carefully managing liquidity and are monitoring any potential effects from the pandemic on our financial results, cash flows and/or working capital and intend to take appropriate actions in efforts to mitigate any impacts.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 “Business” for discussion pertaining to our business and reportable segments.</w:t>
      </w:r>
    </w:p>
    <w:p>
      <w:pPr>
        <w:spacing w:after="0" w:line="11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b w:val="1"/>
          <w:bCs w:val="1"/>
          <w:i w:val="1"/>
          <w:iCs w:val="1"/>
          <w:color w:val="auto"/>
        </w:rPr>
        <w:t>Recent acquisitions</w:t>
      </w:r>
      <w:r>
        <w:rPr>
          <w:rFonts w:ascii="Arial" w:cs="Arial" w:eastAsia="Arial" w:hAnsi="Arial"/>
          <w:sz w:val="15"/>
          <w:szCs w:val="15"/>
          <w:color w:val="auto"/>
        </w:rPr>
        <w:t>. During the year ended December 31, 2020, we completed five acquisitions. These acquisitions included the equity interests of two entities,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one that specializes in heavy civil infrastructure that is included within our Clean Energy and Infrastructure segment, and one that specializes in utility service and telecommunications construction that is included within our Communications segment. We also acquired the assets of three entities, one that specializes in wireless telecommunications and one that specializes in install-to-the-home services, both of which are included within our Communications segment and one that specializes in electrical transmission services that is included within our Electrical Transmission segment. During the year ended December 31, 2019, we completed six acquisitions, one of which specializes in water infrastructure for pipeline companies and is included within our </w:t>
      </w:r>
      <w:r>
        <w:rPr>
          <w:rFonts w:ascii="Arial" w:cs="Arial" w:eastAsia="Arial" w:hAnsi="Arial"/>
          <w:sz w:val="15"/>
          <w:szCs w:val="15"/>
          <w:color w:val="26282A"/>
        </w:rPr>
        <w:t>Oil and Gas segment,</w:t>
      </w:r>
      <w:r>
        <w:rPr>
          <w:rFonts w:ascii="Arial" w:cs="Arial" w:eastAsia="Arial" w:hAnsi="Arial"/>
          <w:sz w:val="15"/>
          <w:szCs w:val="15"/>
          <w:color w:val="auto"/>
        </w:rPr>
        <w:t xml:space="preserve"> four o</w:t>
      </w:r>
      <w:r>
        <w:rPr>
          <w:rFonts w:ascii="Arial" w:cs="Arial" w:eastAsia="Arial" w:hAnsi="Arial"/>
          <w:sz w:val="15"/>
          <w:szCs w:val="15"/>
          <w:color w:val="26282A"/>
        </w:rPr>
        <w:t>f which are</w:t>
      </w:r>
      <w:r>
        <w:rPr>
          <w:rFonts w:ascii="Arial" w:cs="Arial" w:eastAsia="Arial" w:hAnsi="Arial"/>
          <w:sz w:val="15"/>
          <w:szCs w:val="15"/>
          <w:color w:val="auto"/>
        </w:rPr>
        <w:t xml:space="preserve"> included within our Communications segment, including a wireline/fiber deployment construction contractor and a telecommunications company specializing in a broad range of end-to-end wireless telecommunications solutions, and one of which specializes in construction projects in the power industry and is included in our Clean Energy and Infrastructure segment</w:t>
      </w:r>
      <w:r>
        <w:rPr>
          <w:rFonts w:ascii="Arial" w:cs="Arial" w:eastAsia="Arial" w:hAnsi="Arial"/>
          <w:sz w:val="15"/>
          <w:szCs w:val="15"/>
          <w:color w:val="26282A"/>
        </w:rPr>
        <w:t>.</w:t>
      </w:r>
      <w:r>
        <w:rPr>
          <w:rFonts w:ascii="Arial" w:cs="Arial" w:eastAsia="Arial" w:hAnsi="Arial"/>
          <w:sz w:val="15"/>
          <w:szCs w:val="15"/>
          <w:color w:val="auto"/>
        </w:rPr>
        <w:t xml:space="preserve"> During the year ended December 31, 2018, we completed two acquisitions, including a construction management firm specializing in steel building systems and a wind turbine service company, both of which are included in our Clean Energy and Infrastructure segment. For additional information, see Note 3 - Goodwill and Other Intangible Assets in the notes to the audited consolidated financial statements, which is incorporated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In addition to the effects of the pandemic noted above, we closely monitor the effects of changes in economic and market conditions on our customers. General economic and market conditions can negatively affect demand for our customers’ products and services, which can affect our customers’ planned capital and maintenance budgets in certain end-markets. Market, regulatory and industry factors could affect demand for our services, including (i) changes to our customers’ capital spending plans, including any potential effects from public health issues, such as the recent COVID-19 pandemic; (ii) new or changing regulatory requirements or other governmental policy changes or political developments or uncertainty, including from changes in governmental permitting; (iii) economic, political or other market developments, including access to capital for customers in the industries we serve; (iv) changes in technology, tax and other incentives; and (v) mergers and acquisitions among the customers we serve. Fluctuations in market prices for oil, gas and other fuel sources and availability of transportation and transmission capacity can also affect demand for our services, in particular, on pipeline and energy generation construction projects. These fluctuations, as well as the highly competitive nature of our industry, can result in lower levels of activity and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0" w:name="page31"/>
    <w:bookmarkEnd w:id="30"/>
    <w:p>
      <w:pPr>
        <w:jc w:val="both"/>
        <w:ind w:firstLine="648"/>
        <w:spacing w:after="0" w:line="291" w:lineRule="auto"/>
        <w:rPr>
          <w:sz w:val="20"/>
          <w:szCs w:val="20"/>
          <w:color w:val="auto"/>
        </w:rPr>
      </w:pPr>
      <w:r>
        <w:rPr>
          <w:rFonts w:ascii="Arial" w:cs="Arial" w:eastAsia="Arial" w:hAnsi="Arial"/>
          <w:sz w:val="14"/>
          <w:szCs w:val="14"/>
          <w:color w:val="auto"/>
        </w:rPr>
        <w:t>Our revenue and results of operations can be subject to seasonal and other variations. These variations are influenced by weather, customer spending patterns, bidding seasons, project schedules, public health matters, holidays and/or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 The effects of the COVID-19 pandemic could also result in greater seasonal and cyclical volatility than would otherwise exist under normal conditions.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Understanding Our Results of Operations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provide engineering, building, installation, maintenance and upgrade services to our customers. We derive revenue from projects performed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master and other service agreements as well as from contracts for specific projects requiring the construction and installation of an entire infrastructure system or specified units within an infrastructure system. See Item 1. “Business” for discussion of our business and revenue-generating activities and “Comparison of Fiscal Year Results” below for revenue results by reportable segment.</w:t>
      </w:r>
    </w:p>
    <w:p>
      <w:pPr>
        <w:spacing w:after="0" w:line="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consists principally of salaries,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incentives and benefits, subcontracted services, equipment rentals and repairs, fuel and other equipment expenses, material costs, parts and supplies, insurance and facilities expenses. Project profit is calculated by subtracting a project’s costs of revenue, including project-related depreciation, from project revenue. Project profitability and corresponding project margins will generally be reduced if actual costs to complete a project exceed our project cost estimates. Estimated losses on contracts, or the excess of estimated costs to complete a contract over the contract’s remaining revenue, are recognized in the period in which such losses are determined. Factors impacting our costs of revenue, excluding depreciation and amortization, include:</w:t>
      </w:r>
    </w:p>
    <w:p>
      <w:pPr>
        <w:spacing w:after="0" w:line="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i w:val="1"/>
          <w:iCs w:val="1"/>
          <w:color w:val="auto"/>
        </w:rPr>
        <w:t xml:space="preserve">Project Mix. </w:t>
      </w:r>
      <w:r>
        <w:rPr>
          <w:rFonts w:ascii="Arial" w:cs="Arial" w:eastAsia="Arial" w:hAnsi="Arial"/>
          <w:sz w:val="15"/>
          <w:szCs w:val="15"/>
          <w:color w:val="auto"/>
        </w:rPr>
        <w:t>The mix of revenue derived from the projects we perform impacts overall project margins, as margin opportunities can vary by project. For example,</w:t>
      </w:r>
      <w:r>
        <w:rPr>
          <w:rFonts w:ascii="Arial" w:cs="Arial" w:eastAsia="Arial" w:hAnsi="Arial"/>
          <w:sz w:val="15"/>
          <w:szCs w:val="15"/>
          <w:i w:val="1"/>
          <w:iCs w:val="1"/>
          <w:color w:val="auto"/>
        </w:rPr>
        <w:t xml:space="preserve"> </w:t>
      </w:r>
      <w:r>
        <w:rPr>
          <w:rFonts w:ascii="Arial" w:cs="Arial" w:eastAsia="Arial" w:hAnsi="Arial"/>
          <w:sz w:val="15"/>
          <w:szCs w:val="15"/>
          <w:color w:val="auto"/>
        </w:rPr>
        <w:t>installation work, which is often performed on a fixed price basis, has a higher level of margin risk than maintenance or upgrade work, which is often performed under pre-established or time and materials pricing arrangements. As a result, changes in project mix between installation work and maintenance or upgrade services can affect our project margins in a given period. Our project mix by industry can also affect our overall margins, as project margins can vary by industry and over time.</w:t>
      </w:r>
    </w:p>
    <w:p>
      <w:pPr>
        <w:spacing w:after="0" w:line="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i w:val="1"/>
          <w:iCs w:val="1"/>
          <w:color w:val="auto"/>
        </w:rPr>
        <w:t xml:space="preserve">Seasonality, Weather and Geographic Mix. </w:t>
      </w:r>
      <w:r>
        <w:rPr>
          <w:rFonts w:ascii="Arial" w:cs="Arial" w:eastAsia="Arial" w:hAnsi="Arial"/>
          <w:sz w:val="15"/>
          <w:szCs w:val="15"/>
          <w:color w:val="auto"/>
        </w:rPr>
        <w:t>Seasonal patterns, which can be affected by weather conditions, can have a significant effect on project margins.</w:t>
      </w:r>
      <w:r>
        <w:rPr>
          <w:rFonts w:ascii="Arial" w:cs="Arial" w:eastAsia="Arial" w:hAnsi="Arial"/>
          <w:sz w:val="15"/>
          <w:szCs w:val="15"/>
          <w:i w:val="1"/>
          <w:iCs w:val="1"/>
          <w:color w:val="auto"/>
        </w:rPr>
        <w:t xml:space="preserve"> </w:t>
      </w:r>
      <w:r>
        <w:rPr>
          <w:rFonts w:ascii="Arial" w:cs="Arial" w:eastAsia="Arial" w:hAnsi="Arial"/>
          <w:sz w:val="15"/>
          <w:szCs w:val="15"/>
          <w:color w:val="auto"/>
        </w:rPr>
        <w:t>Adverse or favorable weather conditions can affect project margins in a given period. For example, extended periods of rain or snowfall can negatively affect revenue and project margins due to reduced productivity from projects being delayed or temporarily halted. Conversely, when weather remains dry and temperatures are accommodating, more work can be done, sometimes with less cost, which can favorably affect project margins. In addition, the mix of business conducted in different geographic areas can affect project margins due to the particular characteristics of the physical locations where work is being performed, such as mountainous or rocky terrain versus open terrain. Site conditions, including unforeseen underground conditions, can also affect project margins.</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i w:val="1"/>
          <w:iCs w:val="1"/>
          <w:color w:val="auto"/>
        </w:rPr>
        <w:t>Price and Performance Risk</w:t>
      </w:r>
      <w:r>
        <w:rPr>
          <w:rFonts w:ascii="Arial" w:cs="Arial" w:eastAsia="Arial" w:hAnsi="Arial"/>
          <w:sz w:val="16"/>
          <w:szCs w:val="16"/>
          <w:color w:val="auto"/>
        </w:rPr>
        <w:t>. Overall project margins may fluctuate due to project pricing, changes in the cost of labor and materials, job productivity and work</w:t>
      </w:r>
      <w:r>
        <w:rPr>
          <w:rFonts w:ascii="Arial" w:cs="Arial" w:eastAsia="Arial" w:hAnsi="Arial"/>
          <w:sz w:val="16"/>
          <w:szCs w:val="16"/>
          <w:i w:val="1"/>
          <w:iCs w:val="1"/>
          <w:color w:val="auto"/>
        </w:rPr>
        <w:t xml:space="preserve"> </w:t>
      </w:r>
      <w:r>
        <w:rPr>
          <w:rFonts w:ascii="Arial" w:cs="Arial" w:eastAsia="Arial" w:hAnsi="Arial"/>
          <w:sz w:val="16"/>
          <w:szCs w:val="16"/>
          <w:color w:val="auto"/>
        </w:rPr>
        <w:t>volume. Job productivity can be affected by quality of the work crew and equipment, the quality of engineering specifications and designs, availability of skilled labor, environmental or regulatory factors, customer decisions or delays and crew productivity. Crew productivity can be influenced by weather conditions and job terrain, such as whether project work is in a right of way that is open or one that has physical obstructions or legal encumbrances.</w:t>
      </w:r>
    </w:p>
    <w:p>
      <w:pPr>
        <w:spacing w:after="0" w:line="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i w:val="1"/>
          <w:iCs w:val="1"/>
          <w:color w:val="auto"/>
        </w:rPr>
        <w:t>Subcontracted Resources</w:t>
      </w:r>
      <w:r>
        <w:rPr>
          <w:rFonts w:ascii="Arial" w:cs="Arial" w:eastAsia="Arial" w:hAnsi="Arial"/>
          <w:sz w:val="16"/>
          <w:szCs w:val="16"/>
          <w:color w:val="auto"/>
        </w:rPr>
        <w:t>. Our use of subcontracted resources in a given period is dependent upon activity levels and the amount and location of existing in-house</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and capacity. Project margins on subcontracted work can vary from those on self-perform work. As a result, changes in the mix of subcontracted resources versus self-perform work can affect our overall project margins.</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i w:val="1"/>
          <w:iCs w:val="1"/>
          <w:color w:val="auto"/>
        </w:rPr>
        <w:t xml:space="preserve">Material versus Labor Costs. </w:t>
      </w:r>
      <w:r>
        <w:rPr>
          <w:rFonts w:ascii="Arial" w:cs="Arial" w:eastAsia="Arial" w:hAnsi="Arial"/>
          <w:sz w:val="16"/>
          <w:szCs w:val="16"/>
          <w:color w:val="auto"/>
        </w:rPr>
        <w:t>In many cases, our customers are responsible for supplying their own materials on projects; however, under certain contracts, we</w:t>
      </w:r>
      <w:r>
        <w:rPr>
          <w:rFonts w:ascii="Arial" w:cs="Arial" w:eastAsia="Arial" w:hAnsi="Arial"/>
          <w:sz w:val="16"/>
          <w:szCs w:val="16"/>
          <w:i w:val="1"/>
          <w:iCs w:val="1"/>
          <w:color w:val="auto"/>
        </w:rPr>
        <w:t xml:space="preserve"> </w:t>
      </w:r>
      <w:r>
        <w:rPr>
          <w:rFonts w:ascii="Arial" w:cs="Arial" w:eastAsia="Arial" w:hAnsi="Arial"/>
          <w:sz w:val="16"/>
          <w:szCs w:val="16"/>
          <w:color w:val="auto"/>
        </w:rPr>
        <w:t>may agree to provide all or part of the required materials. Project margins are typically lower on projects where we furnish a significant amount of materials due to the fact that margins on materials are generally lower than margins on labor costs. Therefore, increases in the percentage of work with significant materials requirements could decrease our overall project margins.</w:t>
      </w:r>
    </w:p>
    <w:p>
      <w:pPr>
        <w:spacing w:after="0" w:line="7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b w:val="1"/>
          <w:bCs w:val="1"/>
          <w:i w:val="1"/>
          <w:iCs w:val="1"/>
          <w:color w:val="auto"/>
        </w:rPr>
        <w:t xml:space="preserve">General and Administrative Expense. </w:t>
      </w:r>
      <w:r>
        <w:rPr>
          <w:rFonts w:ascii="Arial" w:cs="Arial" w:eastAsia="Arial" w:hAnsi="Arial"/>
          <w:sz w:val="16"/>
          <w:szCs w:val="16"/>
          <w:color w:val="auto"/>
        </w:rPr>
        <w:t>General and administrative expenses consist principally of compensation and benefit expenses, travel expenses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for our finance, benefits, insurance and risk management, legal, facilities, information technology services and executive functions. General and administrative expenses also include non-cash stock-based compensation expense, outside professional 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6"/>
          <w:szCs w:val="16"/>
          <w:color w:val="auto"/>
        </w:rPr>
        <w:t>accounting fees, expenses associated with information technology used in administration of the business, acquisition costs, including those related to acquisition integration, and, from time to time, certain restructuring charges.</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consists of contractual interest expense on outstanding debt obligations, amortization of deferred financing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interest expense, including interest expense related to financing arrangements and mandatorily redeemable non-controlling interests. Interest expense is offset, in part, by interest earned on cash and other investments.</w:t>
      </w:r>
    </w:p>
    <w:p>
      <w:pPr>
        <w:spacing w:after="0" w:line="7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b w:val="1"/>
          <w:bCs w:val="1"/>
          <w:i w:val="1"/>
          <w:iCs w:val="1"/>
          <w:color w:val="auto"/>
        </w:rPr>
        <w:t xml:space="preserve">Other Income or Expense. </w:t>
      </w:r>
      <w:r>
        <w:rPr>
          <w:rFonts w:ascii="Arial" w:cs="Arial" w:eastAsia="Arial" w:hAnsi="Arial"/>
          <w:sz w:val="15"/>
          <w:szCs w:val="15"/>
          <w:color w:val="auto"/>
        </w:rPr>
        <w:t>Other income or expense consists primarily of gains or losses from sales, disposals of, or changes in estimated recoveries from assets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investments, certain legal/other settlements, gains or losses from changes to estimated earn-out accruals and certain purchase accounting adjustments.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 Metrics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senior management team regularly reviews certain key financial performance metrics within our business, including:</w:t>
      </w:r>
    </w:p>
    <w:p>
      <w:pPr>
        <w:spacing w:after="0" w:line="113" w:lineRule="exact"/>
        <w:rPr>
          <w:sz w:val="20"/>
          <w:szCs w:val="20"/>
          <w:color w:val="auto"/>
        </w:rPr>
      </w:pPr>
    </w:p>
    <w:p>
      <w:pPr>
        <w:ind w:left="800" w:hanging="144"/>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and profitability on an overall basis, by reportable segment and for selected projects;</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by customer and by contract type;</w:t>
      </w:r>
    </w:p>
    <w:p>
      <w:pPr>
        <w:spacing w:after="0" w:line="113" w:lineRule="exact"/>
        <w:rPr>
          <w:rFonts w:ascii="Arial" w:cs="Arial" w:eastAsia="Arial" w:hAnsi="Arial"/>
          <w:sz w:val="16"/>
          <w:szCs w:val="16"/>
          <w:color w:val="auto"/>
        </w:rPr>
      </w:pPr>
    </w:p>
    <w:p>
      <w:pPr>
        <w:ind w:left="820" w:right="20" w:hanging="164"/>
        <w:spacing w:after="0" w:line="275" w:lineRule="auto"/>
        <w:tabs>
          <w:tab w:leader="none" w:pos="809"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of revenue, excluding depreciation and amortization; general and administrative expenses; depreciation and amortization; interest expense, net; other income or expense; and provision for income taxes;</w:t>
      </w:r>
    </w:p>
    <w:p>
      <w:pPr>
        <w:spacing w:after="0" w:line="64" w:lineRule="exact"/>
        <w:rPr>
          <w:rFonts w:ascii="Arial" w:cs="Arial" w:eastAsia="Arial" w:hAnsi="Arial"/>
          <w:sz w:val="16"/>
          <w:szCs w:val="16"/>
          <w:color w:val="auto"/>
        </w:rPr>
      </w:pPr>
    </w:p>
    <w:p>
      <w:pPr>
        <w:ind w:left="820" w:hanging="164"/>
        <w:spacing w:after="0" w:line="275" w:lineRule="auto"/>
        <w:tabs>
          <w:tab w:leader="none" w:pos="809" w:val="left"/>
        </w:tabs>
        <w:numPr>
          <w:ilvl w:val="0"/>
          <w:numId w:val="9"/>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 (“EBITDA”) and adjusted EBITDA, as defined in our non-U.S. GAAP financial measures discussion following the “Comparison of Fiscal Year Results” section below;</w:t>
      </w:r>
    </w:p>
    <w:p>
      <w:pPr>
        <w:spacing w:after="0" w:line="64" w:lineRule="exact"/>
        <w:rPr>
          <w:rFonts w:ascii="Arial" w:cs="Arial" w:eastAsia="Arial" w:hAnsi="Arial"/>
          <w:sz w:val="16"/>
          <w:szCs w:val="16"/>
          <w:color w:val="auto"/>
        </w:rPr>
      </w:pPr>
    </w:p>
    <w:p>
      <w:pPr>
        <w:ind w:left="800" w:hanging="144"/>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earnings per share and adjusted earnings per share, as defined in our non-U.S. GAAP financial measures discussion;</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days sales outstanding, net of contract liabilities and days payable outstanding;</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and debt service coverage ratios; and</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liquidity and cash flows.</w:t>
      </w:r>
    </w:p>
    <w:p>
      <w:pPr>
        <w:spacing w:after="0" w:line="11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Management’s analysis includes detailed discussions of proposed investments in new business opportunities or property and equipment, productivity improvement efforts, acquisition integration efforts, strategic arrangement opportunities and working capital and other capital management efforts. Measuring these key performance indicators is an important tool used by management to make informed and timely operational decisions, which we believe can help us improve our performance.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the accompanying notes. We base our estimates on historical experience and various other assumptions that we believe to be reasonable under the circumstances, including the potential future effects of the COVID-19 pandemic and other relevant global events. These estimates form the basis for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indefinite-lived intangible assets and acquisition-related contingent consideration; equity investments;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 Refer to Note 1 - Business, Basis of Presentation and Significant Accounting Policies in the notes to the audited consolidated financial statements, which is incorporated by reference, for discussion of our significant accounting policies.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recognize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We primarily recognize revenue over time utilizing the cost-to-cost measure of progress on contracts for specific projects and for certain master service and other service agreements.</w:t>
      </w:r>
    </w:p>
    <w:p>
      <w:pPr>
        <w:spacing w:after="0" w:line="7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4"/>
          <w:szCs w:val="14"/>
          <w:b w:val="1"/>
          <w:bCs w:val="1"/>
          <w:i w:val="1"/>
          <w:iCs w:val="1"/>
          <w:color w:val="auto"/>
        </w:rPr>
        <w:t xml:space="preserve">Contracts. </w:t>
      </w:r>
      <w:r>
        <w:rPr>
          <w:rFonts w:ascii="Arial" w:cs="Arial" w:eastAsia="Arial" w:hAnsi="Arial"/>
          <w:sz w:val="14"/>
          <w:szCs w:val="14"/>
          <w:color w:val="auto"/>
        </w:rPr>
        <w:t>We derive revenue primarily from construction projects performed under: (i) master and other service agreements, which provide a menu of available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services in a specific geographic territory that are utilized on an as-needed basis, and are typically priced using either a time and materials or a fixed price per unit basis; and</w:t>
      </w:r>
    </w:p>
    <w:p>
      <w:pPr>
        <w:ind w:right="20" w:firstLine="8"/>
        <w:spacing w:after="0" w:line="257" w:lineRule="auto"/>
        <w:tabs>
          <w:tab w:leader="none" w:pos="2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2" w:name="page33"/>
    <w:bookmarkEnd w:id="32"/>
    <w:p>
      <w:pPr>
        <w:jc w:val="both"/>
        <w:ind w:firstLine="648"/>
        <w:spacing w:after="0" w:line="268" w:lineRule="auto"/>
        <w:rPr>
          <w:sz w:val="20"/>
          <w:szCs w:val="20"/>
          <w:color w:val="auto"/>
        </w:rPr>
      </w:pPr>
      <w:r>
        <w:rPr>
          <w:rFonts w:ascii="Arial" w:cs="Arial" w:eastAsia="Arial" w:hAnsi="Arial"/>
          <w:sz w:val="15"/>
          <w:szCs w:val="15"/>
          <w:color w:val="auto"/>
        </w:rPr>
        <w:t>The total contract transaction price and cost estimation processes used for recognizing revenue over time under the cost-to-cost method is based on the professional knowledge and experience of our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our profit recognition. Changes in these factors could result in revisions to revenue in the period in which the revisions are determined, which could materially affect our consolidated results of operations for that period. Provisions for losses on uncompleted contracts are recorded in the period in which such losses are determined. For the year ended December 31, 2020, project profit was affected by less than 5% as a result of changes in contract estimates included in projects that were in process as of December 31, 2019. Revenue recognized for the year ended December 31, 2020 as a result of changes in total contract transaction price estimates, including from variable consideration, from performance obligations satisfied or partially satisfied in prior periods, totaled approximately $13.5 million.</w:t>
      </w:r>
    </w:p>
    <w:p>
      <w:pPr>
        <w:spacing w:after="0" w:line="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Our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vast majority of our performance obligations are completed within one year.</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When more than one contract is entered into with a customer on or close to the same date, management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Variable Consideration. </w:t>
      </w:r>
      <w:r>
        <w:rPr>
          <w:rFonts w:ascii="Arial" w:cs="Arial" w:eastAsia="Arial" w:hAnsi="Arial"/>
          <w:sz w:val="15"/>
          <w:szCs w:val="15"/>
          <w:color w:val="auto"/>
        </w:rPr>
        <w:t>Transaction prices for our contracts may include variable consideration, which comprises items such as change orders, claims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incentives. Management estimates variable consideration for a performance obligation utilizing estimation methods that we believe best predict the amount of consideration to which we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The effect of variable consideration on the transaction price of a performance obligation is typically recognized as an adjustment to revenue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our favor, or to the extent incentives reflected in transaction prices are not earned, there could be reductions in, or reversals of, previously recognized revenue.</w:t>
      </w:r>
    </w:p>
    <w:p>
      <w:pPr>
        <w:spacing w:after="0" w:line="7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of December 31, 2020, we included approximately $51 million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December 31, 2020, these change orders and/or claims were primarily related to certain projects in our Electrical Transmission and Communications segments. We actively engage with our customers to complete the final approval process, and generally expect these processes to be completed within one year. Amounts ultimately realized upon final agreement by customers could be higher or lower than such estimated amounts.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determination of the fair value of net assets acquired in a business combination and estimates of acquisition-related contingent consideration, which, for our acquisitions are primarily “earn-out” liabilities, requires estimates and judgments of future cash flow expectations for the acquired business and the related identifiable tangible and intangible assets. Fair values of net assets acquired are calculated using expected cash flows and industry-standard valuation techniques. Fair values of earn-out liabilities are estimated using income approaches such as discounted cash flows or option pricing models.</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or adjust the fair values, of acquisition-related assets and liabilities and/or consideration paid, and are referred to as “measurement period” adjustments, and are recorded to goodwill. Other revisions to these fair value estimates are reflected as income or expense, as appropriate. See Note 3 - Goodwill and Other Intangible Assets in the notes to the audited consolidated financial statements, which is incorporated by reference, for information pertaining to acquisition-related fair value adjustments.</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Significant changes in the assumptions or estimates used in the underlying valuations, including the expected profitability or cash flows of an acquired business, could materially affect our operating results in the period such changes are recognized.</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Goodwill and Indefinite-Lived Intangible Assets</w:t>
      </w:r>
    </w:p>
    <w:p>
      <w:pPr>
        <w:spacing w:after="0" w:line="11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We have goodwill and indefinite-lived intangible assets that have been recorded in connection with our acquisitions of businesses. Goodwill and indefinite-lived intangible assets are not amortized, but instead are tested for impairment at least annually. We perform our annual impairment tests of goodwill and indefinite-lived intangible assets during the fourth quarter of each year, and on a quarterly basis, we monitor these assets for potential indicators of impairment. Goodwill is required to be tested for impairment at the reporting unit level. A reporting unit is an operating segment, or one level below the operating segment, which is referred to as a component. We combine all of the components of our Electrical Transmission operating segment into one reporting unit. All of our other components each comprise one reporting unit.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6"/>
          <w:szCs w:val="16"/>
          <w:color w:val="auto"/>
        </w:rPr>
        <w:t>Following is a summary of goodwill and indefinite-lived intangible assets by segment as of December 31,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Communications</w:t>
            </w:r>
          </w:p>
        </w:tc>
        <w:tc>
          <w:tcPr>
            <w:tcW w:w="14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Clean Energy</w:t>
            </w:r>
          </w:p>
        </w:tc>
        <w:tc>
          <w:tcPr>
            <w:tcW w:w="200" w:type="dxa"/>
            <w:vAlign w:val="bottom"/>
          </w:tcPr>
          <w:p>
            <w:pPr>
              <w:spacing w:after="0"/>
              <w:rPr>
                <w:sz w:val="16"/>
                <w:szCs w:val="16"/>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Oil and Gas</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Electrical</w:t>
            </w:r>
          </w:p>
        </w:tc>
        <w:tc>
          <w:tcPr>
            <w:tcW w:w="320" w:type="dxa"/>
            <w:vAlign w:val="bottom"/>
          </w:tcPr>
          <w:p>
            <w:pPr>
              <w:spacing w:after="0"/>
              <w:rPr>
                <w:sz w:val="16"/>
                <w:szCs w:val="16"/>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&amp; Infrastructure</w:t>
            </w: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Transmission</w:t>
            </w: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(in millions)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152.7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378.1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150.1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1,243.0</w:t>
            </w:r>
          </w:p>
        </w:tc>
        <w:tc>
          <w:tcPr>
            <w:tcW w:w="0" w:type="dxa"/>
            <w:vAlign w:val="bottom"/>
          </w:tcPr>
          <w:p>
            <w:pPr>
              <w:spacing w:after="0"/>
              <w:rPr>
                <w:sz w:val="1"/>
                <w:szCs w:val="1"/>
                <w:color w:val="auto"/>
              </w:rPr>
            </w:pPr>
          </w:p>
        </w:tc>
      </w:tr>
      <w:tr>
        <w:trPr>
          <w:trHeight w:val="213"/>
        </w:trPr>
        <w:tc>
          <w:tcPr>
            <w:tcW w:w="3260" w:type="dxa"/>
            <w:vAlign w:val="bottom"/>
          </w:tcPr>
          <w:p>
            <w:pPr>
              <w:ind w:left="100"/>
              <w:spacing w:after="0"/>
              <w:rPr>
                <w:sz w:val="20"/>
                <w:szCs w:val="20"/>
                <w:color w:val="auto"/>
              </w:rPr>
            </w:pPr>
            <w:r>
              <w:rPr>
                <w:rFonts w:ascii="Arial" w:cs="Arial" w:eastAsia="Arial" w:hAnsi="Arial"/>
                <w:sz w:val="16"/>
                <w:szCs w:val="16"/>
                <w:color w:val="auto"/>
              </w:rPr>
              <w:t>Percentage of total</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 (in millions)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0"/>
        </w:trPr>
        <w:tc>
          <w:tcPr>
            <w:tcW w:w="3260" w:type="dxa"/>
            <w:vAlign w:val="bottom"/>
          </w:tcPr>
          <w:p>
            <w:pPr>
              <w:ind w:left="100"/>
              <w:spacing w:after="0"/>
              <w:rPr>
                <w:sz w:val="20"/>
                <w:szCs w:val="20"/>
                <w:color w:val="auto"/>
              </w:rPr>
            </w:pPr>
            <w:r>
              <w:rPr>
                <w:rFonts w:ascii="Arial" w:cs="Arial" w:eastAsia="Arial" w:hAnsi="Arial"/>
                <w:sz w:val="16"/>
                <w:szCs w:val="16"/>
                <w:color w:val="auto"/>
              </w:rPr>
              <w:t>Percentage of total</w:t>
            </w:r>
          </w:p>
        </w:tc>
        <w:tc>
          <w:tcPr>
            <w:tcW w:w="160" w:type="dxa"/>
            <w:vAlign w:val="bottom"/>
          </w:tcPr>
          <w:p>
            <w:pPr>
              <w:spacing w:after="0"/>
              <w:rPr>
                <w:sz w:val="18"/>
                <w:szCs w:val="18"/>
                <w:color w:val="auto"/>
              </w:rPr>
            </w:pPr>
          </w:p>
        </w:tc>
        <w:tc>
          <w:tcPr>
            <w:tcW w:w="1600" w:type="dxa"/>
            <w:vAlign w:val="bottom"/>
            <w:gridSpan w:val="2"/>
          </w:tcPr>
          <w:p>
            <w:pPr>
              <w:ind w:left="112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86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8"/>
                <w:szCs w:val="18"/>
                <w:color w:val="auto"/>
              </w:rPr>
            </w:pPr>
          </w:p>
        </w:tc>
        <w:tc>
          <w:tcPr>
            <w:tcW w:w="1420" w:type="dxa"/>
            <w:vAlign w:val="bottom"/>
            <w:gridSpan w:val="2"/>
          </w:tcPr>
          <w:p>
            <w:pPr>
              <w:ind w:left="94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year ended December 31, 2020, we performed a qualitative assessment for our goodwill and indefinite-lived intangible assets by examining relevant events and circumstances that could have an effect on their fair values, such as: macroeconomic conditions, industry and market conditions, entity-specific events, financial performance and other relevant factors or events that could affect earnings and cash flows.</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Based on the results of the qualitative assessments for the year ended December 31, 2020, we performed quantitative testing for (i) three reporting units within our Oil and Gas operating segment and (ii) one reporting unit in the Communications segment. Factors considered by management in determining the reporting units for which quantitative assessments were performed included the effects of current or expected changes in market conditions on the future business outlook, the potential effects of the COVID-19 pandemic, success rates on new project awards and levels of operating activity.</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For the reporting units for which quantitative testing was performed, we estimated their fair values using a combination of market and income approaches.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and market conditions; and (iii) the impact of planned business and operational strategies. We believe the assumptions used in our quantitative goodwill impairment tests are reflective of the risks inherent in the business models of our reporting units and within our industry. Estimated discount rates were determined using the weighted average cost of capital for each reporting unit at the time of the analysis, taking into consideration the risks inherent within each reporting unit individually. Significant assumptions used in testing the reporting units included terminal values based on terminal growth rates of 2.5%, five to nine years of discounted cash flows prior to the terminal value, and discount rates ranging from 13.0% to 15.0%.</w:t>
      </w:r>
    </w:p>
    <w:p>
      <w:pPr>
        <w:spacing w:after="0" w:line="7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Based on the results of the quantitative assessment, the estimated fair values of the reporting unit within our Communications operating segment and the three reporting units within our Oil and Gas operating segment were determined to substantially exceed their carrying values. A 100 basis point increase in the discount rate would not have resulted in any of the reporting units’ carrying values exceeding their fair values.</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2020, we believe that the recorded balances of goodwill and indefinite-lived intangible assets are recoverable; however, significant changes in the assumptions or estimates used in our impairment analyses, such as a reduction in profitability and/or cash flows, could result in non-cash goodwill and indefinite-lived intangible asset impairment charges in future periods.</w:t>
      </w:r>
    </w:p>
    <w:p>
      <w:pPr>
        <w:spacing w:after="0" w:line="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See Note 1 - Business, Basis of Presentation and Significant Accounting Policies and Note 3 - Goodwill and Other Intangible Assets in the notes to the audited consolidated financial statements, which are incorporated by reference, for additional discussion.</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Our investment and strategic arrangements include equity interests in various business entities and participation in contractual joint ventures. 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(“adjusted cost basis”). This impairment evaluation considers a variety of factors, including the earnings performance of the related investments and the economic environment and market conditions in which the investees operate. Significant changes in any of these factors could result in impairment charges in future periods.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Income Taxes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provision for income taxes uses an effective tax rate based on annual pre-tax income, statutory tax rates, permanent tax differences and tax planning opportunities in the various jurisdictions in which we operate. Significant factors that can affect our annual effective tax rate include our assessment of certain tax matters, the location and amount of taxable earnings, changes in certain non-deductible expenses and expected credits. Although we believe our provision for income taxes is correct and the related assumptions are reasonable, the final outcome of tax matters could be materially different from what we currently anticipate, which could result in significant costs or benefits to us. See Note 12 - Income Taxes in the notes to the audited consolidated financial statements, which is incorporated by reference, for additional discussion.</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ordinary course of business, there is inherent uncertainty in quantifying income tax positions. We assess our income tax positions and record tax benefits for all years subject to examination based on our evaluation of the facts, circumstances and information available at the reporting date. For those tax positions where it is more likely than not that a tax benefit will be sustained, we have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our financial statements.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file income tax returns in numerous tax jurisdictions, including U.S. federal, most U.S. states and certain foreign jurisdictions.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4" w:name="page35"/>
    <w:bookmarkEnd w:id="34"/>
    <w:p>
      <w:pPr>
        <w:jc w:val="both"/>
        <w:spacing w:after="0" w:line="261" w:lineRule="auto"/>
        <w:rPr>
          <w:sz w:val="20"/>
          <w:szCs w:val="20"/>
          <w:color w:val="auto"/>
        </w:rPr>
      </w:pPr>
      <w:r>
        <w:rPr>
          <w:rFonts w:ascii="Arial" w:cs="Arial" w:eastAsia="Arial" w:hAnsi="Arial"/>
          <w:sz w:val="16"/>
          <w:szCs w:val="16"/>
          <w:color w:val="auto"/>
        </w:rPr>
        <w:t>Although we believe our calculations for tax returns are correct and the positions taken thereon are reasonable, the final outcome of income tax examinations could be materially different from our expectations and the estimates that are reflected in our consolidated financial statements, which could have a material effect on our results of operations, cash flows and liquidity.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Self-Insurance</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are self-insured up to the amount of our deductible for our insurance policies. Liabilities under our insurance programs are accrued based upon our estimate of the ultimate liability for claims, with assistance from third-party actuaries.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the determination of our liability in proportion to other parties and the number of incidents not reported. Accruals are based upon known facts and historical trends. Although we believe such accruals are adequate, a change in experience or actuarial assumptions could materially affect our results of operations in a particular period.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Litigation and Contingencies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Accruals for litigation and contingencies are based on our assessment, including advice of legal counsel, of the expected outcome of litigation or other dispute resolution proceedings and/or the expected resolution of contingencies.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we reassess potential liabilities related to pending claims and litigation and may revise our previous estimates, which could materially affect our results of operations in a given period.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Outlook</w:t>
      </w:r>
    </w:p>
    <w:p>
      <w:pPr>
        <w:spacing w:after="0" w:line="11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We believe that we are well-positioned to benefit from significant opportunities in each of our business segments. Please see Item 1 “Business - Industry Trends” for additional information on the outlook for the industries we serve and a detailed discussion of our market opportunities. Our 2021 results could be adversely affected by the matters discussed in the “Cautionary Statement Regarding Forward-Looking Statements,” Item 1A. “Risk Factors” and Item 3. “Legal Proceedings” of this Form 10-K.</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Fiscal Year Results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9"/>
          </w:tcPr>
          <w:p>
            <w:pPr>
              <w:jc w:val="right"/>
              <w:ind w:right="24"/>
              <w:spacing w:after="0"/>
              <w:rPr>
                <w:sz w:val="20"/>
                <w:szCs w:val="20"/>
                <w:color w:val="auto"/>
              </w:rPr>
            </w:pPr>
            <w:r>
              <w:rPr>
                <w:rFonts w:ascii="Arial" w:cs="Arial" w:eastAsia="Arial" w:hAnsi="Arial"/>
                <w:sz w:val="16"/>
                <w:szCs w:val="16"/>
                <w:b w:val="1"/>
                <w:bCs w:val="1"/>
                <w:color w:val="auto"/>
                <w:w w:val="93"/>
              </w:rPr>
              <w:t>For the Years Ended December 31,</w:t>
            </w: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6"/>
                <w:szCs w:val="16"/>
                <w:b w:val="1"/>
                <w:bCs w:val="1"/>
                <w:color w:val="auto"/>
                <w:w w:val="84"/>
              </w:rPr>
              <w:t>2018</w:t>
            </w:r>
          </w:p>
        </w:tc>
        <w:tc>
          <w:tcPr>
            <w:tcW w:w="200" w:type="dxa"/>
            <w:vAlign w:val="bottom"/>
            <w:tcBorders>
              <w:bottom w:val="single" w:sz="8" w:color="auto"/>
            </w:tcBorders>
          </w:tcPr>
          <w:p>
            <w:pPr>
              <w:spacing w:after="0"/>
              <w:rPr>
                <w:sz w:val="18"/>
                <w:szCs w:val="18"/>
                <w:color w:val="auto"/>
              </w:rPr>
            </w:pP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7,183.2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6,909.4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Costs of revenue, excluding depreciation and amortization</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5,270.9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83.4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6,070.2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84.5 %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5,939.3</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86.0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0.6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20.6</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0.3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intangible asset impairment</w:t>
            </w: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299.5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287.3</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4.2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(0.5)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(23.9)</w:t>
            </w:r>
          </w:p>
        </w:tc>
        <w:tc>
          <w:tcPr>
            <w:tcW w:w="1140" w:type="dxa"/>
            <w:vAlign w:val="bottom"/>
            <w:gridSpan w:val="4"/>
          </w:tcPr>
          <w:p>
            <w:pPr>
              <w:jc w:val="right"/>
              <w:spacing w:after="0"/>
              <w:rPr>
                <w:sz w:val="20"/>
                <w:szCs w:val="20"/>
                <w:color w:val="auto"/>
              </w:rPr>
            </w:pPr>
            <w:r>
              <w:rPr>
                <w:rFonts w:ascii="Arial" w:cs="Arial" w:eastAsia="Arial" w:hAnsi="Arial"/>
                <w:sz w:val="15"/>
                <w:szCs w:val="15"/>
                <w:color w:val="auto"/>
              </w:rPr>
              <w:t>(0.3) %</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(0.4)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(0.0 )%</w:t>
            </w:r>
          </w:p>
        </w:tc>
      </w:tr>
      <w:tr>
        <w:trPr>
          <w:trHeight w:val="199"/>
        </w:trPr>
        <w:tc>
          <w:tcPr>
            <w:tcW w:w="5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510.9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(1.6)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(1.5) %</w:t>
            </w:r>
          </w:p>
        </w:tc>
      </w:tr>
      <w:tr>
        <w:trPr>
          <w:trHeight w:val="199"/>
        </w:trPr>
        <w:tc>
          <w:tcPr>
            <w:tcW w:w="5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(0.0 )%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(0.0 )%</w:t>
            </w:r>
          </w:p>
        </w:tc>
      </w:tr>
      <w:tr>
        <w:trPr>
          <w:trHeight w:val="196"/>
        </w:trPr>
        <w:tc>
          <w:tcPr>
            <w:tcW w:w="5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MasTec, Inc.</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392.3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3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We review our operating results by reportable segment. See Note 13 - Segments and Related Information in the notes to the audited consolidated financial statements, which is incorporated by reference. Our reportable segments are: </w:t>
      </w:r>
      <w:r>
        <w:rPr>
          <w:rFonts w:ascii="Arial" w:cs="Arial" w:eastAsia="Arial" w:hAnsi="Arial"/>
          <w:sz w:val="14"/>
          <w:szCs w:val="14"/>
          <w:color w:val="auto"/>
        </w:rPr>
        <w:t>(1)</w:t>
      </w:r>
      <w:r>
        <w:rPr>
          <w:rFonts w:ascii="Arial" w:cs="Arial" w:eastAsia="Arial" w:hAnsi="Arial"/>
          <w:sz w:val="16"/>
          <w:szCs w:val="16"/>
          <w:color w:val="auto"/>
        </w:rPr>
        <w:t xml:space="preserve"> Communications; </w:t>
      </w:r>
      <w:r>
        <w:rPr>
          <w:rFonts w:ascii="Arial" w:cs="Arial" w:eastAsia="Arial" w:hAnsi="Arial"/>
          <w:sz w:val="14"/>
          <w:szCs w:val="14"/>
          <w:color w:val="auto"/>
        </w:rPr>
        <w:t>(2)</w:t>
      </w:r>
      <w:r>
        <w:rPr>
          <w:rFonts w:ascii="Arial" w:cs="Arial" w:eastAsia="Arial" w:hAnsi="Arial"/>
          <w:sz w:val="16"/>
          <w:szCs w:val="16"/>
          <w:color w:val="auto"/>
        </w:rPr>
        <w:t xml:space="preserve"> Clean Energy and Infrastructure; </w:t>
      </w:r>
      <w:r>
        <w:rPr>
          <w:rFonts w:ascii="Arial" w:cs="Arial" w:eastAsia="Arial" w:hAnsi="Arial"/>
          <w:sz w:val="14"/>
          <w:szCs w:val="14"/>
          <w:color w:val="auto"/>
        </w:rPr>
        <w:t>(3)</w:t>
      </w:r>
      <w:r>
        <w:rPr>
          <w:rFonts w:ascii="Arial" w:cs="Arial" w:eastAsia="Arial" w:hAnsi="Arial"/>
          <w:sz w:val="16"/>
          <w:szCs w:val="16"/>
          <w:color w:val="auto"/>
        </w:rPr>
        <w:t xml:space="preserve"> Oil and Gas; </w:t>
      </w:r>
      <w:r>
        <w:rPr>
          <w:rFonts w:ascii="Arial" w:cs="Arial" w:eastAsia="Arial" w:hAnsi="Arial"/>
          <w:sz w:val="14"/>
          <w:szCs w:val="14"/>
          <w:color w:val="auto"/>
        </w:rPr>
        <w:t>(4)</w:t>
      </w:r>
      <w:r>
        <w:rPr>
          <w:rFonts w:ascii="Arial" w:cs="Arial" w:eastAsia="Arial" w:hAnsi="Arial"/>
          <w:sz w:val="16"/>
          <w:szCs w:val="16"/>
          <w:color w:val="auto"/>
        </w:rPr>
        <w:t xml:space="preserve"> Electrical Transmission and </w:t>
      </w:r>
      <w:r>
        <w:rPr>
          <w:rFonts w:ascii="Arial" w:cs="Arial" w:eastAsia="Arial" w:hAnsi="Arial"/>
          <w:sz w:val="14"/>
          <w:szCs w:val="14"/>
          <w:color w:val="auto"/>
        </w:rPr>
        <w:t>(5)</w:t>
      </w:r>
      <w:r>
        <w:rPr>
          <w:rFonts w:ascii="Arial" w:cs="Arial" w:eastAsia="Arial" w:hAnsi="Arial"/>
          <w:sz w:val="16"/>
          <w:szCs w:val="16"/>
          <w:color w:val="auto"/>
        </w:rPr>
        <w:t xml:space="preserve">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10"/>
          </w:tcPr>
          <w:p>
            <w:pPr>
              <w:ind w:left="60"/>
              <w:spacing w:after="0"/>
              <w:rPr>
                <w:sz w:val="20"/>
                <w:szCs w:val="20"/>
                <w:color w:val="auto"/>
              </w:rPr>
            </w:pPr>
            <w:r>
              <w:rPr>
                <w:rFonts w:ascii="Arial" w:cs="Arial" w:eastAsia="Arial" w:hAnsi="Arial"/>
                <w:sz w:val="16"/>
                <w:szCs w:val="16"/>
                <w:b w:val="1"/>
                <w:bCs w:val="1"/>
                <w:color w:val="auto"/>
              </w:rPr>
              <w:t>For the Years Ended December 31,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07"/>
        </w:trPr>
        <w:tc>
          <w:tcPr>
            <w:tcW w:w="3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9"/>
          </w:tcPr>
          <w:p>
            <w:pPr>
              <w:jc w:val="center"/>
              <w:ind w:left="283"/>
              <w:spacing w:after="0"/>
              <w:rPr>
                <w:sz w:val="20"/>
                <w:szCs w:val="20"/>
                <w:color w:val="auto"/>
              </w:rPr>
            </w:pPr>
            <w:r>
              <w:rPr>
                <w:rFonts w:ascii="Arial" w:cs="Arial" w:eastAsia="Arial" w:hAnsi="Arial"/>
                <w:sz w:val="16"/>
                <w:szCs w:val="16"/>
                <w:b w:val="1"/>
                <w:bCs w:val="1"/>
                <w:color w:val="auto"/>
              </w:rPr>
              <w:t>EBITDA and EBITDA Margin</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212"/>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Reportable Segment: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18"/>
                <w:szCs w:val="18"/>
                <w:color w:val="auto"/>
              </w:rPr>
            </w:pPr>
          </w:p>
        </w:tc>
      </w:tr>
      <w:tr>
        <w:trPr>
          <w:trHeight w:val="19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2,556.8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r>
      <w:tr>
        <w:trPr>
          <w:trHeight w:val="321"/>
        </w:trPr>
        <w:tc>
          <w:tcPr>
            <w:tcW w:w="330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1,526.9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1,034.3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665.0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80.4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5.3 %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40.1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3.9 %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6.1 %</w:t>
            </w: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1,789.8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13.7 %</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Electrical Transmission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506.5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397.3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29.5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2.6 %</w:t>
            </w: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NM</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NM</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104"/>
              <w:spacing w:after="0"/>
              <w:rPr>
                <w:sz w:val="20"/>
                <w:szCs w:val="20"/>
                <w:color w:val="auto"/>
              </w:rPr>
            </w:pPr>
            <w:r>
              <w:rPr>
                <w:rFonts w:ascii="Arial" w:cs="Arial" w:eastAsia="Arial" w:hAnsi="Arial"/>
                <w:sz w:val="15"/>
                <w:szCs w:val="15"/>
                <w:color w:val="auto"/>
              </w:rPr>
              <w:t>—</w:t>
            </w: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r>
      <w:tr>
        <w:trPr>
          <w:trHeight w:val="193"/>
        </w:trPr>
        <w:tc>
          <w:tcPr>
            <w:tcW w:w="3300" w:type="dxa"/>
            <w:vAlign w:val="bottom"/>
          </w:tcPr>
          <w:p>
            <w:pPr>
              <w:ind w:left="140"/>
              <w:spacing w:after="0"/>
              <w:rPr>
                <w:sz w:val="20"/>
                <w:szCs w:val="20"/>
                <w:color w:val="auto"/>
              </w:rPr>
            </w:pPr>
            <w:r>
              <w:rPr>
                <w:rFonts w:ascii="Arial" w:cs="Arial" w:eastAsia="Arial" w:hAnsi="Arial"/>
                <w:sz w:val="16"/>
                <w:szCs w:val="16"/>
                <w:color w:val="auto"/>
              </w:rPr>
              <w:t>Consolidated Results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6,321.0</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7,183.2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6,909.4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782.5</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12.4 %</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823.4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11.5 %</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660.8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9.6 %</w:t>
            </w: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NM - Percentage is not meaningful</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Years Ended December 31, 2020 and 2019</w:t>
      </w:r>
    </w:p>
    <w:p>
      <w:pPr>
        <w:spacing w:after="0" w:line="11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4"/>
          <w:szCs w:val="14"/>
          <w:b w:val="1"/>
          <w:bCs w:val="1"/>
          <w:i w:val="1"/>
          <w:iCs w:val="1"/>
          <w:color w:val="auto"/>
        </w:rPr>
        <w:t>Revenue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year ended December 31, 2020, consolidated revenue totaled $6,321 million as compared with $7,183 million in 2019, a decrease of $862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12%. Revenue increases in our Clean Energy and Infrastructure segment of $493 million, or 48%, and in our Electrical Transmission segment of $93 million, or 22%, were offset by decreases in revenue in our Oil and Gas segment of $1,327 million, or 43%, and in our Communications segment of $107 million, or 4%. Acquisitions contributed $230 million in revenue for the year ended December 31, 2020 and organic revenue decreased by approximately $1,092 million, or 15%, as compared with 2019.</w:t>
      </w:r>
    </w:p>
    <w:p>
      <w:pPr>
        <w:spacing w:after="0" w:line="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$2,512 million in 2020, as compared with $2,619 million in 2019, a decrease of $107 million, or 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Acquisitions contributed $156 million of revenue for the year ended December 31, 2020 and organic revenue decreased by approximately $262 million, or 10%, as compared with 2019. The decrease in organic revenue was primarily driven by a decrease in install-to-the-home and wireless revenue, including from the effects of the COVID-19 pandemic, offset, in part, by higher levels of wireline/fiber revenue.</w:t>
      </w:r>
    </w:p>
    <w:p>
      <w:pPr>
        <w:spacing w:after="0" w:line="75"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5"/>
          <w:szCs w:val="15"/>
          <w:b w:val="1"/>
          <w:bCs w:val="1"/>
          <w:i w:val="1"/>
          <w:iCs w:val="1"/>
          <w:color w:val="auto"/>
        </w:rPr>
        <w:t>Clean Energy and Infrastructure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Clean Energy and Infrastructure revenue was $1,527 million in 2020, as compared with $1,034 million in 2019,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 of $493 million, or 48%. Organic revenue increased by approximately $418 million, or 40%, as compared with 2019, and acquisitions contributed $74 million of revenue for the year ended December 31, 2020. The increase in organic revenue was driven primarily by higher levels of clean energy project activity.</w:t>
      </w:r>
    </w:p>
    <w:p>
      <w:pPr>
        <w:spacing w:after="0" w:line="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$1,790 million in 2020, as compared with $3,117 million in 2019, a decrease of approximately $1,327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43%. The expected decrease was primarily due to lower levels of project activity and mix, including the effects of regulatory disruptions on certain pipeline construction activity.</w:t>
      </w:r>
    </w:p>
    <w:p>
      <w:pPr>
        <w:spacing w:after="0" w:line="7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$507 million in 2020, as compared with $414 million in 2019, an increase of $93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22%, due primarily to higher levels of project activity and timing.</w:t>
      </w:r>
    </w:p>
    <w:p>
      <w:pPr>
        <w:spacing w:after="0" w:line="6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decreased by $799 million, or 13%, to $5,271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in 2020 from $6,070 million in 2019. Lower levels of revenue contributed a decrease in costs of revenue, excluding depreciation and amortization, of $729 million, and improved productivity contributed a decrease of approximately $71 million. Costs of revenue, excluding depreciation and amortization, as a percentage of revenue decreased by approximately 110 basis points, from 84.5% of revenue in 2019 to 83.4% of revenue in 2020. The basis point decrease was primarily due to project efficiencies, close-outs and mix across multiple segments, net, offset, in part by lower levels of revenue and increased costs related to the COVID-19 pandemic.</w:t>
      </w:r>
    </w:p>
    <w:p>
      <w:pPr>
        <w:spacing w:after="0" w:line="68"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b w:val="1"/>
          <w:bCs w:val="1"/>
          <w:i w:val="1"/>
          <w:iCs w:val="1"/>
          <w:color w:val="auto"/>
        </w:rPr>
        <w:t xml:space="preserve">Depreciation. </w:t>
      </w:r>
      <w:r>
        <w:rPr>
          <w:rFonts w:ascii="Arial" w:cs="Arial" w:eastAsia="Arial" w:hAnsi="Arial"/>
          <w:sz w:val="14"/>
          <w:szCs w:val="14"/>
          <w:color w:val="auto"/>
        </w:rPr>
        <w:t>Depreciation was $259 million, or 4.1% of revenue in 2020, as compared with $212 million, or 3.0% of revenue in 2019, an increase of $46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22%. Acquisitions contributed $7 million of depreciation for the year ended December 31, 2020 and organic depreciation increased by $39 million due to capital spending in support of expected future levels of activity. As a percentage of revenue, depreciation increased by approximately 110 basis points due, in part, to lower levels of revenue.</w:t>
      </w:r>
    </w:p>
    <w:p>
      <w:pPr>
        <w:spacing w:after="0" w:line="4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Amortization of intangible assets. </w:t>
      </w:r>
      <w:r>
        <w:rPr>
          <w:rFonts w:ascii="Arial" w:cs="Arial" w:eastAsia="Arial" w:hAnsi="Arial"/>
          <w:sz w:val="16"/>
          <w:szCs w:val="16"/>
          <w:color w:val="auto"/>
        </w:rPr>
        <w:t>Amortization of intangible assets was $39 million, or 0.6% of revenue in 2020, as compared with $23 million, or 0.3% of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2019, an increase of $16 million, or 69%. Acquisitions contributed $11 million of intangible asset amortization for the year ended December 31, 2020. As a percentage of revenue, amortization of intangible assets increased by approximately 30 basis points due, in part, to lower levels of revenue, as well as the effects of acquisitions and a change in amortization policy for certain intangible assets. See Note 3 - Goodwill and Other Intangible Assets in the notes to the audited consolidated financial statements, which is incorporated by reference, for additional information.</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Goodwill and intangible asset impairment. </w:t>
      </w:r>
      <w:r>
        <w:rPr>
          <w:rFonts w:ascii="Arial" w:cs="Arial" w:eastAsia="Arial" w:hAnsi="Arial"/>
          <w:sz w:val="16"/>
          <w:szCs w:val="16"/>
          <w:color w:val="auto"/>
        </w:rPr>
        <w:t>We did not incur goodwill or intangible asset impairment in 2020. In 2019, we incurred $3 million of goodwill impairment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a reporting unit in our Oil and Gas segment. For additional details, see Note 3 - Goodwill and Other Intangible Assets in the notes to the audited consolidated financial statements, which is incorporated by reference.</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were $319 million or 5.0% of revenue in 2020, as compared with $300 million, or 4.2%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 2019, an increase of $20 million, or 7%. Acquisitions contributed approximately $15 million of general and administrative expenses for the year ended December 31, 2020. Excluding the effects of acquisitions, administrative expenses increased by approximately $5 million as compared with 2019, primarily due to the effect of timing of legal, arbitral and settlement matters and provisions for potential credit losses, offset, in part, by reductions in compensation, travel and professional fee expense. General and administrative expenses as 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6" w:name="page37"/>
    <w:bookmarkEnd w:id="36"/>
    <w:p>
      <w:pPr>
        <w:jc w:val="both"/>
        <w:spacing w:after="0" w:line="275" w:lineRule="auto"/>
        <w:rPr>
          <w:sz w:val="20"/>
          <w:szCs w:val="20"/>
          <w:color w:val="auto"/>
        </w:rPr>
      </w:pPr>
      <w:r>
        <w:rPr>
          <w:rFonts w:ascii="Arial" w:cs="Arial" w:eastAsia="Arial" w:hAnsi="Arial"/>
          <w:sz w:val="16"/>
          <w:szCs w:val="16"/>
          <w:color w:val="auto"/>
        </w:rPr>
        <w:t>percentage of revenue increased by approximately 90 basis points as compared with 2019 due to a combination of lower levels of revenue and higher overall general and administrative expenses, as described above.</w:t>
      </w:r>
    </w:p>
    <w:p>
      <w:pPr>
        <w:spacing w:after="0" w:line="6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$60 million, or 0.9% of revenue in 2020, as compared with $77 million, or 1.1% of revenue in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reduction of $17 million, or 23%. The decrease in interest expense, net, related primarily to a reduction in interest expense from credit facility activity as well as a decrease in discount charges on financing arrangements for trade receivables, offset, in part, by an increase in interest expense on senior notes and mandatorily redeemable non-controlling interests, as well as the effect of a 2019 arbitration award, under which we recovered $5 million in interest costs. Interest expense from credit facility activity decreased by approximately $22 million as compared with the same period in the prior year due to a combination of lower interest rates and lower average balances. Interest expense on senior notes increased in 2020 due to the third quarter 2020 issuance of $600 million aggregate principal amount of 4.50% Senior Notes, offset by the redemption of $400 million aggregate principal amount of 4.875% Senior Notes.</w:t>
      </w:r>
    </w:p>
    <w:p>
      <w:pPr>
        <w:spacing w:after="0" w:line="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2020, equity in earnings from unconsolidated affiliates totaled $30 million, as compared with $27 million in 2019, and related primarily to our investments in the Waha JVs, and to a lesser extent, to investments in certain telecommunications entities.</w:t>
      </w:r>
    </w:p>
    <w:p>
      <w:pPr>
        <w:spacing w:after="0" w:line="7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6"/>
          <w:szCs w:val="16"/>
          <w:b w:val="1"/>
          <w:bCs w:val="1"/>
          <w:i w:val="1"/>
          <w:iCs w:val="1"/>
          <w:color w:val="auto"/>
        </w:rPr>
        <w:t>Loss on extinguishment of debt</w:t>
      </w:r>
      <w:r>
        <w:rPr>
          <w:rFonts w:ascii="Arial" w:cs="Arial" w:eastAsia="Arial" w:hAnsi="Arial"/>
          <w:sz w:val="16"/>
          <w:szCs w:val="16"/>
          <w:color w:val="auto"/>
        </w:rPr>
        <w:t>. We incurred a loss on debt extinguishment of approximately $6 million for the year ended December 31, 2020 in connection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quarter 2020 repurchase and redemption of our 4.875% Senior Notes, composed of approximately $3 million of early repayment premiums and $2 million from the write-off of unamortized deferred financing costs.</w:t>
      </w:r>
    </w:p>
    <w:p>
      <w:pPr>
        <w:spacing w:after="0" w:line="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consists primarily of gains or losses from sales of, or changes in estimated recoveries from,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certain legal/other settlements and gains or losses from changes to estimated earn-out accruals. Other income, net, was $27 million in 2020, as compared with other expense, net, of $14 million in 2019. For the year ended December 31, 2020, other income, net, included approximately $16 million of gains on sales of equipment, net, and $12 million, net, of other income, including from certain investments and strategic arrangements, partially offset by $2 million of expense from changes to estimated earn-out accruals, net. For the year ended December 31, 2019, other expense, net, included $51 million of expense from changes to estimated earn-out accruals, net, offset, in part, by $19 million of other income from an arbitration award, $14 million of gains on sales of equipment, net, and $3 million of other income, including from the settlement of an investment and gains on sales of other assets.</w:t>
      </w:r>
    </w:p>
    <w:p>
      <w:pPr>
        <w:spacing w:after="0" w:line="8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5"/>
          <w:szCs w:val="15"/>
          <w:b w:val="1"/>
          <w:bCs w:val="1"/>
          <w:i w:val="1"/>
          <w:iCs w:val="1"/>
          <w:color w:val="auto"/>
        </w:rPr>
        <w:t xml:space="preserve">Provision for income taxes. </w:t>
      </w:r>
      <w:r>
        <w:rPr>
          <w:rFonts w:ascii="Arial" w:cs="Arial" w:eastAsia="Arial" w:hAnsi="Arial"/>
          <w:sz w:val="15"/>
          <w:szCs w:val="15"/>
          <w:color w:val="auto"/>
        </w:rPr>
        <w:t>Income tax expense was $102 million in 2020, as compared with $117 million in 2019. Pre-tax income decreased to $425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year ended December 31, 2020 from $511 million in 2019. The decrease in income tax expense from lower pre-tax income was offset, in part, by a higher effective tax rate, which increased to 24.1% for the year ended December 31, 2020 from 22.9% in 2019. Income tax expense in 2020 included </w:t>
      </w:r>
      <w:r>
        <w:rPr>
          <w:rFonts w:ascii="Arial" w:cs="Arial" w:eastAsia="Arial" w:hAnsi="Arial"/>
          <w:sz w:val="16"/>
          <w:szCs w:val="16"/>
          <w:color w:val="auto"/>
        </w:rPr>
        <w:t>a benef</w:t>
      </w:r>
      <w:r>
        <w:rPr>
          <w:rFonts w:ascii="Arial" w:cs="Arial" w:eastAsia="Arial" w:hAnsi="Arial"/>
          <w:sz w:val="15"/>
          <w:szCs w:val="15"/>
          <w:color w:val="auto"/>
        </w:rPr>
        <w:t>it of approximately $10 million related to the release of certain valuation allowances on Canadian deferred tax assets that were no longer necessary, as well as the benefit of adjustments from the finalization of our 2019 tax returns. Income tax expense in 2019 included the favorable effects of reduced foreign earnings, the recognition of approximately $4 million of excess tax benefits from share-based awards, adjustments from the finalization of our 2018 tax returns and the effects of tax rate changes.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$270 million, or 10.7% of revenue in 2020, as compared with $209 million, or 8.0%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in 2019, an increase of $61 million, or 29%. As a percentage of revenue, EBITDA increased by approximately 280 basis points, or $70 million, due primarily to project efficiencies and mix. The increase in EBITDA from improved EBITDA margins was offset, in part, by the negative effect from lower levels of revenue, which contributed a decrease in EBITDA of approximately $8 million.</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Clean Energy and Infrastructure Segment. </w:t>
      </w:r>
      <w:r>
        <w:rPr>
          <w:rFonts w:ascii="Arial" w:cs="Arial" w:eastAsia="Arial" w:hAnsi="Arial"/>
          <w:sz w:val="16"/>
          <w:szCs w:val="16"/>
          <w:color w:val="auto"/>
        </w:rPr>
        <w:t>EBITDA for our Clean Energy and Infrastructure segment was $80 million, or 5.3% of revenue, in 2020,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$40 million, or 3.9% of revenue in 2019, for an increase in EBITDA of $40 million, or 100%. As a percentage of revenue, segment EBITDA increased by approximately 140 basis points, or $21 million, due primarily to a combination of improved project efficiencies, close-outs and mix. Higher levels of revenue contributed an increase in EBITDA of approximately $19 million.</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$511 million, or 28.5% of revenue in 2020, as compared with $634 million, or 20.3% of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2019, a decrease of approximately $123 million, or 19%. Lower levels of revenue contributed a decrease in EBITDA of $270 million, whereas improved productivity contributed an increase of approximately $147 million. EBITDA margins increased by approximately 820 basis points, due primarily to improved project efficiencies, close-outs and mix.</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$15 million, or 2.9% of revenue in 2020, as compared with $30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7.1% of revenue in 2019, a decrease in EBITDA of approximately $15 million, or 49%. As a percentage of revenue, EBITDA decreased by approximately 420 basis points, or $21 million, due primarily to reduced project efficiencies, close-outs and mix. Higher levels of revenue contributed an increase in EBITDA of approximately $7 million.</w:t>
      </w:r>
    </w:p>
    <w:p>
      <w:pPr>
        <w:spacing w:after="0" w:line="79"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totaled $31 million and $27 million for the years ended December 31, 2020 and 2019, respectively, an increase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$4 million, or 16%. Other segment EBITDA related primarily to equity in earnings from our investment in the Waha JVs.</w:t>
      </w:r>
    </w:p>
    <w:p>
      <w:pPr>
        <w:spacing w:after="0" w:line="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$125 million in 2020 as compared with EBITDA of negative $116 million in 2019, for a decrease in EBITDA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$9 million. Corporate EBITDA in 2020 included approximately $6 million of debt extinguishment losses and $2 million of expense from changes to estimated earn-out accruals, net, partially offset by approximately $11 million of income, net, from certain investments and strategic arrangements. Corporate EBITDA in 2019 included $51 million of expense from changes to estimated earn-out accruals, net, and $3 million of intangible asset impairment related to changes in expected customer pre-qualification assets, partially offset by approximately $25 million of income and recovery of costs from a second quarter 2019 arbitration award and $2 million of other income, including from the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6"/>
          <w:szCs w:val="16"/>
          <w:color w:val="auto"/>
        </w:rPr>
        <w:t>settlement of an investment. Excluding the effects of these items, other corporate expenses for the year ended December 31, 2020 increased by approximately $39 million as compared with the prior year, primarily due to the effects of legal and settlement matter timing and share-based compensation expense, partially offset by a reduction in travel expense and professional fees.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Years Ended December 31, 2019 and 2018</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Refer to Item 7, “Management’s Discussion and Analysis of Financial Condition and Results of Operations - Comparison of Years Ended December 31, 2019 and 2018” of the Company’s 2019 Annual Report on Form 10-K (“the 2019 Form 10-K”) for a comparison of results for the years ended December 31, 2019 and 2018, which discussion is incorporated herein by reference.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foreign operations are primarily in Canada and, to a lesser extent, in Mexico and the Caribbean. See Note 13 - Segments and Related Information in the notes to the audited consolidated financial statements, which is incorporated by reference.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amortization of intangible assets; the loss on debt extinguishment from the redemption of our 4.875% Senior Notes; goodwill and intangible asset impairment; project results from a proportionately consolidated non-controlled Canadian joint venture that was underway when we acquired a Canadian business in 2014, and the sole activity of which involved the construction of a bridge, a business in which we do not otherwise engage, is managed by a third party, and for which we have minimal direct construction involvement and which joint venture automatically terminates upon completion of the project; and, for Adjusted Net Income and Adjusted Diluted Earnings Per Share, the tax effects of the adjusted items, including non-cash stock based compensation expense, and the effects of changes in statutory tax rates, including the effects of the 2017 Tax Act.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We believe that these adjusted measures provide a baseline for analyzing trends in our underlying business.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presents a reconciliation of net income to EBITDA and Adjusted EBITDA in dollar and percentage of revenue terms, for the years indicated.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(dollar amounts in millions) may contain slight summation differences due to rounding.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EBITDA Reconciliation:</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w w:val="84"/>
              </w:rPr>
              <w:t>2018</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3"/>
        </w:trPr>
        <w:tc>
          <w:tcPr>
            <w:tcW w:w="542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77.0</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82.6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r>
      <w:tr>
        <w:trPr>
          <w:trHeight w:val="213"/>
        </w:trPr>
        <w:tc>
          <w:tcPr>
            <w:tcW w:w="54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212.5</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192.3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r>
      <w:tr>
        <w:trPr>
          <w:trHeight w:val="20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660.8</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213"/>
        </w:trPr>
        <w:tc>
          <w:tcPr>
            <w:tcW w:w="5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3"/>
        </w:trPr>
        <w:tc>
          <w:tcPr>
            <w:tcW w:w="542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and intangible asset impairment</w:t>
            </w: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r>
      <w:tr>
        <w:trPr>
          <w:trHeight w:val="213"/>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Project results from non-controlled joint venture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(0.0 )%</w:t>
            </w:r>
          </w:p>
        </w:tc>
        <w:tc>
          <w:tcPr>
            <w:tcW w:w="80" w:type="dxa"/>
            <w:vAlign w:val="bottom"/>
          </w:tcPr>
          <w:p>
            <w:pPr>
              <w:spacing w:after="0"/>
              <w:rPr>
                <w:sz w:val="18"/>
                <w:szCs w:val="18"/>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721.0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773"/>
        </w:trPr>
        <w:tc>
          <w:tcPr>
            <w:tcW w:w="5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78"/>
              </w:rPr>
              <w:t>37</w:t>
            </w: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08"/>
        </w:trPr>
        <w:tc>
          <w:tcPr>
            <w:tcW w:w="5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years indicated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10"/>
        </w:trPr>
        <w:tc>
          <w:tcPr>
            <w:tcW w:w="5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w w:val="84"/>
              </w:rPr>
              <w:t>2018</w:t>
            </w:r>
          </w:p>
        </w:tc>
        <w:tc>
          <w:tcPr>
            <w:tcW w:w="200" w:type="dxa"/>
            <w:vAlign w:val="bottom"/>
            <w:tcBorders>
              <w:bottom w:val="single" w:sz="8" w:color="auto"/>
            </w:tcBorders>
          </w:tcPr>
          <w:p>
            <w:pPr>
              <w:spacing w:after="0"/>
              <w:rPr>
                <w:sz w:val="18"/>
                <w:szCs w:val="18"/>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40" w:type="dxa"/>
            <w:vAlign w:val="bottom"/>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16.4</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40" w:type="dxa"/>
            <w:vAlign w:val="bottom"/>
          </w:tcPr>
          <w:p>
            <w:pPr>
              <w:ind w:left="140"/>
              <w:spacing w:after="0"/>
              <w:rPr>
                <w:sz w:val="20"/>
                <w:szCs w:val="20"/>
                <w:color w:val="auto"/>
              </w:rPr>
            </w:pPr>
            <w:r>
              <w:rPr>
                <w:rFonts w:ascii="Arial" w:cs="Arial" w:eastAsia="Arial" w:hAnsi="Arial"/>
                <w:sz w:val="16"/>
                <w:szCs w:val="16"/>
                <w:color w:val="auto"/>
              </w:rPr>
              <w:t>Goodwill and intangible asset impairment</w:t>
            </w:r>
          </w:p>
        </w:tc>
        <w:tc>
          <w:tcPr>
            <w:tcW w:w="220" w:type="dxa"/>
            <w:vAlign w:val="bottom"/>
          </w:tcPr>
          <w:p>
            <w:pPr>
              <w:spacing w:after="0"/>
              <w:rPr>
                <w:sz w:val="18"/>
                <w:szCs w:val="18"/>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47.7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207"/>
        </w:trPr>
        <w:tc>
          <w:tcPr>
            <w:tcW w:w="54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810.0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843.2</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11.7 %</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721.0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Reportable Segment:</w:t>
            </w: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r>
      <w:tr>
        <w:trPr>
          <w:trHeight w:val="213"/>
        </w:trPr>
        <w:tc>
          <w:tcPr>
            <w:tcW w:w="5440" w:type="dxa"/>
            <w:vAlign w:val="bottom"/>
          </w:tcPr>
          <w:p>
            <w:pPr>
              <w:ind w:left="140"/>
              <w:spacing w:after="0"/>
              <w:rPr>
                <w:sz w:val="20"/>
                <w:szCs w:val="20"/>
                <w:color w:val="auto"/>
              </w:rPr>
            </w:pPr>
            <w:r>
              <w:rPr>
                <w:rFonts w:ascii="Arial" w:cs="Arial" w:eastAsia="Arial" w:hAnsi="Arial"/>
                <w:sz w:val="16"/>
                <w:szCs w:val="16"/>
                <w:color w:val="auto"/>
              </w:rPr>
              <w:t>Communications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208.8</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290.4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Clean Energy and Infrastructure</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40" w:type="dxa"/>
            <w:vAlign w:val="bottom"/>
          </w:tcPr>
          <w:p>
            <w:pPr>
              <w:ind w:left="140"/>
              <w:spacing w:after="0"/>
              <w:rPr>
                <w:sz w:val="20"/>
                <w:szCs w:val="20"/>
                <w:color w:val="auto"/>
              </w:rPr>
            </w:pPr>
            <w:r>
              <w:rPr>
                <w:rFonts w:ascii="Arial" w:cs="Arial" w:eastAsia="Arial" w:hAnsi="Arial"/>
                <w:sz w:val="16"/>
                <w:szCs w:val="16"/>
                <w:color w:val="auto"/>
              </w:rPr>
              <w:t>Oil and Gas</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634.2</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20.3 %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451.6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Electrical Transmission</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40" w:type="dxa"/>
            <w:vAlign w:val="bottom"/>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r>
      <w:tr>
        <w:trPr>
          <w:trHeight w:val="207"/>
        </w:trPr>
        <w:tc>
          <w:tcPr>
            <w:tcW w:w="54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843.2</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11.7 %</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721.0</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NM - Percentage is not meaningful</w:t>
      </w:r>
    </w:p>
    <w:p>
      <w:pPr>
        <w:spacing w:after="0" w:line="11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 Beginning in 2020, our computation of Adjusted Net Income includes the effect of intangible asset amortization. We believe this presentation better represents our adjusted results due to the non-operational nature of intangible asset amortization and its inherent volatility, as acquisition activity varies from period to period. We also believe this presentation is common practice in our industry and improves comparability of our results with those of our peers, although each company’s definitions of these adjusted measures may vary as they are not standardized and should be used in light of the provided reconciliations. Accordingly, all prior year periods have been updated to conform with the current year presentation.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w w:val="92"/>
              </w:rPr>
              <w:t>For the Years Ended December 31,</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Net Income (in</w:t>
            </w:r>
          </w:p>
        </w:tc>
        <w:tc>
          <w:tcPr>
            <w:tcW w:w="200" w:type="dxa"/>
            <w:vAlign w:val="bottom"/>
          </w:tcPr>
          <w:p>
            <w:pPr>
              <w:spacing w:after="0"/>
              <w:rPr>
                <w:sz w:val="13"/>
                <w:szCs w:val="13"/>
                <w:color w:val="auto"/>
              </w:rPr>
            </w:pPr>
          </w:p>
        </w:tc>
        <w:tc>
          <w:tcPr>
            <w:tcW w:w="90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92"/>
              </w:rPr>
              <w:t>Diluted</w:t>
            </w:r>
          </w:p>
        </w:tc>
        <w:tc>
          <w:tcPr>
            <w:tcW w:w="10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Net Income (in</w:t>
            </w:r>
          </w:p>
        </w:tc>
        <w:tc>
          <w:tcPr>
            <w:tcW w:w="1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5"/>
              </w:rPr>
              <w:t>Diluted</w:t>
            </w:r>
          </w:p>
        </w:tc>
        <w:tc>
          <w:tcPr>
            <w:tcW w:w="12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Net Income (in</w:t>
            </w:r>
          </w:p>
        </w:tc>
        <w:tc>
          <w:tcPr>
            <w:tcW w:w="200" w:type="dxa"/>
            <w:vAlign w:val="bottom"/>
          </w:tcPr>
          <w:p>
            <w:pPr>
              <w:spacing w:after="0"/>
              <w:rPr>
                <w:sz w:val="13"/>
                <w:szCs w:val="13"/>
                <w:color w:val="auto"/>
              </w:rPr>
            </w:pPr>
          </w:p>
        </w:tc>
        <w:tc>
          <w:tcPr>
            <w:tcW w:w="92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95"/>
              </w:rPr>
              <w:t>Diluted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Earnings Per</w:t>
            </w:r>
          </w:p>
        </w:tc>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3"/>
              </w:rPr>
              <w:t>Earnings Per</w:t>
            </w:r>
          </w:p>
        </w:tc>
        <w:tc>
          <w:tcPr>
            <w:tcW w:w="1220" w:type="dxa"/>
            <w:vAlign w:val="bottom"/>
            <w:gridSpan w:val="3"/>
            <w:vMerge w:val="continue"/>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Earnings Per</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3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U.S. GAAP measure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53"/>
        </w:trPr>
        <w:tc>
          <w:tcPr>
            <w:tcW w:w="40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stock-based compensation expense</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53"/>
        </w:trPr>
        <w:tc>
          <w:tcPr>
            <w:tcW w:w="40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Goodwill and intangible asset impairment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Project results from non-controlled joint venture</w:t>
            </w: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color w:val="auto"/>
              </w:rPr>
              <w:t>Total adjustments, pre-tax</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0.90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60"/>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non-U.S. GAAP measure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hanging="412"/>
        <w:spacing w:after="0" w:line="249" w:lineRule="auto"/>
        <w:tabs>
          <w:tab w:leader="none" w:pos="354"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tax effect of the adjusted items that are subject to tax, including the tax effects of non-cash stock-based compensation expense, which for the years ended December 31, 2020, 2019 and 2018, included net tax benefits of $0.5 million, $3.9 million and $1.6 million, respectively, from the vesting of share-based payment awards. Tax effects are determined based on the tax treatment of the related item, the incremental statutory tax rate of the jurisdictions pertaining to the adjustment, and their effect on pre-tax income. For the years ended December 31, 2020, 2019 and 2018, our consolidated effective tax rates, as reported, were 24.1%, 22.9% and 29.0%, respectively, and as adjusted, including the effects of intangible asset amortization, as discussed above, were 23.4%, 24.9%, and 29.0%, respectively.</w:t>
      </w:r>
    </w:p>
    <w:p>
      <w:pPr>
        <w:spacing w:after="0" w:line="28" w:lineRule="exact"/>
        <w:rPr>
          <w:rFonts w:ascii="Arial" w:cs="Arial" w:eastAsia="Arial" w:hAnsi="Arial"/>
          <w:sz w:val="14"/>
          <w:szCs w:val="14"/>
          <w:color w:val="auto"/>
        </w:rPr>
      </w:pPr>
    </w:p>
    <w:p>
      <w:pPr>
        <w:ind w:left="420" w:hanging="412"/>
        <w:spacing w:after="0" w:line="273" w:lineRule="auto"/>
        <w:tabs>
          <w:tab w:leader="none" w:pos="3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year ended December 31, 2020, includes the effect of changes in state tax rates and for the year ended December 31, 2019, includes the effects of changes in Canadian provincial statutory tax rates, as well as changes in state tax rates. For the year ended December 31, 2018, relates primarily to the effects of the 2017 Tax Act.</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5"/>
          <w:szCs w:val="15"/>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investments and other arrangements from time to time, and we may consider opportunities to borrow additional funds, which may include borrowings under our Credit Facility or debt issuances, or to refinance or retire outstanding debt, or repurchase additional shares of our outstanding common stock in the future under share repurchase authorizations, any of which may require our use of cash. See Note 7 - Debt in the notes to the audited consolidated financial statements in this Form 10-K, which is incorporated by reference, for details of our $600 million Private Offering of 4.50% Senior Notes and the redemption of our 4.875% Senior Notes during the third quarter of 2020.</w:t>
      </w:r>
    </w:p>
    <w:p>
      <w:pPr>
        <w:spacing w:after="0" w:line="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Capital Expenditures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2020, we spent approximately $214 million on capital expenditures, or $177 million net of asset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disposals, and incurred approximately $114 million of equipment purchases under finance leases. We estimate that we will spend approximately $150 million on capital expenditures, or approximately $100 million, net of asset disposals, in 2021, and expect to incur approximately $120 million to $140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b w:val="1"/>
          <w:bCs w:val="1"/>
          <w:i w:val="1"/>
          <w:iCs w:val="1"/>
          <w:color w:val="auto"/>
        </w:rPr>
        <w:t>Acquisitions and Earn-Out Liabilities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typically utilize cash for business acquisitions and other strategic arrangements, and for the year ended December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2020, we used $25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acquisition-related contingent consideration and other liabilities as of December 31, 2020 was approximately $135 million. Of this amount, $48 million represents the liability for earned amounts. The remainder is management’s estimate of acquisition-related contingent consideration and other liabilities that are contingent upon future performance. For the years ended December 31, 2020, 2019 and 2018, we made payments of $50 million, $35 million and $23 million, respectively, related to earn-out obligations. In the first quarter of 2021, we acquired a heavy civil infrastructure construction company that will be included within our Clean Energy and Infrastructure segment and a pipeline integrity and gas distribution contractor that will be included in our Oil and Gas segment for an aggregate purchase price of approximately $110 million in cash.</w:t>
      </w:r>
    </w:p>
    <w:p>
      <w:pPr>
        <w:spacing w:after="0" w:line="6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For the year ended December 31, 2020</w:t>
      </w:r>
      <w:r>
        <w:rPr>
          <w:rFonts w:ascii="Arial" w:cs="Arial" w:eastAsia="Arial" w:hAnsi="Arial"/>
          <w:sz w:val="16"/>
          <w:szCs w:val="16"/>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tax payments, net of tax refunds, were approximately $65 million, whereas in 2019, tax payments, net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tax refunds were approximately $106 million. The decrease in tax payments, net of refunds, in 2020 was largely related to lower taxable income as compared with 2019. In 2018, tax refunds, net of tax payments were approximately $22 million. Our tax payments vary with changes in taxable income and earnings.</w:t>
      </w:r>
    </w:p>
    <w:p>
      <w:pPr>
        <w:spacing w:after="0" w:line="5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Working Capital. </w:t>
      </w:r>
      <w:r>
        <w:rPr>
          <w:rFonts w:ascii="Arial" w:cs="Arial" w:eastAsia="Arial" w:hAnsi="Arial"/>
          <w:sz w:val="14"/>
          <w:szCs w:val="14"/>
          <w:color w:val="auto"/>
        </w:rPr>
        <w:t>We need working capital to support seasonal variations in our business, primarily due to the effect of weather conditions on external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construction 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billings and project close-outs can contribute to changes in unbilled revenue. As of December 31, 2020, we expect that substantially all of our unbilled receivables will be billed to customers in the normal course of business within the next twelve months. Total accounts receivable, which consists of contract billings, unbilled receivables and retainage, net of allowance, decreased to $1.8 billion as of December 31, 2020 from $1.9 billion as of December 31, 2019 due to lower levels of fourth quarter revenue and improved collection activity in 2020 as compared with 2019.</w:t>
      </w:r>
    </w:p>
    <w:p>
      <w:pPr>
        <w:spacing w:after="0" w:line="83" w:lineRule="exact"/>
        <w:rPr>
          <w:sz w:val="20"/>
          <w:szCs w:val="20"/>
          <w:color w:val="auto"/>
        </w:rPr>
      </w:pPr>
    </w:p>
    <w:p>
      <w:pPr>
        <w:jc w:val="both"/>
        <w:ind w:firstLine="493"/>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5"/>
          <w:szCs w:val="15"/>
          <w:color w:val="auto"/>
        </w:rPr>
        <w:t>Including our current assessment of the potential effects of the COVID-19 pandemic on our results of operations and capital resource requirements, 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share repurchase activity and other liquidity needs for at least the next twelve months.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December 31, 2020, we had $944 million in working capital, defined as current assets less current liabilities, as compared with $954 million as of December 31, 2019, a decrease of approximately $11 million. Cash and cash equivalents totaled $423 million and $71 million as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December 31, 2020 and 2019, respectively, for an increase of $352 million due to strong cash flows from operating activities.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0"/>
        </w:trPr>
        <w:tc>
          <w:tcPr>
            <w:tcW w:w="68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2"/>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937.3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center"/>
              <w:ind w:left="499"/>
              <w:spacing w:after="0"/>
              <w:rPr>
                <w:sz w:val="20"/>
                <w:szCs w:val="20"/>
                <w:color w:val="auto"/>
              </w:rPr>
            </w:pPr>
            <w:r>
              <w:rPr>
                <w:rFonts w:ascii="Arial" w:cs="Arial" w:eastAsia="Arial" w:hAnsi="Arial"/>
                <w:sz w:val="16"/>
                <w:szCs w:val="16"/>
                <w:color w:val="auto"/>
                <w:w w:val="94"/>
              </w:rPr>
              <w:t>550.3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4"/>
              </w:rPr>
              <w:t>530.0</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(216.6)</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center"/>
              <w:ind w:left="479"/>
              <w:spacing w:after="0"/>
              <w:rPr>
                <w:sz w:val="20"/>
                <w:szCs w:val="20"/>
                <w:color w:val="auto"/>
              </w:rPr>
            </w:pPr>
            <w:r>
              <w:rPr>
                <w:rFonts w:ascii="Arial" w:cs="Arial" w:eastAsia="Arial" w:hAnsi="Arial"/>
                <w:sz w:val="16"/>
                <w:szCs w:val="16"/>
                <w:color w:val="auto"/>
                <w:w w:val="94"/>
              </w:rPr>
              <w:t>(261.8)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center"/>
              <w:ind w:left="319"/>
              <w:spacing w:after="0"/>
              <w:rPr>
                <w:sz w:val="20"/>
                <w:szCs w:val="20"/>
                <w:color w:val="auto"/>
              </w:rPr>
            </w:pPr>
            <w:r>
              <w:rPr>
                <w:rFonts w:ascii="Arial" w:cs="Arial" w:eastAsia="Arial" w:hAnsi="Arial"/>
                <w:sz w:val="16"/>
                <w:szCs w:val="16"/>
                <w:color w:val="auto"/>
                <w:w w:val="94"/>
              </w:rPr>
              <w:t>(181.8)</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used in financing activities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(369.9)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94"/>
              </w:rPr>
              <w:t>(244.6)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4"/>
              </w:rPr>
              <w:t>(361.1)</w:t>
            </w:r>
          </w:p>
        </w:tc>
      </w:tr>
    </w:tbl>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Cash flow from operations is primarily influenced by changes in the timing of demand for our services and operating margins, but can also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affected by working capital needs associated with the various types of services we provide. Working capital is affected by changes in total accounts receivable, prepaid expenses and other current assets, accounts payable and payroll tax payments, including the effect of deferrals from COVID-19 relief provisions,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year ended December 31, 2020 was $937 million, as compared with $550 million in 2019, for an increase in cash provided by operating activities of approximately $387 million. The increase was primarily due to the effect of working capital-related changes in assets and liabilities, net.</w:t>
      </w:r>
    </w:p>
    <w:p>
      <w:pPr>
        <w:spacing w:after="0" w:line="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Our days sales outstanding, net of contract liabilities (“DSO”) was 86 as of December 31, 2020 and 90 as of December 31, 2019. DSO is calculated as total accounts receivable, net of allowance, less contract liabilities, divided by average daily revenue for the most recently completed quarter as of the balance sheet date. DSO can fluctuate from period to period due to timing of billings, billing terms, collections and settlements, timing of project close-outs and retainage collections, changes in project and customer mix and the effect of working capital initiatives. The decrease in DSO for the year ended December 31, 2020 was due to timing of ordinary course billing and collection activities. Other than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Net cash used in investing activities decreased by approximately $45 million to $217 million for the year ended December 31, 2020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$262 million in 2019. We spent $214 million on capital expenditures, or $177 million, net of asset disposals, in 2020, as compared with $126 million, or $91 million, net of asset disposals, in 2019, for an increase in cash used in investing activities of $85 million. Cash paid for acquisitions, net, decreased by approximately $155 million in 2020 as compared with 2019. Payments for other investments totaled $17 million in 2020, and related primarily to certain equity and other investments, whereas in 2019, payments for other investments totaled $6 million, for an increase of approximately $12 million in cash used in investing activities. Proceeds from other investments in 2020 decreased by $14 million as compared with the prior year, which included the sale of investment in a telecommunications entity.</w:t>
      </w:r>
    </w:p>
    <w:p>
      <w:pPr>
        <w:spacing w:after="0" w:line="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used in financing activities for the year ended December 31, 2020 was $370 million, as compared with $245 million in 2019, for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 in cash used in financing activities of approximately $125 million. The increase in cash used in financing activities was driven primarily by Credit facility-related activity and share repurchases, offset in part, by proceeds from the issuance of $600 million aggregate principal amount of our 4.50% Senior Notes in the third quarter of 2020, net of the redemption of $400 million aggregate principal amount of our 4.875% Senior Notes. Credit facility and other borrowing-related activity, net, in 2020 totaled $307 million of repayments, net of borrowings, as compared with $113 million in 2019, for an increase in cash used in financing activities of approximately $193 million. Additionally, payments of finance lease obligations increased by $39 million in 2020. Payments for repurchases of common stock totaled $120 million in 2020, an increase of approximately $115 million as compared with 2019. Payments of acquisition-related contingent consideration included within financing activities totaled $10 million in 2020 as compared with $34 million in 2019, for a reduction in cash used in financing activities of $24 million. Total payments of acquisition-related contingent consideration, including payments in excess of acquisition-date liabilities, which are classified within operating activities, totaled $50 million in 2020 as compared with $35 million in 2019. The method of determining the amount of excess of acquisition-date liabilities was revised in the fourth quarter of 2020 to more closely align the cash flow presentation for such amounts with the economics of the contingent consideration arrangements. Excess of acquisition-date liability payments included within operating cash flows totaled $40 million in 2020 as compared with $1 million in 2019. Payments for other financing activities totaled $12 million in 2020 and included early repayment premiums on the redemption of our 4.875% Senior Notes and payments of financing costs on our new 4.50% Senior Notes, as discussed below. Payments for other financing activities in 2019 totaled $8 million and included $5 million of financing costs related to the amendment of our Credit Facility.</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We have a senior secured credit facility (the “Credit Facility”) maturing on September 19, 2024. Aggregate borrowing commitments under the Credit Facility total approximately $1.75 billion, composed of $1.35 billion of revolving commitments and a term loan totaling $400.0 million in original principal amount of which $397.5 million was outstanding as of December 31, 2020. Borrowings under the Credit Facility are used for working capital requirements, capital expenditures and other corporate purposes, including share repurchases, equity investments, potential acquisitions or other strategic arrangements and the repurchase or prepayment of indebtedness.</w:t>
      </w:r>
    </w:p>
    <w:p>
      <w:pPr>
        <w:spacing w:after="0" w:line="4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are dependent upon borrowings and letters of credit under the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For additional information regarding the terms of our Credit Facility, see Note 7 - Debt in the notes to the audited consolidated financial statements, which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b w:val="1"/>
          <w:bCs w:val="1"/>
          <w:i w:val="1"/>
          <w:iCs w:val="1"/>
          <w:color w:val="auto"/>
        </w:rPr>
        <w:t>Issuance of 4.50% Senior Notes and Repurchase and Redemption of 4.875% Senior Notes</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August 2020, we issued $600 million aggregate principal amount of 4.50% Senior Notes due August 15, 2028 in a private offering and used a portion of the net proceeds to repurchase and redeem $400 million aggregate principal amount of our 4.875% Senior Notes. The remaining net proceeds from the 4.50% Senior Notes offering were primarily used to repay revolving loans under our Credit Facility. See Note 7 - Debt in the notes to the audited consolidated financial statements, which is incorporated by reference.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December 31, 2020.</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which is incorporated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Payment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contractual payment obligations as of December 31, 2020 during the periods indicated below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Less than</w:t>
            </w:r>
          </w:p>
        </w:tc>
        <w:tc>
          <w:tcPr>
            <w:tcW w:w="220" w:type="dxa"/>
            <w:vAlign w:val="bottom"/>
          </w:tcPr>
          <w:p>
            <w:pPr>
              <w:spacing w:after="0"/>
              <w:rPr>
                <w:sz w:val="16"/>
                <w:szCs w:val="16"/>
                <w:color w:val="auto"/>
              </w:rPr>
            </w:pPr>
          </w:p>
        </w:tc>
        <w:tc>
          <w:tcPr>
            <w:tcW w:w="9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1 - 3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3 - 5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More than</w:t>
            </w:r>
          </w:p>
        </w:tc>
        <w:tc>
          <w:tcPr>
            <w:tcW w:w="0" w:type="dxa"/>
            <w:vAlign w:val="bottom"/>
          </w:tcPr>
          <w:p>
            <w:pPr>
              <w:spacing w:after="0"/>
              <w:rPr>
                <w:sz w:val="1"/>
                <w:szCs w:val="1"/>
                <w:color w:val="auto"/>
              </w:rPr>
            </w:pPr>
          </w:p>
        </w:tc>
      </w:tr>
      <w:tr>
        <w:trPr>
          <w:trHeight w:val="162"/>
        </w:trPr>
        <w:tc>
          <w:tcPr>
            <w:tcW w:w="4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5 Years and</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 Year</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Years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Years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Thereafter</w:t>
            </w:r>
          </w:p>
        </w:tc>
        <w:tc>
          <w:tcPr>
            <w:tcW w:w="0" w:type="dxa"/>
            <w:vAlign w:val="bottom"/>
          </w:tcPr>
          <w:p>
            <w:pPr>
              <w:spacing w:after="0"/>
              <w:rPr>
                <w:sz w:val="1"/>
                <w:szCs w:val="1"/>
                <w:color w:val="auto"/>
              </w:rPr>
            </w:pPr>
          </w:p>
        </w:tc>
      </w:tr>
      <w:tr>
        <w:trPr>
          <w:trHeight w:val="212"/>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1"/>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4.50% Senior Notes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and other obligations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Operating leases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Earn-out obligations </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Interest </w:t>
            </w:r>
            <w:r>
              <w:rPr>
                <w:rFonts w:ascii="Arial" w:cs="Arial" w:eastAsia="Arial" w:hAnsi="Arial"/>
                <w:sz w:val="21"/>
                <w:szCs w:val="21"/>
                <w:color w:val="auto"/>
                <w:vertAlign w:val="superscript"/>
              </w:rPr>
              <w:t>(b)</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07"/>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692.1</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0" w:hanging="412"/>
        <w:spacing w:after="0" w:line="247" w:lineRule="auto"/>
        <w:tabs>
          <w:tab w:leader="none" w:pos="325"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Under certain acquisition agreements, we have agreed to pay the sellers earn-outs and other amounts based on the performance of the businesses acquired. Certain of these payments may be made either in cash or in MasTec common stock, or a combination thereof, at our option. Due to the contingent nature of these payments, we have only included obligations that we expect will be paid in cash and have been earned as of December 31, 2020.</w:t>
      </w:r>
    </w:p>
    <w:p>
      <w:pPr>
        <w:ind w:left="420" w:hanging="412"/>
        <w:spacing w:after="0" w:line="293" w:lineRule="auto"/>
        <w:tabs>
          <w:tab w:leader="none" w:pos="342"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expected future interest payments on debt and finance lease obligations outstanding as of December 31, 2020, and does not include potential letter of credit or commitment fees associated with our senior secured credit facility. With the exception of our credit facilities, including our term loan, all of our debt instruments are fixed rate interest obligations.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with durations of less than twelve months,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audited consolidated financial statements, which are incorporated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caused volatility in the oil and gas markets in the past. We closely monitor inflationary factors and any impact they may have on our operating results or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See Note 1 - Business, Basis of Presentation and Significant Accounting Policies in the notes to the audited consolidated financial statements, which is incorporated by reference.</w:t>
      </w:r>
    </w:p>
    <w:p>
      <w:pPr>
        <w:spacing w:after="0" w:line="168" w:lineRule="exact"/>
        <w:rPr>
          <w:sz w:val="20"/>
          <w:szCs w:val="20"/>
          <w:color w:val="auto"/>
        </w:rPr>
      </w:pPr>
    </w:p>
    <w:p>
      <w:pPr>
        <w:ind w:right="4540"/>
        <w:spacing w:after="0" w:line="390" w:lineRule="auto"/>
        <w:rPr>
          <w:sz w:val="20"/>
          <w:szCs w:val="20"/>
          <w:color w:val="auto"/>
        </w:rPr>
      </w:pPr>
      <w:r>
        <w:rPr>
          <w:rFonts w:ascii="Arial" w:cs="Arial" w:eastAsia="Arial" w:hAnsi="Arial"/>
          <w:sz w:val="16"/>
          <w:szCs w:val="16"/>
          <w:b w:val="1"/>
          <w:bCs w:val="1"/>
          <w:color w:val="auto"/>
        </w:rPr>
        <w:t>ITEM 7A. QUANTITATIVE AND QUALITATIVE DISCLOSURES ABOUT MARKET RISK Interest Rate Risk</w:t>
      </w:r>
    </w:p>
    <w:p>
      <w:pPr>
        <w:jc w:val="both"/>
        <w:ind w:firstLine="648"/>
        <w:spacing w:after="0" w:line="256" w:lineRule="auto"/>
        <w:rPr>
          <w:sz w:val="20"/>
          <w:szCs w:val="20"/>
          <w:color w:val="auto"/>
        </w:rPr>
      </w:pPr>
      <w:r>
        <w:rPr>
          <w:rFonts w:ascii="Arial" w:cs="Arial" w:eastAsia="Arial" w:hAnsi="Arial"/>
          <w:sz w:val="16"/>
          <w:szCs w:val="16"/>
          <w:color w:val="auto"/>
        </w:rPr>
        <w:t>As of December 31, 2020,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December 31, 2020, we had $33 million aggregate principal amount of outstanding revolving loans under our Credit Facility with a weighted average interest rate of 1.87% and a term loan with 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jc w:val="both"/>
        <w:spacing w:after="0" w:line="275" w:lineRule="auto"/>
        <w:rPr>
          <w:sz w:val="20"/>
          <w:szCs w:val="20"/>
          <w:color w:val="auto"/>
        </w:rPr>
      </w:pPr>
      <w:r>
        <w:rPr>
          <w:rFonts w:ascii="Arial" w:cs="Arial" w:eastAsia="Arial" w:hAnsi="Arial"/>
          <w:sz w:val="16"/>
          <w:szCs w:val="16"/>
          <w:color w:val="auto"/>
        </w:rPr>
        <w:t>balance of $398 million with an interest rate of 1.40%. A 100 basis point increase in the applicable interest rates under our credit facilities would have increased our interest expense by approximately $6 million for the year ended December 31, 2020.</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2020, our fixed interest rate debt primarily included $600 million aggregate principal amount of 4.50% Senior Notes and $289 million of finance lease obligations, which accrued interest at a weighted average interest rate of approximately 3.9%. None of this debt subjects us to interest rate risk, but we may be subject to changes in interest rates if and when we refinance this debt at maturity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Certain of our consolidated revenue and operating expenses are in foreign currencies. Our foreign operations are primarily in Canada. Revenue generated from foreign operations represented 2% of our total revenue for the year ended December 31, 2020.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Such transactions were not material to our operations in 2020. Translation gains or losses, which are recorded in other comprehensive income or loss, result from translation of the assets and liabilities of our foreign subsidiaries into U.S. dollars. For the year ended December 31, 2020, foreign currency translation gains, net, totaled approximately $1.4 million and related to our operations in Canada and Mexico.</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December 31, 2020. We may enter into foreign currency derivative contracts in the future to manage such exposure.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audited consolidated financial statements, which is incorporated by reference, we have certain investments that may be subject to market risk and could be subject to volatility based on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0"/>
        </w:trPr>
        <w:tc>
          <w:tcPr>
            <w:tcW w:w="10500" w:type="dxa"/>
            <w:vAlign w:val="bottom"/>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740" w:type="dxa"/>
            <w:vAlign w:val="bottom"/>
          </w:tcPr>
          <w:p>
            <w:pPr>
              <w:spacing w:after="0"/>
              <w:rPr>
                <w:sz w:val="18"/>
                <w:szCs w:val="18"/>
                <w:color w:val="auto"/>
              </w:rPr>
            </w:pPr>
          </w:p>
        </w:tc>
      </w:tr>
      <w:tr>
        <w:trPr>
          <w:trHeight w:val="432"/>
        </w:trPr>
        <w:tc>
          <w:tcPr>
            <w:tcW w:w="10500" w:type="dxa"/>
            <w:vAlign w:val="bottom"/>
          </w:tcPr>
          <w:p>
            <w:pPr>
              <w:ind w:left="4120"/>
              <w:spacing w:after="0"/>
              <w:rPr>
                <w:sz w:val="20"/>
                <w:szCs w:val="20"/>
                <w:color w:val="auto"/>
              </w:rPr>
            </w:pPr>
            <w:r>
              <w:rPr>
                <w:rFonts w:ascii="Arial" w:cs="Arial" w:eastAsia="Arial" w:hAnsi="Arial"/>
                <w:sz w:val="16"/>
                <w:szCs w:val="16"/>
                <w:b w:val="1"/>
                <w:bCs w:val="1"/>
                <w:color w:val="auto"/>
              </w:rPr>
              <w:t>Index to Consolidated Financial Statements</w:t>
            </w:r>
          </w:p>
        </w:tc>
        <w:tc>
          <w:tcPr>
            <w:tcW w:w="740" w:type="dxa"/>
            <w:vAlign w:val="bottom"/>
          </w:tcPr>
          <w:p>
            <w:pPr>
              <w:spacing w:after="0"/>
              <w:rPr>
                <w:sz w:val="24"/>
                <w:szCs w:val="24"/>
                <w:color w:val="auto"/>
              </w:rPr>
            </w:pPr>
          </w:p>
        </w:tc>
      </w:tr>
      <w:tr>
        <w:trPr>
          <w:trHeight w:val="324"/>
        </w:trPr>
        <w:tc>
          <w:tcPr>
            <w:tcW w:w="10500" w:type="dxa"/>
            <w:vAlign w:val="bottom"/>
          </w:tcPr>
          <w:p>
            <w:pPr>
              <w:spacing w:after="0"/>
              <w:rPr>
                <w:sz w:val="24"/>
                <w:szCs w:val="24"/>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Page</w:t>
            </w:r>
          </w:p>
        </w:tc>
      </w:tr>
      <w:tr>
        <w:trPr>
          <w:trHeight w:val="209"/>
        </w:trPr>
        <w:tc>
          <w:tcPr>
            <w:tcW w:w="10500" w:type="dxa"/>
            <w:vAlign w:val="bottom"/>
          </w:tcPr>
          <w:p>
            <w:pPr>
              <w:ind w:left="6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Report of Independent Registered Public Accounting Firm</w:t>
              </w:r>
            </w:hyperlink>
          </w:p>
        </w:tc>
        <w:tc>
          <w:tcPr>
            <w:tcW w:w="74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45</w:t>
              </w:r>
            </w:hyperlink>
          </w:p>
        </w:tc>
      </w:tr>
      <w:tr>
        <w:trPr>
          <w:trHeight w:val="270"/>
        </w:trPr>
        <w:tc>
          <w:tcPr>
            <w:tcW w:w="10500" w:type="dxa"/>
            <w:vAlign w:val="bottom"/>
          </w:tcPr>
          <w:p>
            <w:pPr>
              <w:ind w:left="6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Consolidated Statements of Operations</w:t>
              </w:r>
            </w:hyperlink>
          </w:p>
        </w:tc>
        <w:tc>
          <w:tcPr>
            <w:tcW w:w="74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47</w:t>
              </w:r>
            </w:hyperlink>
          </w:p>
        </w:tc>
      </w:tr>
      <w:tr>
        <w:trPr>
          <w:trHeight w:val="270"/>
        </w:trPr>
        <w:tc>
          <w:tcPr>
            <w:tcW w:w="10500" w:type="dxa"/>
            <w:vAlign w:val="bottom"/>
          </w:tcPr>
          <w:p>
            <w:pPr>
              <w:ind w:left="6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Consolidated Statements of Comprehensive Income</w:t>
              </w:r>
            </w:hyperlink>
          </w:p>
        </w:tc>
        <w:tc>
          <w:tcPr>
            <w:tcW w:w="740" w:type="dxa"/>
            <w:vAlign w:val="bottom"/>
          </w:tcPr>
          <w:p>
            <w:pPr>
              <w:jc w:val="right"/>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48</w:t>
              </w:r>
            </w:hyperlink>
          </w:p>
        </w:tc>
      </w:tr>
      <w:tr>
        <w:trPr>
          <w:trHeight w:val="270"/>
        </w:trPr>
        <w:tc>
          <w:tcPr>
            <w:tcW w:w="10500" w:type="dxa"/>
            <w:vAlign w:val="bottom"/>
          </w:tcPr>
          <w:p>
            <w:pPr>
              <w:ind w:left="6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Consolidated Balance Sheets</w:t>
              </w:r>
            </w:hyperlink>
          </w:p>
        </w:tc>
        <w:tc>
          <w:tcPr>
            <w:tcW w:w="740" w:type="dxa"/>
            <w:vAlign w:val="bottom"/>
          </w:tcPr>
          <w:p>
            <w:pPr>
              <w:jc w:val="right"/>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49</w:t>
              </w:r>
            </w:hyperlink>
          </w:p>
        </w:tc>
      </w:tr>
      <w:tr>
        <w:trPr>
          <w:trHeight w:val="270"/>
        </w:trPr>
        <w:tc>
          <w:tcPr>
            <w:tcW w:w="10500" w:type="dxa"/>
            <w:vAlign w:val="bottom"/>
          </w:tcPr>
          <w:p>
            <w:pPr>
              <w:ind w:left="6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Consolidated Statements of Equity</w:t>
              </w:r>
            </w:hyperlink>
          </w:p>
        </w:tc>
        <w:tc>
          <w:tcPr>
            <w:tcW w:w="740" w:type="dxa"/>
            <w:vAlign w:val="bottom"/>
          </w:tcPr>
          <w:p>
            <w:pPr>
              <w:jc w:val="right"/>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50</w:t>
              </w:r>
            </w:hyperlink>
          </w:p>
        </w:tc>
      </w:tr>
      <w:tr>
        <w:trPr>
          <w:trHeight w:val="270"/>
        </w:trPr>
        <w:tc>
          <w:tcPr>
            <w:tcW w:w="10500" w:type="dxa"/>
            <w:vAlign w:val="bottom"/>
          </w:tcPr>
          <w:p>
            <w:pPr>
              <w:ind w:left="6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Consolidated Statements of Cash Flows</w:t>
              </w:r>
            </w:hyperlink>
          </w:p>
        </w:tc>
        <w:tc>
          <w:tcPr>
            <w:tcW w:w="740" w:type="dxa"/>
            <w:vAlign w:val="bottom"/>
          </w:tcPr>
          <w:p>
            <w:pPr>
              <w:jc w:val="right"/>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51</w:t>
              </w:r>
            </w:hyperlink>
          </w:p>
        </w:tc>
      </w:tr>
      <w:tr>
        <w:trPr>
          <w:trHeight w:val="270"/>
        </w:trPr>
        <w:tc>
          <w:tcPr>
            <w:tcW w:w="10500" w:type="dxa"/>
            <w:vAlign w:val="bottom"/>
          </w:tcPr>
          <w:p>
            <w:pPr>
              <w:ind w:left="60"/>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Notes to Consolidated Financial Statements</w:t>
              </w:r>
            </w:hyperlink>
          </w:p>
        </w:tc>
        <w:tc>
          <w:tcPr>
            <w:tcW w:w="740" w:type="dxa"/>
            <w:vAlign w:val="bottom"/>
          </w:tcPr>
          <w:p>
            <w:pPr>
              <w:jc w:val="right"/>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52</w:t>
              </w:r>
            </w:hyperlink>
          </w:p>
        </w:tc>
      </w:tr>
      <w:tr>
        <w:trPr>
          <w:trHeight w:val="864"/>
        </w:trPr>
        <w:tc>
          <w:tcPr>
            <w:tcW w:w="10500" w:type="dxa"/>
            <w:vAlign w:val="bottom"/>
          </w:tcPr>
          <w:p>
            <w:pPr>
              <w:ind w:left="5540"/>
              <w:spacing w:after="0"/>
              <w:rPr>
                <w:sz w:val="20"/>
                <w:szCs w:val="20"/>
                <w:color w:val="auto"/>
              </w:rPr>
            </w:pPr>
            <w:r>
              <w:rPr>
                <w:rFonts w:ascii="Arial" w:cs="Arial" w:eastAsia="Arial" w:hAnsi="Arial"/>
                <w:sz w:val="16"/>
                <w:szCs w:val="16"/>
                <w:color w:val="auto"/>
              </w:rPr>
              <w:t>43</w:t>
            </w:r>
          </w:p>
        </w:tc>
        <w:tc>
          <w:tcPr>
            <w:tcW w:w="740" w:type="dxa"/>
            <w:vAlign w:val="bottom"/>
          </w:tcPr>
          <w:p>
            <w:pPr>
              <w:spacing w:after="0"/>
              <w:rPr>
                <w:sz w:val="24"/>
                <w:szCs w:val="24"/>
                <w:color w:val="auto"/>
              </w:rPr>
            </w:pPr>
          </w:p>
        </w:tc>
      </w:tr>
      <w:tr>
        <w:trPr>
          <w:trHeight w:val="108"/>
        </w:trPr>
        <w:tc>
          <w:tcPr>
            <w:tcW w:w="105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ind w:left="30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audited the accompanying consolidated balance sheets of MasTec, Inc. and subsidiaries (the “Company”) as of December 31, 2020 and 2019, the related consolidated statements of operations, comprehensive income, equity, and cash flows for each of the three years in the period ended December 31, 2020, and the related notes and financial schedule listed in the accompanying index (collectively referred to as the “consolidated financial statements”). In our opinion, the consolidated financial statements present fairly, in all material respects, the financial position of the Company and subsidiaries at December 31, 2020 and 2019, and the results of its operations and its cash flows for each of the three years in the period ended December 31, 2020, in conformity with accounting principles generally accepted in the United States of America.</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(“COSO”) and our report dated February 25, 2021 expressed an unqualified opinion thereon.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discussed in Note 8 to the consolidated financial statements, the Company changed its method of accounting for leases in 2019 due to the adoption of Accounting Standards Codification Topic 842, Leases.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Impairment Assessment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described in Notes 1 and 3 to the consolidated financial statements, the Company’s consolidated goodwill balance was $1.24 billion at December 31, 2020. The Company performs annual impairment tests of goodwill, and on a quarterly basis, monitors goodwill for potential indicators of impairment. During 2020, the Company concluded that triggering events occurred for certain reporting units. No impairment charges were recorded as a result of the Company’s interim and annual impairment tests. Management estimates the fair values of its reporting units using a combination of the market and the income approaches.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identified the determination of the fair value of certain reporting units as a critical audit matter. Under the market approach, the reporting units’ fair values were estimated using market multiple assumptions for comparable companies. Under the income approach, a discounted cash flow methodology was used that included: (i) management’s estimates and assumptions, such as discount rates, terminal growth rates, and projections of revenue, operating costs and cash flows, (ii) assumptions related to general economic and market conditions, including the uncertainty resulting from the COVID-19 pandemic, and (iii) considerations of planned business and operational strategies. These estimates and assumptions require significant management judgment due to their highly subjective nature. Changes in these assumptions could have a significant impact on the fair value of the reporting units and the amount of goodwill impairment (if any). These estimates and assumptions were especially challenging to test and required significant auditor judgment because they were affected by expected future market conditions, including the impact of the COVID-19 pandemic. In addition,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113" w:lineRule="exact"/>
        <w:rPr>
          <w:sz w:val="20"/>
          <w:szCs w:val="20"/>
          <w:color w:val="auto"/>
        </w:rPr>
      </w:pPr>
    </w:p>
    <w:p>
      <w:pPr>
        <w:ind w:left="660" w:hanging="328"/>
        <w:spacing w:after="0" w:line="310" w:lineRule="auto"/>
        <w:tabs>
          <w:tab w:leader="none" w:pos="649" w:val="left"/>
        </w:tabs>
        <w:numPr>
          <w:ilvl w:val="0"/>
          <w:numId w:val="13"/>
        </w:numPr>
        <w:rPr>
          <w:rFonts w:ascii="Arial" w:cs="Arial" w:eastAsia="Arial" w:hAnsi="Arial"/>
          <w:sz w:val="15"/>
          <w:szCs w:val="15"/>
          <w:color w:val="auto"/>
        </w:rPr>
      </w:pPr>
      <w:r>
        <w:rPr>
          <w:rFonts w:ascii="Arial" w:cs="Arial" w:eastAsia="Arial" w:hAnsi="Arial"/>
          <w:sz w:val="15"/>
          <w:szCs w:val="15"/>
          <w:color w:val="auto"/>
        </w:rPr>
        <w:t>Testing the design and operating effectiveness of controls related to management’s goodwill impairment assessment, including controls over management’s review of (i) the budgeting and forecasting, and (ii) the data and significant estimates and assumptions used to determine the fair value of the reporting units.</w:t>
      </w:r>
    </w:p>
    <w:p>
      <w:pPr>
        <w:spacing w:after="0" w:line="40" w:lineRule="exact"/>
        <w:rPr>
          <w:rFonts w:ascii="Arial" w:cs="Arial" w:eastAsia="Arial" w:hAnsi="Arial"/>
          <w:sz w:val="15"/>
          <w:szCs w:val="15"/>
          <w:color w:val="auto"/>
        </w:rPr>
      </w:pPr>
    </w:p>
    <w:p>
      <w:pPr>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Evaluating the appropriateness of the methodologies and the reasonableness of the assumptions used by management in determining the fair value of the reporting units, including:</w:t>
      </w:r>
    </w:p>
    <w:p>
      <w:pPr>
        <w:spacing w:after="0" w:line="77" w:lineRule="exact"/>
        <w:rPr>
          <w:rFonts w:ascii="Arial" w:cs="Arial" w:eastAsia="Arial" w:hAnsi="Arial"/>
          <w:sz w:val="16"/>
          <w:szCs w:val="16"/>
          <w:color w:val="auto"/>
        </w:rPr>
      </w:pPr>
    </w:p>
    <w:p>
      <w:pPr>
        <w:ind w:left="1300" w:hanging="320"/>
        <w:spacing w:after="0" w:line="263" w:lineRule="auto"/>
        <w:tabs>
          <w:tab w:leader="none" w:pos="1295" w:val="left"/>
        </w:tabs>
        <w:numPr>
          <w:ilvl w:val="1"/>
          <w:numId w:val="13"/>
        </w:numPr>
        <w:rPr>
          <w:rFonts w:ascii="Arial" w:cs="Arial" w:eastAsia="Arial" w:hAnsi="Arial"/>
          <w:sz w:val="18"/>
          <w:szCs w:val="18"/>
          <w:color w:val="auto"/>
        </w:rPr>
      </w:pPr>
      <w:r>
        <w:rPr>
          <w:rFonts w:ascii="Arial" w:cs="Arial" w:eastAsia="Arial" w:hAnsi="Arial"/>
          <w:sz w:val="16"/>
          <w:szCs w:val="16"/>
          <w:color w:val="auto"/>
        </w:rPr>
        <w:t>With respect to the market approach, assessing the appropriateness of the approach and evaluating the reasonableness of the comparable companies and market multiples selected for the reporting units.</w:t>
      </w:r>
    </w:p>
    <w:p>
      <w:pPr>
        <w:spacing w:after="0" w:line="71" w:lineRule="exact"/>
        <w:rPr>
          <w:rFonts w:ascii="Arial" w:cs="Arial" w:eastAsia="Arial" w:hAnsi="Arial"/>
          <w:sz w:val="18"/>
          <w:szCs w:val="18"/>
          <w:color w:val="auto"/>
        </w:rPr>
      </w:pPr>
    </w:p>
    <w:p>
      <w:pPr>
        <w:jc w:val="both"/>
        <w:ind w:left="1300" w:hanging="320"/>
        <w:spacing w:after="0" w:line="272" w:lineRule="auto"/>
        <w:tabs>
          <w:tab w:leader="none" w:pos="1289" w:val="left"/>
        </w:tabs>
        <w:numPr>
          <w:ilvl w:val="1"/>
          <w:numId w:val="13"/>
        </w:numPr>
        <w:rPr>
          <w:rFonts w:ascii="Arial" w:cs="Arial" w:eastAsia="Arial" w:hAnsi="Arial"/>
          <w:sz w:val="15"/>
          <w:szCs w:val="15"/>
          <w:color w:val="auto"/>
        </w:rPr>
      </w:pPr>
      <w:r>
        <w:rPr>
          <w:rFonts w:ascii="Arial" w:cs="Arial" w:eastAsia="Arial" w:hAnsi="Arial"/>
          <w:sz w:val="15"/>
          <w:szCs w:val="15"/>
          <w:color w:val="auto"/>
        </w:rPr>
        <w:t>With respect to the income approach, assessing the appropriateness of the discounted cash flow methodology and evaluating the reasonableness of assumptions used by: (i) evaluating the reasonableness of projected revenues and operating costs against recent performance and revenue backlogs, (ii) assessing the reasonableness of management’s expected success rates for winning new project awards against recent reporting units’ performance, (iii) evaluating the general economic and market conditions, including the impact of the COVID-19 pandemic, on management’s assumptions such as the market prices for oil, gas and other fuel sources, (iv) testing the completeness, accuracy, and relevance of underlying data used in the models, and (v) performing sensitivity analyses of individual reporting units’ cash flow projections.</w:t>
      </w:r>
    </w:p>
    <w:p>
      <w:pPr>
        <w:spacing w:after="0" w:line="69" w:lineRule="exact"/>
        <w:rPr>
          <w:rFonts w:ascii="Arial" w:cs="Arial" w:eastAsia="Arial" w:hAnsi="Arial"/>
          <w:sz w:val="15"/>
          <w:szCs w:val="15"/>
          <w:color w:val="auto"/>
        </w:rPr>
      </w:pPr>
    </w:p>
    <w:p>
      <w:pPr>
        <w:ind w:left="660" w:right="2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Testing management’s reconciliation of the estimated fair value of the Company’s reporting units to the indicated market capitalization of the Company as a whole.</w:t>
      </w:r>
    </w:p>
    <w:p>
      <w:pPr>
        <w:spacing w:after="0" w:line="6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Utilizing internal valuation specialists to assist in: (i) assessing the appropriateness and relative weighting of the income and market approaches, and (ii) evaluating the reasonableness of the discount rate and terminal growth rates used in the income approach.</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 Estimated Costs to Complete</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As described in Note 1 to the consolidated financial statements, the Company recognizes a significant portion of its revenue over time using the cost-to-cost measure of progress, which measures a contract’s progress toward completion based on the ratio of actual contract costs incurred to date to the Company’s estimated costs at completion. The cost estimation process for these contracts is based on the knowledge and experience of the Company’s project managers, engineers and financial professionals. Changes in job performance, job conditions and management’s assessment of expected variable consideration are factors that influence estimates of the total contract transaction price, total costs to complete those contracts and the Company’s revenue recognition.</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We identified estimated costs to complete revenue contracts as a critical audit matter. The determination of the total estimated cost and progress toward completion requires management to make significant estimates and assumptions. Total estimated costs to complete projects include various costs such as direct labor, material and subcontract costs. Changes in these estimates can have a significant impact on the revenue recognized each period. Auditing these estimates involved especially challenging auditor judgment in evaluating the reasonableness of management’s assumptions and estimates over the duration of these contracts.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127" w:lineRule="exact"/>
        <w:rPr>
          <w:sz w:val="20"/>
          <w:szCs w:val="20"/>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6"/>
          <w:szCs w:val="16"/>
          <w:color w:val="auto"/>
        </w:rPr>
        <w:t>Testing the design and operating effectiveness of certain controls related to estimated costs to complete, including controls over management’s review of: (i) the development of project budgets and the key cost inputs, (ii) the ongoing assessment and revisions to project budgets, and (iii) the ongoing review of project status, including the nature of activities to complete open projects.</w:t>
      </w:r>
    </w:p>
    <w:p>
      <w:pPr>
        <w:spacing w:after="0" w:line="80" w:lineRule="exact"/>
        <w:rPr>
          <w:rFonts w:ascii="Arial" w:cs="Arial" w:eastAsia="Arial" w:hAnsi="Arial"/>
          <w:sz w:val="18"/>
          <w:szCs w:val="18"/>
          <w:color w:val="auto"/>
        </w:rPr>
      </w:pPr>
    </w:p>
    <w:p>
      <w:pPr>
        <w:ind w:left="66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Evaluating the reasonableness of management’s budgeting process by selecting a sample of project budgets for projects that were completed during the period and performing a retrospective review of budget to actual variances.</w:t>
      </w:r>
    </w:p>
    <w:p>
      <w:pPr>
        <w:spacing w:after="0" w:line="64" w:lineRule="exact"/>
        <w:rPr>
          <w:rFonts w:ascii="Arial" w:cs="Arial" w:eastAsia="Arial" w:hAnsi="Arial"/>
          <w:sz w:val="16"/>
          <w:szCs w:val="16"/>
          <w:color w:val="auto"/>
        </w:rPr>
      </w:pPr>
    </w:p>
    <w:p>
      <w:pPr>
        <w:jc w:val="both"/>
        <w:ind w:left="660" w:hanging="328"/>
        <w:spacing w:after="0" w:line="278" w:lineRule="auto"/>
        <w:tabs>
          <w:tab w:leader="none" w:pos="649"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Assessing the reasonableness of the estimated costs to complete by selecting a sample of open projects and: (i) evaluating the reasonableness of project budgets and the nature of costs required to complete the project, (ii) assessing the status of completion by testing of a sample of project costs incurred to date, (iii) evaluating the reasonableness of project status by observing project review meetings and performing inquiries of project managers to assess the nature of activities required to complete the project, and (iv) performing a retrospective review of the project and investigating budget to actual variances (if any).</w:t>
      </w:r>
    </w:p>
    <w:p>
      <w:pPr>
        <w:spacing w:after="0" w:line="64" w:lineRule="exact"/>
        <w:rPr>
          <w:rFonts w:ascii="Arial" w:cs="Arial" w:eastAsia="Arial" w:hAnsi="Arial"/>
          <w:sz w:val="15"/>
          <w:szCs w:val="15"/>
          <w:color w:val="auto"/>
        </w:rPr>
      </w:pPr>
    </w:p>
    <w:p>
      <w:pPr>
        <w:ind w:left="66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Assessing the reasonableness of changes in estimated costs to complete by comparing project profitability estimates in the current period to historical estimates and actual performance and investigating reasons for changes in expected costs and project margins.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 BDO USA, LLP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2004.</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Miami, Florida</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6,320,975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7,183,188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6,909,417</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Costs of revenue, excluding 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5,270,879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6,070,244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5,939,308</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192,332</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38,910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20,598</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intangible asset impairment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47,662</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319,192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287,278</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82,571</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(29,738)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(27,367)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(23,855)</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w:t>
            </w:r>
          </w:p>
        </w:tc>
      </w:tr>
      <w:tr>
        <w:trPr>
          <w:trHeight w:val="212"/>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510,939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365,303</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(116,843)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(106,072)</w:t>
            </w:r>
          </w:p>
        </w:tc>
      </w:tr>
      <w:tr>
        <w:trPr>
          <w:trHeight w:val="21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394,096</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259,231</w:t>
            </w:r>
          </w:p>
        </w:tc>
      </w:tr>
      <w:tr>
        <w:trPr>
          <w:trHeight w:val="207"/>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r>
      <w:tr>
        <w:trPr>
          <w:trHeight w:val="209"/>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attributable to MasTec,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322,848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392,334</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259,659</w:t>
            </w:r>
          </w:p>
        </w:tc>
      </w:tr>
      <w:tr>
        <w:trPr>
          <w:trHeight w:val="239"/>
        </w:trPr>
        <w:tc>
          <w:tcPr>
            <w:tcW w:w="6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(Note 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Basic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r>
      <w:tr>
        <w:trPr>
          <w:trHeight w:val="210"/>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 weighted average common shares outstanding</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75,185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78,695</w:t>
            </w:r>
          </w:p>
        </w:tc>
      </w:tr>
      <w:tr>
        <w:trPr>
          <w:trHeight w:val="239"/>
        </w:trPr>
        <w:tc>
          <w:tcPr>
            <w:tcW w:w="6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 earnings per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06"/>
        </w:trPr>
        <w:tc>
          <w:tcPr>
            <w:tcW w:w="6940" w:type="dxa"/>
            <w:vAlign w:val="bottom"/>
          </w:tcPr>
          <w:p>
            <w:pPr>
              <w:ind w:left="220"/>
              <w:spacing w:after="0"/>
              <w:rPr>
                <w:sz w:val="20"/>
                <w:szCs w:val="20"/>
                <w:color w:val="auto"/>
              </w:rPr>
            </w:pPr>
            <w:r>
              <w:rPr>
                <w:rFonts w:ascii="Arial" w:cs="Arial" w:eastAsia="Arial" w:hAnsi="Arial"/>
                <w:sz w:val="16"/>
                <w:szCs w:val="16"/>
                <w:color w:val="auto"/>
              </w:rPr>
              <w:t>Diluted weighted average common shares outstanding</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73,715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75,846</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79,772</w:t>
            </w: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394,096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259,231</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gains (losses), net of tax</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w:t>
            </w:r>
          </w:p>
        </w:tc>
      </w:tr>
      <w:tr>
        <w:trPr>
          <w:trHeight w:val="213"/>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Unrealized (losses) gains on investment activity, net of tax</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5,863</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378,884</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262,449</w:t>
            </w:r>
          </w:p>
        </w:tc>
      </w:tr>
      <w:tr>
        <w:trPr>
          <w:trHeight w:val="207"/>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r>
      <w:tr>
        <w:trPr>
          <w:trHeight w:val="209"/>
        </w:trPr>
        <w:tc>
          <w:tcPr>
            <w:tcW w:w="6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Comprehensive income attributable to MasTec,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377,122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262,877</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ind w:left="4240"/>
              <w:spacing w:after="0"/>
              <w:rPr>
                <w:sz w:val="20"/>
                <w:szCs w:val="20"/>
                <w:color w:val="auto"/>
              </w:rPr>
            </w:pPr>
            <w:r>
              <w:rPr>
                <w:rFonts w:ascii="Arial" w:cs="Arial" w:eastAsia="Arial" w:hAnsi="Arial"/>
                <w:sz w:val="16"/>
                <w:szCs w:val="16"/>
                <w:b w:val="1"/>
                <w:bCs w:val="1"/>
                <w:color w:val="auto"/>
              </w:rPr>
              <w:t>(in thousands, except share information)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8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71,427</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receivable, net of allowance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784,488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850,326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969,743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1,024,568</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89,645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100,069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75,169</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2,359,015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2,173,559</w:t>
            </w:r>
          </w:p>
        </w:tc>
        <w:tc>
          <w:tcPr>
            <w:tcW w:w="0" w:type="dxa"/>
            <w:vAlign w:val="bottom"/>
          </w:tcPr>
          <w:p>
            <w:pPr>
              <w:spacing w:after="0"/>
              <w:rPr>
                <w:sz w:val="1"/>
                <w:szCs w:val="1"/>
                <w:color w:val="auto"/>
              </w:rPr>
            </w:pPr>
          </w:p>
        </w:tc>
      </w:tr>
      <w:tr>
        <w:trPr>
          <w:trHeight w:val="207"/>
        </w:trPr>
        <w:tc>
          <w:tcPr>
            <w:tcW w:w="840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982,328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905,835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229,903</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Goodwill,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1,243,034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1,221,440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211,528</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282,856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254,741</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5,227,849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4,997,006</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Current portion of long-term debt, including finance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145,110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118,429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81,561</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571,269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535,029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salaries and wages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87,562</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Other accrued 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187,647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115,581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206,180</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74,988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74,784</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1,415,199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1,219,126</w:t>
            </w:r>
          </w:p>
        </w:tc>
        <w:tc>
          <w:tcPr>
            <w:tcW w:w="0" w:type="dxa"/>
            <w:vAlign w:val="bottom"/>
          </w:tcPr>
          <w:p>
            <w:pPr>
              <w:spacing w:after="0"/>
              <w:rPr>
                <w:sz w:val="1"/>
                <w:szCs w:val="1"/>
                <w:color w:val="auto"/>
              </w:rPr>
            </w:pPr>
          </w:p>
        </w:tc>
      </w:tr>
      <w:tr>
        <w:trPr>
          <w:trHeight w:val="207"/>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including finance leases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1,157,632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1,314,030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154,553</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302,938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296,326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221,280</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3,222,324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3,205,315</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Equity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400" w:type="dxa"/>
            <w:vAlign w:val="bottom"/>
          </w:tcPr>
          <w:p>
            <w:pPr>
              <w:ind w:left="140"/>
              <w:spacing w:after="0" w:line="166" w:lineRule="exact"/>
              <w:rPr>
                <w:sz w:val="20"/>
                <w:szCs w:val="20"/>
                <w:color w:val="auto"/>
              </w:rPr>
            </w:pPr>
            <w:r>
              <w:rPr>
                <w:rFonts w:ascii="Arial" w:cs="Arial" w:eastAsia="Arial" w:hAnsi="Arial"/>
                <w:sz w:val="16"/>
                <w:szCs w:val="16"/>
                <w:color w:val="auto"/>
                <w:w w:val="96"/>
              </w:rPr>
              <w:t>Common stock, $0.10 par value: authorized shares - 145,000,000; issued shares - 93,107,440 and 91,909,430 (including</w:t>
            </w: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9,311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9,191</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Arial" w:cs="Arial" w:eastAsia="Arial" w:hAnsi="Arial"/>
                <w:sz w:val="16"/>
                <w:szCs w:val="16"/>
                <w:color w:val="auto"/>
              </w:rPr>
              <w:t>1,843,041 and 1,221,593 of unvested stock awards) as of December 31, 2020 and 2019, respectively</w:t>
            </w: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surplus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837,453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809,753</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1,833,557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1,510,709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(75,706)</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Treasury stock, at cost: 18,941,926 shares and 15,344,917 shares as of December 31, 2020 and 2019, respectively</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(586,955)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(466,727)</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MasTec, Inc. shareholders’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2,001,922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1,787,220</w:t>
            </w:r>
          </w:p>
        </w:tc>
        <w:tc>
          <w:tcPr>
            <w:tcW w:w="0" w:type="dxa"/>
            <w:vAlign w:val="bottom"/>
          </w:tcPr>
          <w:p>
            <w:pPr>
              <w:spacing w:after="0"/>
              <w:rPr>
                <w:sz w:val="1"/>
                <w:szCs w:val="1"/>
                <w:color w:val="auto"/>
              </w:rPr>
            </w:pPr>
          </w:p>
        </w:tc>
      </w:tr>
      <w:tr>
        <w:trPr>
          <w:trHeight w:val="206"/>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4,471</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2,005,525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1,791,691</w:t>
            </w:r>
          </w:p>
        </w:tc>
        <w:tc>
          <w:tcPr>
            <w:tcW w:w="0" w:type="dxa"/>
            <w:vAlign w:val="bottom"/>
          </w:tcPr>
          <w:p>
            <w:pPr>
              <w:spacing w:after="0"/>
              <w:rPr>
                <w:sz w:val="1"/>
                <w:szCs w:val="1"/>
                <w:color w:val="auto"/>
              </w:rPr>
            </w:pPr>
          </w:p>
        </w:tc>
      </w:tr>
      <w:tr>
        <w:trPr>
          <w:trHeight w:val="207"/>
        </w:trPr>
        <w:tc>
          <w:tcPr>
            <w:tcW w:w="8400" w:type="dxa"/>
            <w:vAlign w:val="bottom"/>
          </w:tcPr>
          <w:p>
            <w:pPr>
              <w:ind w:left="36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5,227,849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4,997,006</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152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660" w:type="dxa"/>
            <w:vAlign w:val="bottom"/>
            <w:gridSpan w:val="4"/>
          </w:tcPr>
          <w:p>
            <w:pPr>
              <w:ind w:left="3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MasTec,</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4"/>
                <w:szCs w:val="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100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4"/>
                <w:szCs w:val="4"/>
                <w:color w:val="auto"/>
              </w:rPr>
            </w:pPr>
          </w:p>
        </w:tc>
        <w:tc>
          <w:tcPr>
            <w:tcW w:w="82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Inc.</w:t>
            </w:r>
          </w:p>
        </w:tc>
        <w:tc>
          <w:tcPr>
            <w:tcW w:w="100" w:type="dxa"/>
            <w:vAlign w:val="bottom"/>
          </w:tcPr>
          <w:p>
            <w:pPr>
              <w:spacing w:after="0"/>
              <w:rPr>
                <w:sz w:val="4"/>
                <w:szCs w:val="4"/>
                <w:color w:val="auto"/>
              </w:rPr>
            </w:pPr>
          </w:p>
        </w:tc>
        <w:tc>
          <w:tcPr>
            <w:tcW w:w="74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Non-</w:t>
            </w: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76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Shareholders’</w:t>
            </w:r>
          </w:p>
        </w:tc>
        <w:tc>
          <w:tcPr>
            <w:tcW w:w="8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Controlling</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Surplus</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2017</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90,935,584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9,094</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(8,132,811)</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(147,124)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775,387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857,154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(63,712)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1,430,799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2,554</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$ 1,433,353</w:t>
            </w:r>
          </w:p>
        </w:tc>
        <w:tc>
          <w:tcPr>
            <w:tcW w:w="0" w:type="dxa"/>
            <w:vAlign w:val="bottom"/>
          </w:tcPr>
          <w:p>
            <w:pPr>
              <w:spacing w:after="0"/>
              <w:rPr>
                <w:sz w:val="1"/>
                <w:szCs w:val="1"/>
                <w:color w:val="auto"/>
              </w:rPr>
            </w:pPr>
          </w:p>
        </w:tc>
      </w:tr>
      <w:tr>
        <w:trPr>
          <w:trHeight w:val="150"/>
        </w:trPr>
        <w:tc>
          <w:tcPr>
            <w:tcW w:w="2760" w:type="dxa"/>
            <w:vAlign w:val="bottom"/>
          </w:tcPr>
          <w:p>
            <w:pPr>
              <w:ind w:left="140"/>
              <w:spacing w:after="0" w:line="151" w:lineRule="exact"/>
              <w:rPr>
                <w:sz w:val="20"/>
                <w:szCs w:val="20"/>
                <w:color w:val="auto"/>
              </w:rPr>
            </w:pPr>
            <w:r>
              <w:rPr>
                <w:rFonts w:ascii="Arial" w:cs="Arial" w:eastAsia="Arial" w:hAnsi="Arial"/>
                <w:sz w:val="14"/>
                <w:szCs w:val="14"/>
                <w:color w:val="auto"/>
              </w:rPr>
              <w:t>Cumulative effect of adoption, revenue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140"/>
              <w:spacing w:after="0"/>
              <w:rPr>
                <w:sz w:val="20"/>
                <w:szCs w:val="20"/>
                <w:color w:val="auto"/>
              </w:rPr>
            </w:pPr>
            <w:r>
              <w:rPr>
                <w:rFonts w:ascii="Arial" w:cs="Arial" w:eastAsia="Arial" w:hAnsi="Arial"/>
                <w:sz w:val="14"/>
                <w:szCs w:val="14"/>
                <w:color w:val="auto"/>
              </w:rPr>
              <w:t>recognition (Topic 606)</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259,659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259,231</w:t>
            </w:r>
          </w:p>
        </w:tc>
        <w:tc>
          <w:tcPr>
            <w:tcW w:w="0" w:type="dxa"/>
            <w:vAlign w:val="bottom"/>
          </w:tcPr>
          <w:p>
            <w:pPr>
              <w:spacing w:after="0"/>
              <w:rPr>
                <w:sz w:val="1"/>
                <w:szCs w:val="1"/>
                <w:color w:val="auto"/>
              </w:rPr>
            </w:pPr>
          </w:p>
        </w:tc>
      </w:tr>
      <w:tr>
        <w:trPr>
          <w:trHeight w:val="210"/>
        </w:trPr>
        <w:tc>
          <w:tcPr>
            <w:tcW w:w="276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stock-based compensation</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13,527</w:t>
            </w:r>
          </w:p>
        </w:tc>
        <w:tc>
          <w:tcPr>
            <w:tcW w:w="0" w:type="dxa"/>
            <w:vAlign w:val="bottom"/>
          </w:tcPr>
          <w:p>
            <w:pPr>
              <w:spacing w:after="0"/>
              <w:rPr>
                <w:sz w:val="1"/>
                <w:szCs w:val="1"/>
                <w:color w:val="auto"/>
              </w:rPr>
            </w:pPr>
          </w:p>
        </w:tc>
      </w:tr>
      <w:tr>
        <w:trPr>
          <w:trHeight w:val="210"/>
        </w:trPr>
        <w:tc>
          <w:tcPr>
            <w:tcW w:w="2760" w:type="dxa"/>
            <w:vAlign w:val="bottom"/>
          </w:tcPr>
          <w:p>
            <w:pPr>
              <w:ind w:left="140"/>
              <w:spacing w:after="0"/>
              <w:rPr>
                <w:sz w:val="20"/>
                <w:szCs w:val="20"/>
                <w:color w:val="auto"/>
              </w:rPr>
            </w:pPr>
            <w:r>
              <w:rPr>
                <w:rFonts w:ascii="Arial" w:cs="Arial" w:eastAsia="Arial" w:hAnsi="Arial"/>
                <w:sz w:val="14"/>
                <w:szCs w:val="14"/>
                <w:color w:val="auto"/>
              </w:rPr>
              <w:t>Issuance of restricted shares, net</w:t>
            </w:r>
          </w:p>
        </w:tc>
        <w:tc>
          <w:tcPr>
            <w:tcW w:w="720" w:type="dxa"/>
            <w:vAlign w:val="bottom"/>
          </w:tcPr>
          <w:p>
            <w:pPr>
              <w:jc w:val="right"/>
              <w:spacing w:after="0"/>
              <w:rPr>
                <w:sz w:val="20"/>
                <w:szCs w:val="20"/>
                <w:color w:val="auto"/>
              </w:rPr>
            </w:pPr>
            <w:r>
              <w:rPr>
                <w:rFonts w:ascii="Arial" w:cs="Arial" w:eastAsia="Arial" w:hAnsi="Arial"/>
                <w:sz w:val="14"/>
                <w:szCs w:val="14"/>
                <w:color w:val="auto"/>
              </w:rPr>
              <w:t>385,392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Other stock issuances, net of shares withheld</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 taxes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Acquisition of treasury stock, at cost</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(7,197,006)</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(319,001)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(319,001)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(319,001)</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91,327,009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9,133</w:t>
            </w: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(15,329,817)</w:t>
            </w: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(466,125)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789,009</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1,118,375</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(60,494)</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1,389,898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2,126</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$ 1,392,024</w:t>
            </w:r>
          </w:p>
        </w:tc>
        <w:tc>
          <w:tcPr>
            <w:tcW w:w="0" w:type="dxa"/>
            <w:vAlign w:val="bottom"/>
          </w:tcPr>
          <w:p>
            <w:pPr>
              <w:spacing w:after="0"/>
              <w:rPr>
                <w:sz w:val="1"/>
                <w:szCs w:val="1"/>
                <w:color w:val="auto"/>
              </w:rPr>
            </w:pPr>
          </w:p>
        </w:tc>
      </w:tr>
      <w:tr>
        <w:trPr>
          <w:trHeight w:val="190"/>
        </w:trPr>
        <w:tc>
          <w:tcPr>
            <w:tcW w:w="27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392,334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392,334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1,762</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394,096</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(15,212)</w:t>
            </w:r>
          </w:p>
        </w:tc>
        <w:tc>
          <w:tcPr>
            <w:tcW w:w="0" w:type="dxa"/>
            <w:vAlign w:val="bottom"/>
          </w:tcPr>
          <w:p>
            <w:pPr>
              <w:spacing w:after="0"/>
              <w:rPr>
                <w:sz w:val="1"/>
                <w:szCs w:val="1"/>
                <w:color w:val="auto"/>
              </w:rPr>
            </w:pPr>
          </w:p>
        </w:tc>
      </w:tr>
      <w:tr>
        <w:trPr>
          <w:trHeight w:val="210"/>
        </w:trPr>
        <w:tc>
          <w:tcPr>
            <w:tcW w:w="2760" w:type="dxa"/>
            <w:vAlign w:val="bottom"/>
          </w:tcPr>
          <w:p>
            <w:pPr>
              <w:ind w:left="140"/>
              <w:spacing w:after="0"/>
              <w:rPr>
                <w:sz w:val="20"/>
                <w:szCs w:val="20"/>
                <w:color w:val="auto"/>
              </w:rPr>
            </w:pPr>
            <w:r>
              <w:rPr>
                <w:rFonts w:ascii="Arial" w:cs="Arial" w:eastAsia="Arial" w:hAnsi="Arial"/>
                <w:sz w:val="14"/>
                <w:szCs w:val="14"/>
                <w:color w:val="auto"/>
              </w:rPr>
              <w:t>Non-cash stock-based compensation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16,447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16,447</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shares, net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464,970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760" w:type="dxa"/>
            <w:vAlign w:val="bottom"/>
          </w:tcPr>
          <w:p>
            <w:pPr>
              <w:ind w:left="140"/>
              <w:spacing w:after="0"/>
              <w:rPr>
                <w:sz w:val="20"/>
                <w:szCs w:val="20"/>
                <w:color w:val="auto"/>
              </w:rPr>
            </w:pPr>
            <w:r>
              <w:rPr>
                <w:rFonts w:ascii="Arial" w:cs="Arial" w:eastAsia="Arial" w:hAnsi="Arial"/>
                <w:sz w:val="14"/>
                <w:szCs w:val="14"/>
                <w:color w:val="auto"/>
                <w:w w:val="92"/>
              </w:rPr>
              <w:t>Other stock issuances, net of shares withheld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140"/>
              <w:spacing w:after="0"/>
              <w:rPr>
                <w:sz w:val="20"/>
                <w:szCs w:val="20"/>
                <w:color w:val="auto"/>
              </w:rPr>
            </w:pPr>
            <w:r>
              <w:rPr>
                <w:rFonts w:ascii="Arial" w:cs="Arial" w:eastAsia="Arial" w:hAnsi="Arial"/>
                <w:sz w:val="14"/>
                <w:szCs w:val="14"/>
                <w:color w:val="auto"/>
              </w:rPr>
              <w:t>for taxes</w:t>
            </w:r>
          </w:p>
        </w:tc>
        <w:tc>
          <w:tcPr>
            <w:tcW w:w="720" w:type="dxa"/>
            <w:vAlign w:val="bottom"/>
          </w:tcPr>
          <w:p>
            <w:pPr>
              <w:jc w:val="right"/>
              <w:spacing w:after="0"/>
              <w:rPr>
                <w:sz w:val="20"/>
                <w:szCs w:val="20"/>
                <w:color w:val="auto"/>
              </w:rPr>
            </w:pPr>
            <w:r>
              <w:rPr>
                <w:rFonts w:ascii="Arial" w:cs="Arial" w:eastAsia="Arial" w:hAnsi="Arial"/>
                <w:sz w:val="14"/>
                <w:szCs w:val="14"/>
                <w:color w:val="auto"/>
              </w:rPr>
              <w:t>117,451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treasury stock, at cost</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10"/>
        </w:trPr>
        <w:tc>
          <w:tcPr>
            <w:tcW w:w="2760" w:type="dxa"/>
            <w:vAlign w:val="bottom"/>
          </w:tcPr>
          <w:p>
            <w:pPr>
              <w:ind w:left="140"/>
              <w:spacing w:after="0"/>
              <w:rPr>
                <w:sz w:val="20"/>
                <w:szCs w:val="20"/>
                <w:color w:val="auto"/>
              </w:rPr>
            </w:pPr>
            <w:r>
              <w:rPr>
                <w:rFonts w:ascii="Arial" w:cs="Arial" w:eastAsia="Arial" w:hAnsi="Arial"/>
                <w:sz w:val="14"/>
                <w:szCs w:val="14"/>
                <w:color w:val="auto"/>
                <w:w w:val="97"/>
              </w:rPr>
              <w:t>Contributions from non-controlling interests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88"/>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91,909,430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9,191</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(15,344,917)</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(466,727)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809,753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1,510,709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(75,706)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1,787,220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4,471</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$ 1,791,691</w:t>
            </w:r>
          </w:p>
        </w:tc>
        <w:tc>
          <w:tcPr>
            <w:tcW w:w="0" w:type="dxa"/>
            <w:vAlign w:val="bottom"/>
          </w:tcPr>
          <w:p>
            <w:pPr>
              <w:spacing w:after="0"/>
              <w:rPr>
                <w:sz w:val="1"/>
                <w:szCs w:val="1"/>
                <w:color w:val="auto"/>
              </w:rPr>
            </w:pPr>
          </w:p>
        </w:tc>
      </w:tr>
      <w:tr>
        <w:trPr>
          <w:trHeight w:val="190"/>
        </w:trPr>
        <w:tc>
          <w:tcPr>
            <w:tcW w:w="27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322,848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322,848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322,699</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(15,738)</w:t>
            </w:r>
          </w:p>
        </w:tc>
        <w:tc>
          <w:tcPr>
            <w:tcW w:w="0" w:type="dxa"/>
            <w:vAlign w:val="bottom"/>
          </w:tcPr>
          <w:p>
            <w:pPr>
              <w:spacing w:after="0"/>
              <w:rPr>
                <w:sz w:val="1"/>
                <w:szCs w:val="1"/>
                <w:color w:val="auto"/>
              </w:rPr>
            </w:pPr>
          </w:p>
        </w:tc>
      </w:tr>
      <w:tr>
        <w:trPr>
          <w:trHeight w:val="210"/>
        </w:trPr>
        <w:tc>
          <w:tcPr>
            <w:tcW w:w="2760" w:type="dxa"/>
            <w:vAlign w:val="bottom"/>
          </w:tcPr>
          <w:p>
            <w:pPr>
              <w:ind w:left="140"/>
              <w:spacing w:after="0"/>
              <w:rPr>
                <w:sz w:val="20"/>
                <w:szCs w:val="20"/>
                <w:color w:val="auto"/>
              </w:rPr>
            </w:pPr>
            <w:r>
              <w:rPr>
                <w:rFonts w:ascii="Arial" w:cs="Arial" w:eastAsia="Arial" w:hAnsi="Arial"/>
                <w:sz w:val="14"/>
                <w:szCs w:val="14"/>
                <w:color w:val="auto"/>
              </w:rPr>
              <w:t>Non-cash stock-based compensation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21,875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21,875</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shares, net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993,893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760" w:type="dxa"/>
            <w:vAlign w:val="bottom"/>
          </w:tcPr>
          <w:p>
            <w:pPr>
              <w:ind w:left="140"/>
              <w:spacing w:after="0"/>
              <w:rPr>
                <w:sz w:val="20"/>
                <w:szCs w:val="20"/>
                <w:color w:val="auto"/>
              </w:rPr>
            </w:pPr>
            <w:r>
              <w:rPr>
                <w:rFonts w:ascii="Arial" w:cs="Arial" w:eastAsia="Arial" w:hAnsi="Arial"/>
                <w:sz w:val="14"/>
                <w:szCs w:val="14"/>
                <w:color w:val="auto"/>
                <w:w w:val="92"/>
              </w:rPr>
              <w:t>Other stock issuances, net of shares withheld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140"/>
              <w:spacing w:after="0"/>
              <w:rPr>
                <w:sz w:val="20"/>
                <w:szCs w:val="20"/>
                <w:color w:val="auto"/>
              </w:rPr>
            </w:pPr>
            <w:r>
              <w:rPr>
                <w:rFonts w:ascii="Arial" w:cs="Arial" w:eastAsia="Arial" w:hAnsi="Arial"/>
                <w:sz w:val="14"/>
                <w:szCs w:val="14"/>
                <w:color w:val="auto"/>
              </w:rPr>
              <w:t>for taxes</w:t>
            </w:r>
          </w:p>
        </w:tc>
        <w:tc>
          <w:tcPr>
            <w:tcW w:w="720" w:type="dxa"/>
            <w:vAlign w:val="bottom"/>
          </w:tcPr>
          <w:p>
            <w:pPr>
              <w:jc w:val="right"/>
              <w:spacing w:after="0"/>
              <w:rPr>
                <w:sz w:val="20"/>
                <w:szCs w:val="20"/>
                <w:color w:val="auto"/>
              </w:rPr>
            </w:pPr>
            <w:r>
              <w:rPr>
                <w:rFonts w:ascii="Arial" w:cs="Arial" w:eastAsia="Arial" w:hAnsi="Arial"/>
                <w:sz w:val="14"/>
                <w:szCs w:val="14"/>
                <w:color w:val="auto"/>
              </w:rPr>
              <w:t>204,117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5,945</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treasury stock, at cost</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(3,597,009)</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(120,228)</w:t>
            </w:r>
          </w:p>
        </w:tc>
        <w:tc>
          <w:tcPr>
            <w:tcW w:w="0" w:type="dxa"/>
            <w:vAlign w:val="bottom"/>
          </w:tcPr>
          <w:p>
            <w:pPr>
              <w:spacing w:after="0"/>
              <w:rPr>
                <w:sz w:val="1"/>
                <w:szCs w:val="1"/>
                <w:color w:val="auto"/>
              </w:rPr>
            </w:pPr>
          </w:p>
        </w:tc>
      </w:tr>
      <w:tr>
        <w:trPr>
          <w:trHeight w:val="210"/>
        </w:trPr>
        <w:tc>
          <w:tcPr>
            <w:tcW w:w="276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85"/>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93,107,440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9,311</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(18,941,926)</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(586,955)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837,453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1,833,557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(91,444)</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2,001,922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$ 2,005,525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4"/>
          <w:szCs w:val="14"/>
          <w:b w:val="1"/>
          <w:bCs w:val="1"/>
          <w:color w:val="auto"/>
        </w:rPr>
        <w:t>MASTEC,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170"/>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322,699</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394,096</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259,231</w:t>
            </w: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258,841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212,485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192,332</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20,598</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Goodwill and intangible asset impairment</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3,319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47,662</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interest expense, net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Non-cash stock-based compensation expense</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21,875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16,447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13,527</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deferred income taxes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56,209</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Equity in earnings of unconsolidated affiliates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(29,738)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(27,367)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(23,855)</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Gains on sales of assets, net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(16,052)</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Other non-cash items, net</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21,775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(2,768)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8,910</w:t>
            </w: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assets and liabilities, net of acquisitions: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87,372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(124,739)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(8,363)</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Contract assets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63,306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237,800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(326,838)</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17,904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24,051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(29,366)</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current and long-term portion</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20,486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28,709</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94,069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(228,142)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251,735</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Contract liabilities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21,326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28,411</w:t>
            </w:r>
          </w:p>
        </w:tc>
      </w:tr>
      <w:tr>
        <w:trPr>
          <w:trHeight w:val="186"/>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 current and long-term portion</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4,471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52,663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24,522</w:t>
            </w:r>
          </w:p>
        </w:tc>
      </w:tr>
      <w:tr>
        <w:trPr>
          <w:trHeight w:val="186"/>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937,254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550,278</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529,956</w:t>
            </w:r>
          </w:p>
        </w:tc>
      </w:tr>
      <w:tr>
        <w:trPr>
          <w:trHeight w:val="166"/>
        </w:trPr>
        <w:tc>
          <w:tcPr>
            <w:tcW w:w="70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for acquisitions, net of cash acquired</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(179,481)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(6,684)</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(213,746)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(126,473)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(180,420)</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property and equipment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35,015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39,359</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Payments for other investments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(5,589)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(39,469)</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other investments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Other investing activities, net</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(216,605)</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(261,823)</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(181,799)</w:t>
            </w:r>
          </w:p>
        </w:tc>
      </w:tr>
      <w:tr>
        <w:trPr>
          <w:trHeight w:val="166"/>
        </w:trPr>
        <w:tc>
          <w:tcPr>
            <w:tcW w:w="70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credit facilities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1,434,610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3,025,927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3,418,232</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Repayments of credit facilities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(1,741,067)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(3,126,595)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(3,359,521)</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4.50% senior notes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Repayments of 4.875% senior notes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Repayments of other borrowings, net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(17,427)</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Payments of finance lease obligations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(126,988)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(88,341)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(72,167)</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acquisition-related contingent consideration</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(34,267)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(15,929)</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(Distributions to) proceeds from non-controlling interests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(559)</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stock-based awards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7,090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4,047</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Payments for stock-based awards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(3,821)</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Repurchases of common stock</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(313,949)</w:t>
            </w:r>
          </w:p>
        </w:tc>
      </w:tr>
      <w:tr>
        <w:trPr>
          <w:trHeight w:val="186"/>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financing activities, net</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(8,458)</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(369,887)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(244,631)</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(361,094)</w:t>
            </w:r>
          </w:p>
        </w:tc>
      </w:tr>
      <w:tr>
        <w:trPr>
          <w:trHeight w:val="179"/>
        </w:trPr>
        <w:tc>
          <w:tcPr>
            <w:tcW w:w="7020" w:type="dxa"/>
            <w:vAlign w:val="bottom"/>
          </w:tcPr>
          <w:p>
            <w:pPr>
              <w:ind w:left="20"/>
              <w:spacing w:after="0"/>
              <w:rPr>
                <w:sz w:val="20"/>
                <w:szCs w:val="20"/>
                <w:color w:val="auto"/>
              </w:rPr>
            </w:pPr>
            <w:r>
              <w:rPr>
                <w:rFonts w:ascii="Arial" w:cs="Arial" w:eastAsia="Arial" w:hAnsi="Arial"/>
                <w:sz w:val="14"/>
                <w:szCs w:val="14"/>
                <w:color w:val="auto"/>
              </w:rPr>
              <w:t>Effect of currency translation on cash</w:t>
            </w:r>
          </w:p>
        </w:tc>
        <w:tc>
          <w:tcPr>
            <w:tcW w:w="3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351,691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44,005</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(12,904)</w:t>
            </w:r>
          </w:p>
        </w:tc>
      </w:tr>
      <w:tr>
        <w:trPr>
          <w:trHeight w:val="17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 beginning of period</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71,427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27,422</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40,326</w:t>
            </w:r>
          </w:p>
        </w:tc>
      </w:tr>
      <w:tr>
        <w:trPr>
          <w:trHeight w:val="183"/>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423,118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71,427</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27,422</w:t>
            </w:r>
          </w:p>
        </w:tc>
      </w:tr>
      <w:tr>
        <w:trPr>
          <w:trHeight w:val="105"/>
        </w:trPr>
        <w:tc>
          <w:tcPr>
            <w:tcW w:w="7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29"/>
        </w:trPr>
        <w:tc>
          <w:tcPr>
            <w:tcW w:w="70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Supplemental cash flow information: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86"/>
        </w:trPr>
        <w:tc>
          <w:tcPr>
            <w:tcW w:w="7020" w:type="dxa"/>
            <w:vAlign w:val="bottom"/>
          </w:tcPr>
          <w:p>
            <w:pPr>
              <w:ind w:left="300"/>
              <w:spacing w:after="0"/>
              <w:rPr>
                <w:sz w:val="20"/>
                <w:szCs w:val="20"/>
                <w:color w:val="auto"/>
              </w:rPr>
            </w:pPr>
            <w:r>
              <w:rPr>
                <w:rFonts w:ascii="Arial" w:cs="Arial" w:eastAsia="Arial" w:hAnsi="Arial"/>
                <w:sz w:val="14"/>
                <w:szCs w:val="14"/>
                <w:color w:val="auto"/>
              </w:rPr>
              <w:t>Interest paid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65,016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84,971</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81,230</w:t>
            </w:r>
          </w:p>
        </w:tc>
      </w:tr>
      <w:tr>
        <w:trPr>
          <w:trHeight w:val="192"/>
        </w:trPr>
        <w:tc>
          <w:tcPr>
            <w:tcW w:w="70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Income tax payments (refunds), net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64,651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106,248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(21,450)</w:t>
            </w:r>
          </w:p>
        </w:tc>
      </w:tr>
      <w:tr>
        <w:trPr>
          <w:trHeight w:val="203"/>
        </w:trPr>
        <w:tc>
          <w:tcPr>
            <w:tcW w:w="7020" w:type="dxa"/>
            <w:vAlign w:val="bottom"/>
          </w:tcPr>
          <w:p>
            <w:pPr>
              <w:ind w:left="60"/>
              <w:spacing w:after="0"/>
              <w:rPr>
                <w:sz w:val="20"/>
                <w:szCs w:val="20"/>
                <w:color w:val="auto"/>
              </w:rPr>
            </w:pPr>
            <w:r>
              <w:rPr>
                <w:rFonts w:ascii="Arial" w:cs="Arial" w:eastAsia="Arial" w:hAnsi="Arial"/>
                <w:sz w:val="14"/>
                <w:szCs w:val="14"/>
                <w:color w:val="auto"/>
              </w:rPr>
              <w:t>Supplemental disclosure of non-cash information:</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70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Additions to property and equipment from finance leases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114,221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206,156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75,545</w:t>
            </w: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1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power generation, including from clean energy and renewable sources; pipeline infrastructure; electrical utility transmission and distribution; heavy civil; and industrial infrastructure. MasTec’s customers are primarily in these industries. MasTec reports its results under five reportable segments: (1) Communications; (2) Clean Energy and Infrastructure; (3) Oil and Gas; (4) Electrical Transmission; and (5) Other. During the second quarter of 2020, the Company renamed its Power Generation and Industrial segment as the Clean Energy and Infrastructure segment to better represent the nature of the segment’s operations, end markets and customer characteristics. There was no change to the composition of the segment or its historical results.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liabilities. Net income or loss attributable to non-controlling interests is reported as a separate line item below net income or loss. The Company’s investments in entities for which the Company does not have a controlling interest, but over which it has the ability to exert significant influence, are accounted for using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 When necessary, certain prior year amounts have been reclassified to conform with the current period presentation.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these consolidated financial statements, “$” means U.S. dollars unless otherwise noted.</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the COVID-19 pandemic and other relevant global events.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and intangible assets, acquisition-related contingent consideration and other liabilities, equity investments and other long-lived assets; allowances for credit losses; asset lives used in computing depreciation and amortization; fair values of financial instruments; self-insurance liabilities; other accruals and allowances; income taxes; and the estimated effects of litigation and other contingencies.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COVID-19 Pandemic</w:t>
      </w:r>
    </w:p>
    <w:p>
      <w:pPr>
        <w:spacing w:after="0" w:line="11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The World Health Organization declared a global pandemic related to the rapidly growing outbreak of a novel strain of coronavirus in the first quarter of 2020. The COVID-19 pandemic has disrupted business activities and significantly affected global economic conditions as federal, state and local governments imposed mitigation measures to address the public health crisis, resulting in workforce, supply chain and production disruptions, the effects of which have created significant uncertainties in the U.S. and global economies. Restrictions have been enacted, lifted, and reenacted during 2020 and into 2021, and the possibility of future restrictions remains.</w:t>
      </w:r>
    </w:p>
    <w:p>
      <w:pPr>
        <w:spacing w:after="0" w:line="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Most of the Company’s construction services have been deemed essential under state and local pandemic mitigation orders, and all of its business segments continue to operate. The Company’s customers have generally directed the Company to maintain normal work schedules, where safe and possible. The Company’s business model has, thus far, proven resilient, and management continues to make efforts to adapt to the changing operational and economic environment resulting from the COVID-19 pandemic. Management’s top priority has been to take appropriate actions to protect the health and safety of its employees, customers and business partners, including adjusting its standard operating procedures to respond to</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spacing w:after="0" w:line="253" w:lineRule="auto"/>
        <w:rPr>
          <w:sz w:val="20"/>
          <w:szCs w:val="20"/>
          <w:color w:val="auto"/>
        </w:rPr>
      </w:pPr>
      <w:r>
        <w:rPr>
          <w:rFonts w:ascii="Arial" w:cs="Arial" w:eastAsia="Arial" w:hAnsi="Arial"/>
          <w:sz w:val="16"/>
          <w:szCs w:val="16"/>
          <w:color w:val="auto"/>
        </w:rPr>
        <w:t>evolving health guidelines. The COVID-19 pandemic has had a negative impact on the Company’s operations and is expected to continue to affect our future business activities for an unknown period of time. These impacts include lost productivity from governmental permitting approval delays, reduced crew productivity due to social distancing, other mitigation measures or other factors, the health and availability of work crews or other key personnel, including subcontractors or supply chain disruptions, and/or delayed project start dates or project shutdowns or cancellations that may be mandated or requested by governmental authorities or others, all of which could result in lower revenue or higher operating costs and/or create lower levels of overhead cost absorption.</w:t>
      </w:r>
    </w:p>
    <w:p>
      <w:pPr>
        <w:spacing w:after="0" w:line="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CARES Act was signed into law in March 2020 in response to the COVID-19 pandemic. The CARES Act provides for various tax relief and incentive measures, including provisions permitting the deferral and/or reduction of certain federal and payroll tax amounts. The Company has pursued certain of these relief provisions. For the year ended December 31, 2020, approximately $59 million of payroll taxes have been deferred, of which half are due by December 31, 2021, with the remainder due by December 31, 2022. Additionally, the Coronavirus Response and Relief Supplemental Appropriations Act (the “Coronavirus Relief Act”), which provides certain additional COVID-19 relief measures, was signed into law in December 2020. The Company will continue to evaluate the potential effects of the CARES Act, along with any potential effects of the Coronavirus Relief Act, on its financial position, results of operations and cash flows and will continue to monitor all other available federal and other COVID-19 relief provisions to determine its qualification for, and the usefulness to the Company, of any such relief measures.</w:t>
      </w:r>
    </w:p>
    <w:p>
      <w:pPr>
        <w:spacing w:after="0" w:line="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Management believes that it is taking appropriate steps to mitigate any potential impact to the Company; however, given the uncertainty regarding the potential effects of the COVID-19 pandemic, which will depend upon numerous evolving factors that we may not be able to accurately predict, including the development and availability of effective treatments and vaccines and the speed with which they are administered to the public and the length and extent of the economic and market disruption, any future impacts cannot be quantified or predicted with specificity.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significant accounting policies followed in the preparation of the accompanying consolidated financial statements.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Company recognizes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 recognized by the Company over time utilizing the cost-to-cost measure of progress, which is an input method, on contracts for specific projects and for certain master service and other service agreements. Under Topic 606, the cost-to-cost measure of progress best depicts the continuous transfer of control of goods or services to the customer, and correspondingly, when performance obligations are satisfied for the related contracts.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Contracts. </w:t>
      </w:r>
      <w:r>
        <w:rPr>
          <w:rFonts w:ascii="Arial" w:cs="Arial" w:eastAsia="Arial" w:hAnsi="Arial"/>
          <w:sz w:val="16"/>
          <w:szCs w:val="16"/>
          <w:color w:val="auto"/>
        </w:rPr>
        <w:t>The Company derives revenue primarily from construction projects performed under: (i) master and other service agreements, which provide a menu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36% of consolidated revenue for each of the years ended December 31, 2020 and 2019, and totaled 35% for the year ended December 31, 2018.</w:t>
      </w:r>
    </w:p>
    <w:p>
      <w:pPr>
        <w:spacing w:after="0" w:line="6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Revenue from contracts for specific projects, as well as for certain projects pursuant to master and other service agreements, is typically recognized over time using the cost-to-cost measure of progress. For these contracts, the cost-to-cost measure of progress best depicts the continuous transfer of control of goods or services to the customer. Such contracts provide that the customer accept completion of progress to date and compensate the Company for services rendered.</w:t>
      </w:r>
    </w:p>
    <w:p>
      <w:pPr>
        <w:spacing w:after="0" w:line="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5% of consolidated revenue for each of the years ended December 31, 2020 and 2019, and accounted for approximately 7% of consolidated revenue for the year ended December 31, 2018. Substantially all of the Company’s other revenue is recognized over time.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Contract costs include all direct materials, labor and subcontracted costs, as well as indirect costs related to contract performance, such as indirect labor, supplies,</w:t>
      </w:r>
    </w:p>
    <w:p>
      <w:pPr>
        <w:spacing w:after="0" w:line="8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tools, repairs and the operational costs of capital equipment. 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each of the years ended December 31, 2020, 2019 and 2018, project profit was affected by less than 5% as a result of changes in contract estimates included in projects that were in process as of December 31, 2019, 2018 and 2017. Revenue recognized for the years ended December 31, 2020, 2019 and 2018 as a result of changes in total contract transaction price estimates, including from variable consideration, from performance obligations satisfied or partially satisfied in prior periods, totaled approximately $13.5 million, $58.3 million and $38.5 million, respectively.</w:t>
      </w:r>
    </w:p>
    <w:p>
      <w:pPr>
        <w:spacing w:after="0" w:line="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may incur certain costs that can be capitalized, such as initial set-up or mobilization costs. Such costs, which are amortized over the life of the respective projects, were $5.5 million as of December 31, 2020 and were not material as of December 31, 2019.</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3" w:name="page54"/>
    <w:bookmarkEnd w:id="53"/>
    <w:p>
      <w:pPr>
        <w:jc w:val="both"/>
        <w:ind w:firstLine="648"/>
        <w:spacing w:after="0" w:line="253" w:lineRule="auto"/>
        <w:rPr>
          <w:sz w:val="20"/>
          <w:szCs w:val="20"/>
          <w:color w:val="auto"/>
        </w:rPr>
      </w:pPr>
      <w:r>
        <w:rPr>
          <w:rFonts w:ascii="Arial" w:cs="Arial" w:eastAsia="Arial" w:hAnsi="Arial"/>
          <w:sz w:val="15"/>
          <w:szCs w:val="15"/>
          <w:color w:val="auto"/>
        </w:rPr>
        <w:t>The timing of customer billings is generally dependent upon advance billing terms, milestone billings based on completion of certain phases of work, or when services are provided. Under the typical payment terms of master and other service agreements and fixed price contracts, the customer makes progress payments based on quantifiable measures of performance by the Company as defined by each specific agreement. Progress payments, generally net of amounts retained, are paid by the customer over the duration of the contract. For install-to-the-home contracts, work orders are billed and paid as completed. Amounts billed and due from customers, as well as the amount of contract assets, are generally classified within current assets in the consolidated balance sheets. See Note 5 - Accounts Receivable, Net of Allowance, and Contract Assets and Liabilities for related discussion. Amounts expected to be collected beyond one year are classified as other long-term assets.</w:t>
      </w:r>
    </w:p>
    <w:p>
      <w:pPr>
        <w:spacing w:after="0" w:line="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vast majority of the Company’s performance obligations are completed within one year.</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When more than one contract is entered into with a customer on or close to the same date, the Company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December 31, 2020, the amount of the Company’s remaining performance obligations was $5.0 billion. The Company expects to recognize approximately $4.6 billion of its remaining performance obligations as revenue during 2021, with the remainder to be recognized primarily in 2022.</w:t>
      </w:r>
    </w:p>
    <w:p>
      <w:pPr>
        <w:spacing w:after="0" w:line="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b w:val="1"/>
          <w:bCs w:val="1"/>
          <w:i w:val="1"/>
          <w:iCs w:val="1"/>
          <w:color w:val="auto"/>
        </w:rPr>
        <w:t xml:space="preserve">Variable Consideration. </w:t>
      </w:r>
      <w:r>
        <w:rPr>
          <w:rFonts w:ascii="Arial" w:cs="Arial" w:eastAsia="Arial" w:hAnsi="Arial"/>
          <w:sz w:val="14"/>
          <w:szCs w:val="14"/>
          <w:color w:val="auto"/>
        </w:rPr>
        <w:t>Transaction prices for the Company’s contracts may include variable consideration, which comprises items such as change orders, claims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incentives. Management estimates variable consideration for a performance obligation utilizing estimation methods that it believes best predict the amount of consideration to which the Company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The effect of variable consideration on the transaction price of a performance obligation is typically recognized as an adjustment to revenue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December 31, 2020 and 2019, the Company included approximately $51 million and $27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December 31, 2020, these change orders and/or claims were primarily related to certain projects in the Company’s Electrical Transmission and Communications segments, and as of December 31, 2019, change orders were primarily related to certain projects in the Company’s Oil and Gas segment.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Allowance for Credit Losses</w:t>
      </w:r>
    </w:p>
    <w:p>
      <w:pPr>
        <w:spacing w:after="0" w:line="1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5"/>
          <w:szCs w:val="15"/>
          <w:color w:val="auto"/>
        </w:rPr>
        <w:t xml:space="preserve">See “Recent Accounting Pronouncements” section below for information pertaining to the adoption of ASU 2016-13, </w:t>
      </w:r>
      <w:r>
        <w:rPr>
          <w:rFonts w:ascii="Arial" w:cs="Arial" w:eastAsia="Arial" w:hAnsi="Arial"/>
          <w:sz w:val="15"/>
          <w:szCs w:val="15"/>
          <w:i w:val="1"/>
          <w:iCs w:val="1"/>
          <w:color w:val="auto"/>
        </w:rPr>
        <w:t>Financial Instruments - Credit Losses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326), Measurement of Credit Losses on Financial Instruments </w:t>
      </w:r>
      <w:r>
        <w:rPr>
          <w:rFonts w:ascii="Arial" w:cs="Arial" w:eastAsia="Arial" w:hAnsi="Arial"/>
          <w:sz w:val="15"/>
          <w:szCs w:val="15"/>
          <w:color w:val="auto"/>
        </w:rPr>
        <w:t>and its related clarifying ASUs (collectively, “ASU 2016-13”). The Company maintains an allowance for</w:t>
      </w:r>
      <w:r>
        <w:rPr>
          <w:rFonts w:ascii="Arial" w:cs="Arial" w:eastAsia="Arial" w:hAnsi="Arial"/>
          <w:sz w:val="15"/>
          <w:szCs w:val="15"/>
          <w:i w:val="1"/>
          <w:iCs w:val="1"/>
          <w:color w:val="auto"/>
        </w:rPr>
        <w:t xml:space="preserve"> </w:t>
      </w:r>
      <w:r>
        <w:rPr>
          <w:rFonts w:ascii="Arial" w:cs="Arial" w:eastAsia="Arial" w:hAnsi="Arial"/>
          <w:sz w:val="15"/>
          <w:szCs w:val="15"/>
          <w:color w:val="auto"/>
        </w:rPr>
        <w:t>credit losses for its financial instruments, which are primarily composed of accounts receivable and contract assets. The measurement and recognition of credit losses involves the use of judgment and represents management’s estimate of expected lifetime credit losses based on historical experience and trends, current conditions and reasonable and supportable forecasts. Management’s assessment of expected credit losses includes consideration of current and expected economic, market and industry factors affecting the Company’s customers, including their financial condition, the aging of account balances, historical credit loss experience, customer concentrations, customer credit-worthiness, availability of mechanics’ and other liens, existence of payment bonds and other sources of payment. Management evaluates its experience with historical losses and then applies this historical loss ratio to financial assets with similar characteristics. The Company’s historical loss ratio or its determination of risk pools may be adjusted for changes in customer, economic, market or other circumstances. The Company may also establish an allowance for credit losses for specific receivables when it is probable that the receivable will not be collected and the loss can be reasonably estimated. Amounts are written off against the allowance when they are considered to be uncollectible, and reversals of previously reserved amounts are recognized if a specifically reserved item is settled for an amount exceeding the previous estimate.</w:t>
      </w:r>
    </w:p>
    <w:p>
      <w:pPr>
        <w:spacing w:after="0" w:line="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Estimates of expected credit losses could be affected by many factors, including, but not limited to: changes in credit loss experience, changes to the risk characteristics of the Company’s financial asset portfolio, developing trends, including changes in credit quality or unanticipated financial difficulties affecting the Company’s customers and changes in management’s expectations of future economic, industry or other conditions. In addition, if anticipated recoveries in existing bankruptcies or other work-out situations fail to materialize, additional allowances may be required. Estimates of collectibility are subject to significant change during times of economic weakness or uncertainty in either the overall economy or within the industries served by MasTec. Management actively monitors these factors and assesses the sufficiency of its allowance for credit losses on an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6"/>
          <w:szCs w:val="16"/>
          <w:color w:val="auto"/>
        </w:rPr>
        <w:t>ongoing basis, including any potential effects from the COVID-19 pandemic and/or volatility in the oil and gas markets on the credit quality of the Company’s customers and/or its financial assets.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Inventories</w:t>
      </w:r>
    </w:p>
    <w:p>
      <w:pPr>
        <w:spacing w:after="0" w:line="1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Inventories consist of materials and supplies for construction and installation projects, which are valued at the lower of cost or net realizable value using the average cost or specific identification methods of costing. For materials or supplies purchased on behalf of specific customers or projects, loss of the customer or cancellation of the project could result in an impairment of the value of materials purchased. The value of inventory may also decrease due to obsolescence, physical deterioration, damage, changes in price levels, or other causes. Inventory valuation allowances are determined based upon specific facts and circumstances and market conditions. As of December 31, 2020 and 2019, valuation allowances for inventory totaled $8.5 million and $7.7 million, respectively.</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consisting of interest-bearing demand deposits is carried at cost, which approximates fair value. Highly liquid investments with an original maturity of three months or less are carried at fair value. On a daily basis, available funds are swept from the Company’s depository accounts into a concentration account and are used to repay outstanding revolving loans, if any, under the Company’s senior secured credit facility (the “Credit Facility”). Cash balances maintained by certain operating subsidiaries and by entities that are proportionately consolidated that are not swept into the concentration account, as well as deposits made subsequent to the daily cash sweep, are classified as cash. Included in the Company’s cash balances as of December 31, 2020 and 2019 are amounts held by entities that are proportionately consolidated totaling $8.2 million and $13.1 million, respectively. These amounts are available to support the operations of those entities, but are not available for the Company’s other operations. The Company generally does not fund its disbursement accounts for checks it has written until the checks are presented to the bank for payment. Outstanding checks that have not yet cleared through the banking system represent book overdrafts, which are classified within accounts payable. There are no compensating balance requirements associated with the Company’s depository accounts and there are no other restrictions on the transfer of cash associated with the Company’s depository accounts.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cash collateral deposited with insurance carriers, life insurance assets, equity investments, certain other investments, deferred compensation plan assets and liabilities, accounts payable and other current liabilities, acquisition-related contingent consideration, mandatorily redeemable non-controlling interests, convertible debentures and debt obligations.</w:t>
      </w:r>
    </w:p>
    <w:p>
      <w:pPr>
        <w:spacing w:after="0" w:line="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and outstanding balances on its credit facilities approximate their fair values.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Investment and Strategic Arrangements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From time to time, the Company may participate in selected investment or strategic arrangements to expand its operations, customer base or geographic reach, including arrangements that combine the Company’s skills and resources with those of others to allow for the performance of particular projects. The Company’s investment and strategic arrangements include equity interests in various business entities and participation in contractual joint ventures, some of which may involve the extension of loans or other types of financing arrangements, including approximately $3 million of financing receivables and $3 million of financing commitments as of December 31, 2020.</w:t>
      </w:r>
    </w:p>
    <w:p>
      <w:pPr>
        <w:spacing w:after="0" w:line="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The Company has determined that certain of its investment arrangements are VIEs. As of December 31, 2020,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investments in entities for which it does not have a controlling interest and is not the primary beneficiary, but for which it has the ability to exert significant influence, are accounted for using the equity method of accounting. Under the equity method of accounting, the initial investment is recorded at cost and the investment is subsequently adjusted for its proportionate share of earnings or losses, including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5" w:name="page56"/>
    <w:bookmarkEnd w:id="55"/>
    <w:p>
      <w:pPr>
        <w:jc w:val="both"/>
        <w:spacing w:after="0" w:line="295" w:lineRule="auto"/>
        <w:rPr>
          <w:sz w:val="20"/>
          <w:szCs w:val="20"/>
          <w:color w:val="auto"/>
        </w:rPr>
      </w:pPr>
      <w:r>
        <w:rPr>
          <w:rFonts w:ascii="Arial" w:cs="Arial" w:eastAsia="Arial" w:hAnsi="Arial"/>
          <w:sz w:val="14"/>
          <w:szCs w:val="14"/>
          <w:color w:val="auto"/>
        </w:rPr>
        <w:t>consideration of basis differences resulting from the difference between the initial carrying amount of the investment and the underlying equity in net assets. Equity method investments are recorded as other long-term assets. Income or loss from these investments is recorded as a separate line item in the consolidated statements of operations. Intercompany profits or losses associated with the Company’s equity method investments are eliminated until realized by the investee in transactions with third parties. Distributions received from equity method investees are reflected in the statements of cash flows using the nature of distributions approach, under which distributions are classified based on the nature of the activity that generated them.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w:t>
      </w:r>
    </w:p>
    <w:p>
      <w:pPr>
        <w:spacing w:after="0" w:line="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252525"/>
        </w:rPr>
        <w:t>E</w:t>
      </w:r>
      <w:r>
        <w:rPr>
          <w:rFonts w:ascii="Arial" w:cs="Arial" w:eastAsia="Arial" w:hAnsi="Arial"/>
          <w:sz w:val="16"/>
          <w:szCs w:val="16"/>
          <w:color w:val="000000"/>
        </w:rPr>
        <w:t>quity investments, other than those accounted for as equity method investments or those that are proportionately consolidated, are measured at fair value if their</w:t>
      </w:r>
      <w:r>
        <w:rPr>
          <w:rFonts w:ascii="Arial" w:cs="Arial" w:eastAsia="Arial" w:hAnsi="Arial"/>
          <w:sz w:val="16"/>
          <w:szCs w:val="16"/>
          <w:color w:val="252525"/>
        </w:rPr>
        <w:t xml:space="preserve"> </w:t>
      </w:r>
      <w:r>
        <w:rPr>
          <w:rFonts w:ascii="Arial" w:cs="Arial" w:eastAsia="Arial" w:hAnsi="Arial"/>
          <w:sz w:val="16"/>
          <w:szCs w:val="16"/>
          <w:color w:val="000000"/>
        </w:rPr>
        <w:t>fair values are readily determinable. Equity investments that do not have readily determinable fair values are measured at cost, adjusted for changes from observable market transactions, if any, less impairment (“adjusted cost basis”). The Company evaluates such investments for impairment by considering a variety of factors, including the earnings performance of the related investments, as well as the economic environment and market conditions in which the investees operate. Fair value measurements for the Company’s equity investments are classified within Level 2 or Level 3 of the fair value hierarchy based on the nature of the fair value inputs, and are recognized in other income or expense.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252525"/>
        </w:rPr>
        <w:t>For further information pertaining to the Company’s equity investments, see Note 4 - Fair Value of Financial Instruments.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Deferred Financing Costs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Deferred financing costs relate to the Company’s debt instruments, the short and long-term portions of which are reflected as deductions from the carrying amounts of the related debt instrument, including the Credit Facility. Deferred financing costs are amortized over the terms of the related debt instruments using the effective interest method. The Company incurred $8.9 million of deferred financing costs for the year ended December 31, 2020 in connection with the issuance of its 4.50% Senior Notes. For the year ended December 31, 2019, the Company incurred $5.5 million of deferred financing costs in connection with an amendment and restatement of the Credit Facility. Amortization expense associated with deferred financing costs, which is included within interest expense, net, totaled $3.0 million for the year ended December 31, 2020</w:t>
      </w:r>
      <w:r>
        <w:rPr>
          <w:rFonts w:ascii="Arial" w:cs="Arial" w:eastAsia="Arial" w:hAnsi="Arial"/>
          <w:sz w:val="16"/>
          <w:szCs w:val="16"/>
          <w:color w:val="auto"/>
        </w:rPr>
        <w:t>,</w:t>
      </w:r>
      <w:r>
        <w:rPr>
          <w:rFonts w:ascii="Arial" w:cs="Arial" w:eastAsia="Arial" w:hAnsi="Arial"/>
          <w:sz w:val="15"/>
          <w:szCs w:val="15"/>
          <w:color w:val="auto"/>
        </w:rPr>
        <w:t xml:space="preserve"> and totaled $2.9 million for each of the years ended December 31, 2019 and 2018. Additionally, the Company wrote off $2.3 million of deferred financing costs in connection with the redemption of its 4.875% Senior Notes, which amount is included within loss on extinguishment of debt in the consolidated statements of operations. Deferred financing costs, net of accumulated amortization, totaled $16.0 million and $12.4 million as of December 31, 2020 and 2019, respectively. See Note 7 - Debt for details of the issuance of the Company’s 4.50% Senior Notes and redemption of its 4.875% Senior Notes in 2020.</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Assets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Other assets consist primarily of investments in unconsolidated entities, equity and debt securities, life insurance assets, deferred compensation plan assets, miscellaneous receivables and prepaid expenses.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Long-Lived Assets</w:t>
      </w:r>
    </w:p>
    <w:p>
      <w:pPr>
        <w:spacing w:after="0" w:line="1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Company’s long-lived assets consist primarily of property and equipment, including finance lease assets, and finite-lived intangible assets. Purchased property and equipment are recorded at cost, or, if acquired in a business combination, at the acquisition date fair value. Finance lease assets are recognized based on the present value of minimum future lease payments. Certain costs incurred in connection with developing or obtaining internal-use software are capitalized within office furniture and equipment. Depreciation and amortization of property and equipment, including finance lease assets, is computed using the straight-line method over the estimated useful lives of the respective assets. Leasehold improvements are depreciated over the shorter of the term of the lease or the estimated useful lives of the improvements. Expenditures for repairs and maintenance are charged to expense as incurred. Expenditures for betterments and major improvements that extend the life of the related assets are capitalized and depreciated over the remaining useful lives of the assets. The carrying amounts of assets sold or retired and the related accumulated depreciation are eliminated in the year of disposal, with resulting gains or losses included in other income or expense. When the Company identifies assets to be sold, those assets are valued based on their estimated fair value less costs to sell and classified as held-for-sale and depreciation is no longer recorded. Finite-lived intangible assets are amortized over their useful lives, which are generally based on contractual or legal rights, in a manner consistent with the pattern in which the related benefits are expected to be consumed.</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Management reviews long-lived assets for impairment whenever events or changes in circumstances indicate that their carrying amounts may not be recoverable. If an evaluation is required, the estimated future undiscounted cash flows associated with the asset are compared with the asset’s carrying amount to determine if there has been an impairment, which is calculated as the difference between the fair value of an asset and its carrying value. Estimates of future undiscounted cash flows are based on expected revenue and operating costs for the business as well as anticipated future economic conditions. Fair values take into consideration management’s estimates of risk-adjusted discount rates, which are believed to be consistent with assumptions that marketplace participants would use in their estimates of fair value. During the three years in the period ended December 31, 2020, there were no material impairments of long-lived assets.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Goodwill and Indefinite-Lived Intangible Assets</w:t>
      </w:r>
    </w:p>
    <w:p>
      <w:pPr>
        <w:spacing w:after="0" w:line="1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Company has goodwill and indefinite-lived intangible assets that have been recorded in connection with its acquisitions of businesses. Goodwill and indefinite-lived intangible assets are not amortized, but instead are tested for impairment at least annually. The Company performs its annual impairment tests of goodwill and indefinite-lived intangible assets during the fourth quarter of each year, and on a quarterly basis, monitors these assets for potential indicators of impairment. Goodwill is required to be tested for impairment at the reporting unit level. A reporting unit is an operating segment, or one level below the operating segment, which is referred to as a component. Management identifies its reporting units by assessing whether components (i) have discrete financial information available; (ii) engage in business activities; and (iii) have a segment manager that regularly reviews the component’s operating results.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6" w:name="page57"/>
    <w:bookmarkEnd w:id="56"/>
    <w:p>
      <w:pPr>
        <w:jc w:val="both"/>
        <w:ind w:firstLine="648"/>
        <w:spacing w:after="0" w:line="256" w:lineRule="auto"/>
        <w:rPr>
          <w:sz w:val="20"/>
          <w:szCs w:val="20"/>
          <w:color w:val="auto"/>
        </w:rPr>
      </w:pPr>
      <w:r>
        <w:rPr>
          <w:rFonts w:ascii="Arial" w:cs="Arial" w:eastAsia="Arial" w:hAnsi="Arial"/>
          <w:sz w:val="16"/>
          <w:szCs w:val="16"/>
          <w:color w:val="auto"/>
        </w:rPr>
        <w:t>If two or more components are deemed economically similar, those components are aggregated into one reporting unit when performing the annual goodwill impairment test. Based on management’s review of its components and their related operations, the Company combines all of the components of its Electrical Transmission operating segment into one reporting unit and in 2018 and 2019, combined two of the components within its Clean Energy and Infrastructure operating segment into one reporting unit. All of the Company’s other components each comprise one reporting unit.</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During each of the three years in the period ended December 31, 2020, management performed a qualitative assessment for its goodwill and indefinite-lived intangible assets by examining relevant events and circumstances that could have an effect on their fair values, such as: macroeconomic conditions, industry and market conditions, entity-specific events, financial performance and other relevant factors or events that could affect earnings and cash flows.</w:t>
      </w:r>
    </w:p>
    <w:p>
      <w:pPr>
        <w:spacing w:after="0" w:line="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Quantitative testing was performed for selected reporting units during each of the three years. For the selected reporting units, management estimated their fair values using a combination of market and income approaches.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and market conditions; and (iii) the impact of planned business and operational strategies. Management believes the assumptions used in its quantitative goodwill impairment tests are reflective of the risks inherent in the business models of the Company’s reporting units and within the Company’s industry. Estimated discount rates were determined using the weighted average cost of capital for each reporting unit at the time of the analysis, taking into consideration the risks inherent within each reporting unit individually.</w:t>
      </w:r>
    </w:p>
    <w:p>
      <w:pPr>
        <w:spacing w:after="0" w:line="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2020 Assessment. </w:t>
      </w:r>
      <w:r>
        <w:rPr>
          <w:rFonts w:ascii="Arial" w:cs="Arial" w:eastAsia="Arial" w:hAnsi="Arial"/>
          <w:sz w:val="16"/>
          <w:szCs w:val="16"/>
          <w:color w:val="auto"/>
        </w:rPr>
        <w:t>Quantitative testing was performed for (i) three reporting units within the Company’s Oil and Gas operating segment and (ii) one reporting unit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Communications segment. Factors considered by management in determining the reporting units for which quantitative assessments were performed included the effects of current or expected changes in market conditions on the future business outlook, the potential effects of the COVID-19 pandemic, success rates on new project awards and levels of operating activity.</w:t>
      </w:r>
    </w:p>
    <w:p>
      <w:pPr>
        <w:spacing w:after="0" w:line="79"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2020, significant assumptions used in testing the reporting units included terminal values based on terminal growth rates of 2.5%, five to nine years of discounted cash flows prior to the terminal value, and discount rates ranging from 13.0% to 15.0%.</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Based on the results of the quantitative assessment, the estimated fair values of the reporting unit in the Communications operating segment and the three reporting units in the Oil and Gas operating segment were determined to substantially exceed their carrying values. A 100 basis point increase in the discount rate would not have resulted in any of the reporting units’ carrying values exceeding their fair values.</w:t>
      </w:r>
    </w:p>
    <w:p>
      <w:pPr>
        <w:spacing w:after="0" w:line="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b w:val="1"/>
          <w:bCs w:val="1"/>
          <w:i w:val="1"/>
          <w:iCs w:val="1"/>
          <w:color w:val="auto"/>
        </w:rPr>
        <w:t xml:space="preserve">2019 Assessment. </w:t>
      </w:r>
      <w:r>
        <w:rPr>
          <w:rFonts w:ascii="Arial" w:cs="Arial" w:eastAsia="Arial" w:hAnsi="Arial"/>
          <w:sz w:val="15"/>
          <w:szCs w:val="15"/>
          <w:color w:val="auto"/>
        </w:rPr>
        <w:t>Quantitative testing was performed for (i) three reporting units within the Company’s Oil and Gas operating segment and (ii) one reporting unit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Communications segment. Factors considered by management in determining the reporting units for which quantitative assessments were performed included the effects of current or expected changes in market conditions on the future business outlook, success rates on new project awards and levels of operating activity.</w:t>
      </w:r>
    </w:p>
    <w:p>
      <w:pPr>
        <w:spacing w:after="0" w:line="58"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2019, significant assumptions used in testing the reporting units included terminal values based on terminal growth rates of 3.0%, five to nine years of discounted cash flows prior to the terminal value, and discount rates ranging from 13.0% to 16.0%.</w:t>
      </w:r>
    </w:p>
    <w:p>
      <w:pPr>
        <w:spacing w:after="0" w:line="6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Based on the results of the quantitative assessment, the estimated fair values of the reporting unit in the Communications operating segment and one of the reporting units in the Oil and Gas operating segment were determined to substantially exceed their carrying values. The remaining two reporting units in the Oil and Gas operating segment, each of which had approximately $15.0 million of goodwill, had estimated fair values that exceed their respective carrying values by approximately 15%. A 100 basis point increase in the discount rate would not have resulted in any of the reporting units’ carrying values exceeding their fair values.</w:t>
      </w:r>
    </w:p>
    <w:p>
      <w:pPr>
        <w:spacing w:after="0" w:line="65"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6"/>
          <w:szCs w:val="16"/>
          <w:color w:val="auto"/>
        </w:rPr>
        <w:t>Management also performed quantitative testing during 2019 for an indefinite-lived pre-qualification intangible asset in the Oil and Gas operating segment. Management estimated the fair value of the intangible asset using a cost methodology, incorporating estimates of the opportunity cost associated with the asset’s loss based on discounted cash flows over a four-year period. The impairment test incorporated an estimated discount rate of 13%. Based on the results of the quantitative assessment, the estimated fair value of the indefinite-lived pre-qualification intangible asset in the Oil and Gas operating segment was determined to be less than its carrying value and a pre-tax, non-cash impairment charge of $3.3 million was recorded for the difference. This indefinite-lived pre-qualification intangible asset had a carrying value of $41.4 million remaining as of December 31, 2019.</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2018 Assessment. </w:t>
      </w:r>
      <w:r>
        <w:rPr>
          <w:rFonts w:ascii="Arial" w:cs="Arial" w:eastAsia="Arial" w:hAnsi="Arial"/>
          <w:sz w:val="16"/>
          <w:szCs w:val="16"/>
          <w:color w:val="auto"/>
        </w:rPr>
        <w:t>Quantitative testing was performed for (i) three reporting units within the Company’s Oil and Gas operating segment, (ii) the Electrical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Transmission operating segment, and (iii) two reporting units in the Communications segment. Based on the results of the quantitative assessments, the estimated fair value of one of the reporting units in the Oil and Gas operating segment was determined to be less than its carrying value and a pre-tax, non-cash impairment charge of $47.7 million was recorded for the difference. Management also performed quantitative testing for indefinite-lived pre-qualification intangible assets in the Oil and Gas operating segment and in the Electrical Transmission operating segment. Based on the results of these assessments, there were no impairments of indefinite-lived intangible assets for the year ended December 31, 2018.</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2020 and 2019, management believes that the recorded balances of goodwill and indefinite-lived intangible assets are recoverable; however, significant changes in the assumptions or estimates used in the Company’s impairment analyses, such as a reduction in profitability and/or cash flows, could result in non-cash goodwill and indefinite-lived intangible asset impairment charges in future periods.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determination of the fair value of net assets acquired in a business combination requires estimates and judgments of future cash flow expectations for the acquired business and the related identifiable tangible and intangible assets. Fair values of net assets acquired are calculated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7" w:name="page58"/>
    <w:bookmarkEnd w:id="57"/>
    <w:p>
      <w:pPr>
        <w:jc w:val="both"/>
        <w:spacing w:after="0" w:line="261" w:lineRule="auto"/>
        <w:rPr>
          <w:sz w:val="20"/>
          <w:szCs w:val="20"/>
          <w:color w:val="auto"/>
        </w:rPr>
      </w:pPr>
      <w:r>
        <w:rPr>
          <w:rFonts w:ascii="Arial" w:cs="Arial" w:eastAsia="Arial" w:hAnsi="Arial"/>
          <w:sz w:val="16"/>
          <w:szCs w:val="16"/>
          <w:color w:val="auto"/>
        </w:rPr>
        <w:t>using expected cash flows and industry-standard valuation techniques. For current assets and current liabilities, book value is generally assumed to equal fair value. Goodwill is the amount by which consideration paid exceeds the fair value of acquired net assets. Acquisition costs, including acquisition integration costs, are expensed as incurred and are included within general and administrative expenses in the consolidated statements of operations.</w:t>
      </w:r>
    </w:p>
    <w:p>
      <w:pPr>
        <w:spacing w:after="0" w:line="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or adjust the fair values, of acquisition-related assets and liabilities and/or consideration paid, and are referred to as “measurement period” adjustments, and are recorded to goodwill. Other revisions to these fair value estimates are reflected as income or expense, as appropriate.</w:t>
      </w:r>
    </w:p>
    <w:p>
      <w:pPr>
        <w:spacing w:after="0" w:line="5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Consideration paid generally consists of cash and potential future payments that are contingent upon the acquired business achieving certain levels of earnings in the future, also referred to as “acquisition-related contingent consideration” or “earn-outs.” In one of the Company’s acquisitions, the acquisition consideration includes a mandatorily redeemable non-controlling interest, subject to a repurchase formula, which is calculated in a manner consistent with the Company’s traditional earn-out arrangements. The Company refers to its traditional earn-out arrangements and the mandatorily redeemable non-controlling interest collectively as “Earn-outs.” Earn-out liabilities are measured at their estimated fair values as of the date of acquisition. Subsequent to the date of acquisition, if future Earn-out payments are expected to differ from Earn-out payments estimated as of the date of acquisition, any related fair value adjustments, including those related to finalization of completed earn-out arrangements, are recognized in the period that such expectation is considered probable. Changes in the fair value of Earn-out liabilities for the Company’s traditional earn-outs, other than those related to measurement period adjustments, as described above, are recorded within other income or expense in the consolidated statements of operations, and for mandatorily redeemable non-controlling interests, are generally recorded within interest expense. Fair values are estimated using income approaches such as discounted cash flows or option pricing models. Earn-out liabilities are included within other current and other long-term liabilities, as appropriate, within the consolidated balance sheets. Earn-out payments, to the extent they relate to estimated liabilities as of the date of acquisition, are classified within financing activities in the consolidated statement of cash flows. Earn-out payments in excess of acquisition date liabilities are classified within operating activities.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Leases</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In the ordinary course of business, the Company enters into agreements that provide financing for machinery and equipment and for other of its facility, vehicle and equipment needs, including related party leases. The Company reviews all agreements to determine if a leasing arrangement exists. When a leasing arrangement is identified, a determination is made at inception as to whether the lease is an operating or a finance lease. A lease exists when a contract conveys the right to control the use of an identified asset for a period of time in exchange for consideration. In determining whether a lease exists, the Company considers whether a contract provides both the right to obtain substantially all of the economic benefits from the use of an asset and the right to direct the use of the asset. Right-of-use assets and lease liabilities are recognized at the lease commencement date based on the present value of the minimum future lease payments over the expected term of the lease. The Company’s lease assets are primarily concentrated in vehicles, machinery and equipment.</w:t>
      </w:r>
    </w:p>
    <w:p>
      <w:pPr>
        <w:spacing w:after="0" w:line="7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Leases with an initial term of twelve months or less are classified as short-term leases and are not recognized in the consolidated balance sheets unless the lease contains a purchase option that is reasonably certain to be exercised, or unless it is reasonably certain that the equipment will be leased for greater than twelve months. Lease payments for short-term leases are recognized on a straight-line basis over the lease term, and primarily relate to equipment used on construction projects, for which the rentals are based on daily, weekly or monthly rental rates, and typically contain termination for convenience provisions. Lease determinations are reassessed in the event of a change in lease terms. The Company has a limited number of sublease arrangements, which are not considered material to the consolidated financial statements.</w:t>
      </w:r>
    </w:p>
    <w:p>
      <w:pPr>
        <w:spacing w:after="0" w:line="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of December 31, 2020, the Company’s leases have remaining lease terms of up to eight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 accounts for non-lease components together with the related lease components for all classes of leased assets. The Company’s lease agreements do not contain significant residual value guarantees or material restrictive covenants.</w:t>
      </w:r>
    </w:p>
    <w:p>
      <w:pPr>
        <w:spacing w:after="0" w:line="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Lease term, discount rate, variable lease costs and future minimum lease payment determinations require the use of judgment, and are based on the facts and circumstances of each lease. Economic incentives, intent, past history and business need are among the factors considered to determine if renewal and/or purchase options are reasonably certain to be exercised. The majority of the Company’s lease agreements do not explicitly state the discount rate implicit in the lease, therefore, the Company generally uses an incremental borrowing rate to determine the value of its lease obligations. The incremental borrowing rate represents the rate of interest that would be paid to borrow on a collateralized basis over a similar term. The Company determines its incremental borrowing rate using a portfolio approach based on information available as of the lease commencement date, including applicable lease terms and the current economic environment.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Finance Leases</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Finance lease assets are recorded within property and equipment, with a corresponding amount recorded within the Company’s debt obligations. Finance lease expense is composed of depreciation expense on the leased asset and interest on the lease liability. Additions to finance leases are included within the supplemental disclosures of non-cash information in the consolidated statements of cash flows. Many of the Company’s finance leases contain purchase options, which the Company frequently exercises, given that the purchase option prices are typically below the estimated fair market values of the related assets.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Operating lease right-of-use assets and liabilities are recorded on the consolidated balance sheets, with the related lease expense recognized over the term of the lease on a straight-line basis. Operating lease expense is recorded as rent expense, primarily within costs of revenue, excluding depreciation and amortization. Fixed costs for operating leases are composed of initial base rent amounts plus any fixed annual increases. Variable costs for operating leases consist primarily of common area maintenance expenses and taxes for facility leases. Certain of the Company’s operating leases contain purchase options, for which the purchase option price is generally considered to be at fair market value. From time to time, the Company may terminate a lease before the end of the lease term. Payments related to such early lease terminations are generally recorded within rent expense.</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Self-Insurance</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self-insured up to the amount of its deductible for its insurance policies. MasTec maintains insurance policies subject to per claim deductibles of $2.0 million for its workers’ compensation policy, $4.0 million for its general liability policy and up to $10.0 million for its automobile liability policy. In addition, the Company has excess umbrella coverage. Estimated liabilities under these insurance programs are accrued based upon management’s estimates of the ultimate liability for claims reported and an estimate of claims incurred but not reported, with assistance from third-party actuaries. MasTec also maintains an insurance policy with respect to employee group medical claims, which is subject to annual per employee maximum losses of $0.6 million. MasTec’s estimated liability for employee group medical claims is based on statistical analysis of historical claims experience and specific knowledge of actual losses that have occurred. The Company is required to post collateral, generally in the form of letters of credit, surety bonds and cash to certain of its insurance carriers. Cash collateral deposited with insurance carriers is included in other long-term assets in the consolidated balance sheets.</w:t>
      </w:r>
    </w:p>
    <w:p>
      <w:pPr>
        <w:spacing w:after="0" w:line="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present value of the Company’s self-insurance liability is reflected in the consolidated balance sheets within current and other long-term liabilities, as appropriate.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the determination of the Company’s liability in proportion to other parties and the number of incidents not reported. Accruals are based upon known facts and historical trends. Although management believes its accruals are adequate, a change in experience or actuarial assumptions could materially affect the Company’s results of operations in a particular period.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w:t>
      </w:r>
    </w:p>
    <w:p>
      <w:pPr>
        <w:spacing w:after="0" w:line="1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Company records income taxes using the asset and liability method of accounting for deferred income taxes. Under this method, deferred tax assets and liabilities are recognized for the expected future tax consequences of temporary differences between the financial statement and income tax basis of the Company’s assets and liabilities. Income taxes are estimated in each of the jurisdictions in which the Company operates. This process involves estimating the tax exposure, together with assessing temporary differences resulting from differing treatment of items, such as deferred revenue, for tax and accounting purposes. These differences result in deferred tax assets and liabilities, which are included, net, within the consolidated balance sheets as long-term assets and/or liabilities, as appropriate. The recording of a deferred tax asset assumes the realization of such asset in the future. Otherwise, a valuation allowance is recorded to reduce the asset to its estimated net realizable value. If management determines that the Company may not be able to realize all or part of a deferred tax asset in the future, a valuation allowance for the deferred tax asset is charged to income tax expense in the period the determination is made. Management considers future pretax income and ongoing prudent and feasible tax planning strategies in assessing the estimated net realizable value of tax assets and the corresponding need for any related valuation allowances.</w:t>
      </w:r>
    </w:p>
    <w:p>
      <w:pPr>
        <w:spacing w:after="0" w:line="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determining the provision for income taxes, management uses an effective tax rate based on annual pre-tax income, statutory tax rates, permanent tax differences and tax planning opportunities in the various jurisdictions in which the Company operates. The Company is generally free of additional U.S. federal tax consequences on distributed foreign subsidiary earnings. The Company has generally not provided for U.S. income taxes on unremitted foreign earnings because such earnings are considered to be insignificant.</w:t>
      </w:r>
    </w:p>
    <w:p>
      <w:pPr>
        <w:spacing w:after="0" w:line="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Significant factors that can affect the annual effective tax rate include management’s assessment of certain tax matters, the location and amount of taxable earnings, changes in certain non-deductible expenses and expected credits.</w:t>
      </w:r>
    </w:p>
    <w:p>
      <w:pPr>
        <w:spacing w:after="0" w:line="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An entity may only recognize or continue to recognize tax positions that meet a "more likely than not" threshold. In the ordinary course of business, there is inherent uncertainty in quantifying income tax positions. The Company assesses its income tax positions and records tax benefits for all years subject to examination based on management's evaluation of the facts, circumstances and information available at the reporting date. For those tax positions where it is more likely than not that a tax benefit will be sustained, the Company has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Company's financial statements.</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and its subsidiaries file income tax returns in numerous tax jurisdictions, including U.S. federal, most U.S. states and certain foreign jurisdictions. Although management believes its calculations for tax returns are correct and the positions taken thereon are reasonable, the final outcome of income tax examinations could be materially different from the resolution management currently anticipates and the estimates that are reflected in the Company’s consolidated financial statements, which could materially affect the Company’s results of operations, cash flows and liquidity in a particular period. To the extent interest and penalties are assessed by taxing authorities, such amounts are accrued and included within income tax expense.</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has certain stock-based compensation plans, under which restricted stock awards and restricted stock units (together “restricted shares”) are available for issuance to eligible participants. Non-cash stock-based compensation expense is included within general and administrative expense in the consolidated statements of operations. Share-based payments, to the extent they are compensatory, are recognized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9" w:name="page60"/>
    <w:bookmarkEnd w:id="59"/>
    <w:p>
      <w:pPr>
        <w:jc w:val="both"/>
        <w:spacing w:after="0" w:line="256" w:lineRule="auto"/>
        <w:rPr>
          <w:sz w:val="20"/>
          <w:szCs w:val="20"/>
          <w:color w:val="auto"/>
        </w:rPr>
      </w:pPr>
      <w:r>
        <w:rPr>
          <w:rFonts w:ascii="Arial" w:cs="Arial" w:eastAsia="Arial" w:hAnsi="Arial"/>
          <w:sz w:val="16"/>
          <w:szCs w:val="16"/>
          <w:color w:val="auto"/>
        </w:rPr>
        <w:t>based on their grant date fair values. Forfeitures are recorded as they occur. The Company records a deferred tax asset, or future tax benefit, based on the amount of share-based compensation recognized in the financial statements over the vesting period of share-based awards. The tax effects of differences between the fair value of a share-based award on the date of vesting and the date of grant, also referred to as excess tax benefits or tax deficiencies, are recognized within the provision for income taxes in the period such vestings occur.</w:t>
      </w:r>
    </w:p>
    <w:p>
      <w:pPr>
        <w:spacing w:after="0" w:line="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Grants of restricted shares are valued based on the closing market share price of MasTec’s common stock as reported on the New York Stock Exchange (the “market price”) on the date of grant. Compensation expense arising from restricted shares is recognized on a straight-line basis over the vesting period. Grants of restricted shares have cliff vesting terms, which generally vest over a period of three years. Upon vesting, some of the underlying shares may be sold to cover the required tax withholdings. However, some participants may choose the net share settlement method to cover withholding tax requirements, in which case shares are not issued, but are treated as common stock repurchases in the consolidated financial statements, as they reduce the number of shares that would have been issued upon vesting. The Company then pays the corresponding withholding taxes to the appropriate taxing authorities in cash on behalf of the recipient. Withheld shares, which are valued at the market price on the date of vesting, are recorded as a reduction to additional paid-in capital and are reflected within financing activities in the consolidated statements of cash flows. For the year ended December 31, 2020, shares withheld in connection with stock-based compensation arrangements totaled 11,667 shares and related payments to taxing authorities totaled $0.6 million. For the year ended December 31, 2019, shares withheld in connection with stock-based compensation arrangements were de minimis. Shares withheld in connection with stock-based compensation arrangements for the year ended December 31, 2018 totaled 96,739 shares and related payments to taxing authorities totaled $3.8 million.</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The Company has certain employee stock purchase plans (collectively, “ESPPs”) under which shares of the Company’s common stock are available for purchase by eligible participants. These plans allow participants to purchase MasTec, Inc. common stock at 85% of its fair market value at the lower of (i) the date of commencement of the offering period or (ii) the last day of the exercise period, as defined in the plan documents. The fair value of purchases under the Company’s employee stock purchase plans is estimated using the Black-Scholes option-pricing valuation model. The determination of fair value of stock-based awards using an option-pricing model is affected by the Company’s stock price as well as assumptions pertaining to several variables, including expected stock price volatility, the expected term of the award and the risk-free rate of interest. In the option-pricing model for the Company’s employee stock purchase plans, expected stock price volatility is based on historical volatility of the Company’s common stock. The expected term of the award is based on historical and expected exercise patterns and the risk-free rate of interest is based on U.S. Treasury yields. Beginning in 2021, ESPP shares will be purchased at 85% of the fair market value of MasTec common stock as of the date of purchase.</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Collective Bargaining Agreements and Multiemployer Plans</w:t>
      </w:r>
    </w:p>
    <w:p>
      <w:pPr>
        <w:spacing w:after="0" w:line="11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Certain of MasTec’s subsidiaries, including certain subsidiaries in Canada, are party to various collective bargaining agreements with unions representing certain of their employees. These agreements require the subsidiaries party to the agreements to pay specified wages, provide certain benefits to their union employees and contribute certain amounts to multiemployer pension and other multiemployer benefit plans and trusts (“MEPPs”). These contributions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The Pension Protection Act of 2006, as amended, (the “PPA”) requires pension plans that are underfunded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IRS may impose on the employers contributing to such plans a non-deductible excise tax of 5% of the amount of the accumulated funding deficiency. Union payrolls cannot be determined for future periods because the number of union employees employed at any given time, and the plans in which they may participate, vary depending upon the location and number of ongoing projects at a given time and the need for union resources in connection with those projects. The collective bargaining agreements expire at various times and have typically been renegotiated and renewed on terms similar to the ones contained in the expiring agreements.</w:t>
      </w:r>
    </w:p>
    <w:p>
      <w:pPr>
        <w:spacing w:after="0" w:line="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If the Company is subject to a withdrawal liability, the related withdrawal charge is recorded as a component of employee wages and salaries within costs of revenue, excluding depreciation and amortization, with any related liability recorded within other current and/or other long-term liabilities, as appropriate. The Company’s participation in the multiemployer pension plans is evaluated by management on an ongoing basis. See Note 10 - Other Retirement Plans and Note 14 -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6"/>
          <w:szCs w:val="16"/>
          <w:b w:val="1"/>
          <w:bCs w:val="1"/>
          <w:i w:val="1"/>
          <w:iCs w:val="1"/>
          <w:color w:val="auto"/>
        </w:rPr>
        <w:t>Restructuring Activities</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From time to time, the Company may incur costs to streamline its business operations. These streamlining efforts, which are designed to improve profitability, could include eliminating service offerings that no longer fit into the Company’s business plan, certain integration activities for acquired businesses, reducing or eliminating services or operations that do not produce adequate revenue or margins, or reducing costs of business units that need margin improvements. The costs associated with these efforts, which the Company refers to as restructuring charges, include such items as employee separation costs, lease termination expenses and losses on disposal of excess fixed assets. When these efforts are related to circumstances that are significant, unique in nature and outside of the course of the Company’s normal and periodic business streamlining efforts, the related amount of restructuring charges included within the consolidated financial statements is aggregated and accompanied by a discussion of the nature of such restructuring activities. Restructuring charges are included within the applicable line item(s) in the consolidated statement of operations based on the nature of the expense incurred.</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Litigation and Contingencies</w:t>
      </w:r>
    </w:p>
    <w:p>
      <w:pPr>
        <w:spacing w:after="0" w:line="1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Accruals for litigation and contingencies are reflected in the consolidated financial statements based on management’s assessment, including advice of legal counsel, of the expected outcome of litigation or other dispute resolution proceedings and/or the expected resolution of contingencies. Liabilities for estimated losses are accrued if the potential loss from any claim or legal proceeding is considered probable and the amount can be reasonably estimated.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Comprehensive Income (Loss)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Comprehensive income or loss is a measure of net income and other changes in equity that result from transactions other than those with shareholders. Comprehensive income or loss and related accumulated comprehensive income or loss balances consist of net income, foreign currency translation adjustments, primarily from fluctuations in foreign currency exchange rates of the Company’s foreign subsidiaries with a functional currency other than the U.S. dollar, unrealized gains and losses from certain investment activities and net income or loss attributable to non-controlling interests.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See allowance for credit losses discussion within Significant Accounting Policies above, and the recent accounting pronouncements discussion below, for information pertaining to the effects of recently adopted and other recent accounting pronouncements.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Accounting Pronouncements Adopted in 2020</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252525"/>
        </w:rPr>
        <w:t xml:space="preserve">In August 2018, the Financial Accounting Standards Board (“FASB”) issued Accounting Standard Update (“ASU”) 2018-15, </w:t>
      </w:r>
      <w:r>
        <w:rPr>
          <w:rFonts w:ascii="Arial" w:cs="Arial" w:eastAsia="Arial" w:hAnsi="Arial"/>
          <w:sz w:val="15"/>
          <w:szCs w:val="15"/>
          <w:i w:val="1"/>
          <w:iCs w:val="1"/>
          <w:color w:val="252525"/>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5"/>
          <w:szCs w:val="15"/>
          <w:color w:val="252525"/>
        </w:rPr>
        <w:t>(“ASU</w:t>
      </w:r>
      <w:r>
        <w:rPr>
          <w:rFonts w:ascii="Arial" w:cs="Arial" w:eastAsia="Arial" w:hAnsi="Arial"/>
          <w:sz w:val="15"/>
          <w:szCs w:val="15"/>
          <w:i w:val="1"/>
          <w:iCs w:val="1"/>
          <w:color w:val="252525"/>
        </w:rPr>
        <w:t xml:space="preserve"> </w:t>
      </w:r>
      <w:r>
        <w:rPr>
          <w:rFonts w:ascii="Arial" w:cs="Arial" w:eastAsia="Arial" w:hAnsi="Arial"/>
          <w:sz w:val="15"/>
          <w:szCs w:val="15"/>
          <w:color w:val="252525"/>
        </w:rPr>
        <w:t>2018-15”) to reduce diversity in practice in accounting for the costs of implementing cloud computing arrangements that are service contracts. ASU 2018-15 aligns the requirements for capitalizing implementation costs incurred in a cloud computing arrangement that is a service contract with the requirements for internal-use software. Accounting for the service element of the cloud computing arrangement is not affected by the new guidance. Under ASU 2018-15, amortization expense, payments for and asset balances related to such capitalized implementation costs are to be presented within the same line items of the entity’s statements of operations, cash flows and balance sheets, respectively, as the related service fee activity and balances would be presented. ASU 2018-15, which the Company adopted on a prospective basis during the first quarter of 2020, did not have a material effect on the Company’s consolidated financial statements.</w:t>
      </w:r>
    </w:p>
    <w:p>
      <w:pPr>
        <w:spacing w:after="0" w:line="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252525"/>
        </w:rPr>
        <w:t xml:space="preserve">In August 2018, the FASB issued ASU 2018-13, </w:t>
      </w:r>
      <w:r>
        <w:rPr>
          <w:rFonts w:ascii="Arial" w:cs="Arial" w:eastAsia="Arial" w:hAnsi="Arial"/>
          <w:sz w:val="15"/>
          <w:szCs w:val="15"/>
          <w:i w:val="1"/>
          <w:iCs w:val="1"/>
          <w:color w:val="252525"/>
        </w:rPr>
        <w:t>Fair Value Measurement (Topic 820) Disclosure Framework - Changes to the Disclosure Requirements for Fair</w:t>
      </w:r>
      <w:r>
        <w:rPr>
          <w:rFonts w:ascii="Arial" w:cs="Arial" w:eastAsia="Arial" w:hAnsi="Arial"/>
          <w:sz w:val="15"/>
          <w:szCs w:val="15"/>
          <w:color w:val="252525"/>
        </w:rPr>
        <w:t xml:space="preserve"> </w:t>
      </w:r>
      <w:r>
        <w:rPr>
          <w:rFonts w:ascii="Arial" w:cs="Arial" w:eastAsia="Arial" w:hAnsi="Arial"/>
          <w:sz w:val="15"/>
          <w:szCs w:val="15"/>
          <w:i w:val="1"/>
          <w:iCs w:val="1"/>
          <w:color w:val="252525"/>
        </w:rPr>
        <w:t xml:space="preserve">Value Measurement </w:t>
      </w:r>
      <w:r>
        <w:rPr>
          <w:rFonts w:ascii="Arial" w:cs="Arial" w:eastAsia="Arial" w:hAnsi="Arial"/>
          <w:sz w:val="15"/>
          <w:szCs w:val="15"/>
          <w:color w:val="252525"/>
        </w:rPr>
        <w:t>(“ASU 2018-13”). ASU 2018-13, which is intended to improve the effectiveness of fair value measurement disclosures, modifies the disclosure</w:t>
      </w:r>
      <w:r>
        <w:rPr>
          <w:rFonts w:ascii="Arial" w:cs="Arial" w:eastAsia="Arial" w:hAnsi="Arial"/>
          <w:sz w:val="15"/>
          <w:szCs w:val="15"/>
          <w:i w:val="1"/>
          <w:iCs w:val="1"/>
          <w:color w:val="252525"/>
        </w:rPr>
        <w:t xml:space="preserve"> </w:t>
      </w:r>
      <w:r>
        <w:rPr>
          <w:rFonts w:ascii="Arial" w:cs="Arial" w:eastAsia="Arial" w:hAnsi="Arial"/>
          <w:sz w:val="15"/>
          <w:szCs w:val="15"/>
          <w:color w:val="252525"/>
        </w:rPr>
        <w:t xml:space="preserve">requirements for certain estimates and assumptions used in determining the fair value of assets and liabilities. ASU 2018-13, which the Company adopted during the first quarter of 2020, did not have a material effect on the Company’s consolidated financial statements. See </w:t>
      </w:r>
      <w:r>
        <w:rPr>
          <w:rFonts w:ascii="Arial" w:cs="Arial" w:eastAsia="Arial" w:hAnsi="Arial"/>
          <w:sz w:val="15"/>
          <w:szCs w:val="15"/>
          <w:color w:val="000000"/>
        </w:rPr>
        <w:t>Note 4 - Fair Value of Financial Instruments</w:t>
      </w:r>
      <w:r>
        <w:rPr>
          <w:rFonts w:ascii="Arial" w:cs="Arial" w:eastAsia="Arial" w:hAnsi="Arial"/>
          <w:sz w:val="15"/>
          <w:szCs w:val="15"/>
          <w:color w:val="252525"/>
        </w:rPr>
        <w:t xml:space="preserve"> for disclosure updates pertaining to significant unobservable inputs used to develop fair value estimates for certain of the Company’s Level 3 financial instruments.</w:t>
      </w:r>
    </w:p>
    <w:p>
      <w:pPr>
        <w:spacing w:after="0" w:line="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252525"/>
        </w:rPr>
        <w:t xml:space="preserve">In June 2016, the FASB issued ASU 2016-13, </w:t>
      </w:r>
      <w:r>
        <w:rPr>
          <w:rFonts w:ascii="Arial" w:cs="Arial" w:eastAsia="Arial" w:hAnsi="Arial"/>
          <w:sz w:val="15"/>
          <w:szCs w:val="15"/>
          <w:i w:val="1"/>
          <w:iCs w:val="1"/>
          <w:color w:val="252525"/>
        </w:rPr>
        <w:t>Financial Instruments - Credit Losses (Topic 326), Measurement of Credit Losses on Financial Instruments</w:t>
      </w:r>
      <w:r>
        <w:rPr>
          <w:rFonts w:ascii="Arial" w:cs="Arial" w:eastAsia="Arial" w:hAnsi="Arial"/>
          <w:sz w:val="15"/>
          <w:szCs w:val="15"/>
          <w:color w:val="252525"/>
        </w:rPr>
        <w:t xml:space="preserve">. This ASU, together with its related clarifying ASUs (collectively, “ASU 2016-13”), introduced an expected credit loss methodology for the measurement and recognition of credit losses on most financial assets, including financial assets arising from revenue transactions, such as accounts receivable and contract assets. The new expected credit loss methodology, which is based on historical experience, current conditions and reasonable and supportable forecasts, replaced the incurred loss model for measuring and recognizing expected credit losses. The Company adopted this ASU in the first quarter of 2020 and incorporated this guidance into its methodology for estimating its accounts receivable allowances. Based on historical trends, the financial condition of the Company’s customers and management’s expectations of economic and industry factors affecting the Company’s customers, ASU 2016-13 did not have a material effect on the Company’s consolidated financial statements upon adoption. For additional information about the Company’s allowance for credit losses see discussion within Significant Accounting Policies above, and </w:t>
      </w:r>
      <w:r>
        <w:rPr>
          <w:rFonts w:ascii="Arial" w:cs="Arial" w:eastAsia="Arial" w:hAnsi="Arial"/>
          <w:sz w:val="15"/>
          <w:szCs w:val="15"/>
          <w:color w:val="000000"/>
        </w:rPr>
        <w:t>Note 5 - Accounts Receivable, Net of</w:t>
      </w:r>
      <w:r>
        <w:rPr>
          <w:rFonts w:ascii="Arial" w:cs="Arial" w:eastAsia="Arial" w:hAnsi="Arial"/>
          <w:sz w:val="15"/>
          <w:szCs w:val="15"/>
          <w:color w:val="252525"/>
        </w:rPr>
        <w:t xml:space="preserve"> </w:t>
      </w:r>
      <w:r>
        <w:rPr>
          <w:rFonts w:ascii="Arial" w:cs="Arial" w:eastAsia="Arial" w:hAnsi="Arial"/>
          <w:sz w:val="15"/>
          <w:szCs w:val="15"/>
          <w:color w:val="000000"/>
        </w:rPr>
        <w:t>Allowance, and Contract Assets and Liabilities</w:t>
      </w:r>
      <w:r>
        <w:rPr>
          <w:rFonts w:ascii="Arial" w:cs="Arial" w:eastAsia="Arial" w:hAnsi="Arial"/>
          <w:sz w:val="15"/>
          <w:szCs w:val="15"/>
          <w:color w:val="252525"/>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1" w:name="page62"/>
    <w:bookmarkEnd w:id="61"/>
    <w:p>
      <w:pPr>
        <w:ind w:left="340"/>
        <w:spacing w:after="0"/>
        <w:rPr>
          <w:sz w:val="20"/>
          <w:szCs w:val="20"/>
          <w:color w:val="auto"/>
        </w:rPr>
      </w:pPr>
      <w:r>
        <w:rPr>
          <w:rFonts w:ascii="Arial" w:cs="Arial" w:eastAsia="Arial" w:hAnsi="Arial"/>
          <w:sz w:val="16"/>
          <w:szCs w:val="16"/>
          <w:b w:val="1"/>
          <w:bCs w:val="1"/>
          <w:i w:val="1"/>
          <w:iCs w:val="1"/>
          <w:color w:val="auto"/>
        </w:rPr>
        <w:t>Accounting Pronouncements To Be Adopted in 2021</w:t>
      </w:r>
    </w:p>
    <w:p>
      <w:pPr>
        <w:spacing w:after="0" w:line="1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252525"/>
        </w:rPr>
        <w:t xml:space="preserve">In January 2020, the FASB issued ASU 2020-01, </w:t>
      </w:r>
      <w:r>
        <w:rPr>
          <w:rFonts w:ascii="Arial" w:cs="Arial" w:eastAsia="Arial" w:hAnsi="Arial"/>
          <w:sz w:val="15"/>
          <w:szCs w:val="15"/>
          <w:i w:val="1"/>
          <w:iCs w:val="1"/>
          <w:color w:val="252525"/>
        </w:rPr>
        <w:t>Investments-Equity Securities (Topic 321), Investments-Equity Method and Joint Ventures (Topic 323), and</w:t>
      </w:r>
      <w:r>
        <w:rPr>
          <w:rFonts w:ascii="Arial" w:cs="Arial" w:eastAsia="Arial" w:hAnsi="Arial"/>
          <w:sz w:val="15"/>
          <w:szCs w:val="15"/>
          <w:color w:val="252525"/>
        </w:rPr>
        <w:t xml:space="preserve"> </w:t>
      </w:r>
      <w:r>
        <w:rPr>
          <w:rFonts w:ascii="Arial" w:cs="Arial" w:eastAsia="Arial" w:hAnsi="Arial"/>
          <w:sz w:val="15"/>
          <w:szCs w:val="15"/>
          <w:i w:val="1"/>
          <w:iCs w:val="1"/>
          <w:color w:val="252525"/>
        </w:rPr>
        <w:t xml:space="preserve">Derivatives and Hedging (Topic 815): Clarifying the Interactions between Topic 321, Topic 323, and Topic 815 </w:t>
      </w:r>
      <w:r>
        <w:rPr>
          <w:rFonts w:ascii="Arial" w:cs="Arial" w:eastAsia="Arial" w:hAnsi="Arial"/>
          <w:sz w:val="15"/>
          <w:szCs w:val="15"/>
          <w:color w:val="252525"/>
        </w:rPr>
        <w:t>(“ASU 2020-01”) to clarify the interaction in accounting for</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52525"/>
        </w:rPr>
        <w:t>equity securities under Topic 321, investments accounted for under the equity method of accounting in Topic 323 and the accounting for certain forward contracts and purchased options accounted for under Topic 815. ASU 2020-01 is effective for fiscal years, and for interim periods within those fiscal years, beginning after December 15, 2020. This ASU is not expected to have a material effect on the Company’s consolidated financial statements.</w:t>
      </w:r>
    </w:p>
    <w:p>
      <w:pPr>
        <w:spacing w:after="0" w:line="7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252525"/>
        </w:rPr>
        <w:t xml:space="preserve">In December 2019, the FASB issued ASU 2019-12, </w:t>
      </w:r>
      <w:r>
        <w:rPr>
          <w:rFonts w:ascii="Arial" w:cs="Arial" w:eastAsia="Arial" w:hAnsi="Arial"/>
          <w:sz w:val="16"/>
          <w:szCs w:val="16"/>
          <w:i w:val="1"/>
          <w:iCs w:val="1"/>
          <w:color w:val="252525"/>
        </w:rPr>
        <w:t>Income Taxes (Topic 740): Simplifying the Accounting for Income Taxes</w:t>
      </w:r>
      <w:r>
        <w:rPr>
          <w:rFonts w:ascii="Arial" w:cs="Arial" w:eastAsia="Arial" w:hAnsi="Arial"/>
          <w:sz w:val="16"/>
          <w:szCs w:val="16"/>
          <w:color w:val="252525"/>
        </w:rPr>
        <w:t xml:space="preserve"> (“ASU 2019-12”), which eliminates certain exceptions to the existing guidance for income taxes related to the approach for intra-period tax allocations, the methodology for calculating income taxes in an interim period and the recognition of deferred tax liabilities for outside basis differences. This ASU also simplifies the accounting for income taxes by clarifying and amending existing guidance related to the effects of enacted changes in tax laws or rates in the effective tax rate computation, the recognition of franchise tax and the evaluation of a step-up in the tax basis of goodwill, among other clarifications. ASU 2019-12 is effective for fiscal years, and for interim periods within those fiscal years, beginning after December 15, 2020. The Company is currently evaluating the potential effects of this ASU, however, does not expect that its adoption will have a material effect on the Company’s consolidated financial statements.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Recent Accounting Pronouncements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4"/>
          <w:szCs w:val="14"/>
          <w:color w:val="252525"/>
        </w:rPr>
        <w:t xml:space="preserve">In March 2020, the FASB issued ASU 2020-04, </w:t>
      </w:r>
      <w:r>
        <w:rPr>
          <w:rFonts w:ascii="Arial" w:cs="Arial" w:eastAsia="Arial" w:hAnsi="Arial"/>
          <w:sz w:val="14"/>
          <w:szCs w:val="14"/>
          <w:i w:val="1"/>
          <w:iCs w:val="1"/>
          <w:color w:val="252525"/>
        </w:rPr>
        <w:t>Reference Reform Rate (Topic 848): Facilitation of the Effects of Reference Rate Reform on Financial Reporting</w:t>
      </w:r>
    </w:p>
    <w:p>
      <w:pPr>
        <w:spacing w:after="0" w:line="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52525"/>
        </w:rPr>
        <w:t>(“ASU 2020-04”) to provide temporary optional expedients and exceptions to the contract modifications, hedge relationships and other transactions affected by reference rate reform if certain criteria are met. This ASU, which was effective upon issuance and may be applied through December 31, 2022, is applicable to all contracts and hedging relationships that reference the London Interbank Offered Rate or any other reference rate expected to be discontinued. The guidance in ASU 2020-04 may be implemented over time as reference rate reform activities occur. The Company is currently evaluating the potential effects of this ASU, however, does not expect reference rate reform to have a material effect on its consolidated financial statements as the Company’s current Credit Facility agreement provides for the replacement of LIBOR with an alternative benchmark rate should LIBOR become unavailable.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earnings or loss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0"/>
        </w:trPr>
        <w:tc>
          <w:tcPr>
            <w:tcW w:w="68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199"/>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MasTec:</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680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322,848</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392,334</w:t>
            </w:r>
          </w:p>
        </w:tc>
        <w:tc>
          <w:tcPr>
            <w:tcW w:w="120" w:type="dxa"/>
            <w:vAlign w:val="bottom"/>
          </w:tcPr>
          <w:p>
            <w:pPr>
              <w:spacing w:after="0"/>
              <w:rPr>
                <w:sz w:val="18"/>
                <w:szCs w:val="18"/>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259,659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800" w:type="dxa"/>
            <w:vAlign w:val="bottom"/>
          </w:tcPr>
          <w:p>
            <w:pPr>
              <w:ind w:left="120"/>
              <w:spacing w:after="0"/>
              <w:rPr>
                <w:sz w:val="20"/>
                <w:szCs w:val="20"/>
                <w:color w:val="auto"/>
              </w:rPr>
            </w:pPr>
            <w:r>
              <w:rPr>
                <w:rFonts w:ascii="Arial" w:cs="Arial" w:eastAsia="Arial" w:hAnsi="Arial"/>
                <w:sz w:val="16"/>
                <w:szCs w:val="16"/>
                <w:color w:val="auto"/>
              </w:rPr>
              <w:t>Weighted average shares outstanding - basic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72,799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75,185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78,695</w:t>
            </w:r>
          </w:p>
        </w:tc>
      </w:tr>
      <w:tr>
        <w:trPr>
          <w:trHeight w:val="219"/>
        </w:trPr>
        <w:tc>
          <w:tcPr>
            <w:tcW w:w="680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Dilutive common stock equivalents </w:t>
            </w:r>
            <w:r>
              <w:rPr>
                <w:rFonts w:ascii="Arial" w:cs="Arial" w:eastAsia="Arial" w:hAnsi="Arial"/>
                <w:sz w:val="21"/>
                <w:szCs w:val="21"/>
                <w:color w:val="auto"/>
                <w:vertAlign w:val="superscript"/>
              </w:rPr>
              <w:t>(b)</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r>
      <w:tr>
        <w:trPr>
          <w:trHeight w:val="206"/>
        </w:trPr>
        <w:tc>
          <w:tcPr>
            <w:tcW w:w="6800" w:type="dxa"/>
            <w:vAlign w:val="bottom"/>
          </w:tcPr>
          <w:p>
            <w:pPr>
              <w:ind w:left="160"/>
              <w:spacing w:after="0"/>
              <w:rPr>
                <w:sz w:val="20"/>
                <w:szCs w:val="20"/>
                <w:color w:val="auto"/>
              </w:rPr>
            </w:pPr>
            <w:r>
              <w:rPr>
                <w:rFonts w:ascii="Arial" w:cs="Arial" w:eastAsia="Arial" w:hAnsi="Arial"/>
                <w:sz w:val="16"/>
                <w:szCs w:val="16"/>
                <w:color w:val="auto"/>
              </w:rPr>
              <w:t>Weighted average shares outstanding - diluted</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73,715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75,846</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79,772</w:t>
            </w:r>
          </w:p>
        </w:tc>
      </w:tr>
    </w:tbl>
    <w:p>
      <w:pPr>
        <w:spacing w:after="0" w:line="76"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55" w:lineRule="exact"/>
        <w:rPr>
          <w:rFonts w:ascii="Arial" w:cs="Arial" w:eastAsia="Arial" w:hAnsi="Arial"/>
          <w:sz w:val="14"/>
          <w:szCs w:val="14"/>
          <w:color w:val="auto"/>
        </w:rPr>
      </w:pPr>
    </w:p>
    <w:p>
      <w:pPr>
        <w:ind w:left="340" w:hanging="332"/>
        <w:spacing w:after="0" w:line="273" w:lineRule="auto"/>
        <w:tabs>
          <w:tab w:leader="none" w:pos="389"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the year ended December 31, 2020, there were 43,989 anti-dilutive common stock equivalents, and for the years ended December 31, 2019 and 2018, anti-dilutive common stock equivalents were de minimis.</w:t>
      </w:r>
    </w:p>
    <w:p>
      <w:pPr>
        <w:spacing w:after="0" w:line="1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repurchased approximately 3.6 million shares of its common stock during the year ended December 31, 2020, as discussed in Note 11 - Equity. The effect of these repurchases on the Company’s weighted average shares outstanding for the year ended December 31, 2020 was a reduction of approximately 2.9 million shares, due to the timing of the repurchases. The effect of shares repurchased in 2018 on the Company’s weighted average shares outstanding for the years ended December 31, 2019 and 2018 was a reduction of 4.4 million shares and 2.8 million shares, respectively.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goodwill by reportable segment for the periods indicated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Communications</w:t>
            </w:r>
          </w:p>
        </w:tc>
        <w:tc>
          <w:tcPr>
            <w:tcW w:w="132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Clean Energy and</w:t>
            </w:r>
          </w:p>
        </w:tc>
        <w:tc>
          <w:tcPr>
            <w:tcW w:w="12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Oil and Gas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Electrical</w:t>
            </w:r>
          </w:p>
        </w:tc>
        <w:tc>
          <w:tcPr>
            <w:tcW w:w="11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8"/>
              </w:rPr>
              <w:t>Total Goodwill</w:t>
            </w:r>
          </w:p>
        </w:tc>
        <w:tc>
          <w:tcPr>
            <w:tcW w:w="0" w:type="dxa"/>
            <w:vAlign w:val="bottom"/>
          </w:tcPr>
          <w:p>
            <w:pPr>
              <w:spacing w:after="0"/>
              <w:rPr>
                <w:sz w:val="1"/>
                <w:szCs w:val="1"/>
                <w:color w:val="auto"/>
              </w:rPr>
            </w:pPr>
          </w:p>
        </w:tc>
      </w:tr>
      <w:tr>
        <w:trPr>
          <w:trHeight w:val="200"/>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Infrastructure</w:t>
            </w: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Transmission</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gross, as of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1,216.4</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Accumulated impairment loss </w:t>
            </w:r>
            <w:r>
              <w:rPr>
                <w:rFonts w:ascii="Arial" w:cs="Arial" w:eastAsia="Arial" w:hAnsi="Arial"/>
                <w:sz w:val="21"/>
                <w:szCs w:val="21"/>
                <w:color w:val="auto"/>
                <w:vertAlign w:val="superscript"/>
              </w:rPr>
              <w:t>(a)</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0" w:type="dxa"/>
            <w:vAlign w:val="bottom"/>
          </w:tcPr>
          <w:p>
            <w:pPr>
              <w:spacing w:after="0"/>
              <w:rPr>
                <w:sz w:val="1"/>
                <w:szCs w:val="1"/>
                <w:color w:val="auto"/>
              </w:rPr>
            </w:pPr>
          </w:p>
        </w:tc>
      </w:tr>
      <w:tr>
        <w:trPr>
          <w:trHeight w:val="207"/>
        </w:trPr>
        <w:tc>
          <w:tcPr>
            <w:tcW w:w="486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Measurement period adjustments, net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1,221.4</w:t>
            </w:r>
          </w:p>
        </w:tc>
        <w:tc>
          <w:tcPr>
            <w:tcW w:w="0" w:type="dxa"/>
            <w:vAlign w:val="bottom"/>
          </w:tcPr>
          <w:p>
            <w:pPr>
              <w:spacing w:after="0"/>
              <w:rPr>
                <w:sz w:val="1"/>
                <w:szCs w:val="1"/>
                <w:color w:val="auto"/>
              </w:rPr>
            </w:pPr>
          </w:p>
        </w:tc>
      </w:tr>
      <w:tr>
        <w:trPr>
          <w:trHeight w:val="207"/>
        </w:trPr>
        <w:tc>
          <w:tcPr>
            <w:tcW w:w="486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Measurement period adjustments, net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1,243.0</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Accumulated impairment loss </w:t>
            </w:r>
            <w:r>
              <w:rPr>
                <w:rFonts w:ascii="Arial" w:cs="Arial" w:eastAsia="Arial" w:hAnsi="Arial"/>
                <w:sz w:val="21"/>
                <w:szCs w:val="21"/>
                <w:color w:val="auto"/>
                <w:vertAlign w:val="superscript"/>
              </w:rPr>
              <w:t>(a)</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07"/>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gross, as of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Accumulated impairment losses include the effects of currency translation gains and/or losses.</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periods indicated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Other Intangible Assets</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Non-Amortizing</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Amortizing</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Trade</w:t>
            </w:r>
          </w:p>
        </w:tc>
        <w:tc>
          <w:tcPr>
            <w:tcW w:w="100" w:type="dxa"/>
            <w:vAlign w:val="bottom"/>
          </w:tcPr>
          <w:p>
            <w:pPr>
              <w:spacing w:after="0"/>
              <w:rPr>
                <w:sz w:val="13"/>
                <w:szCs w:val="13"/>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Pre-</w:t>
            </w:r>
          </w:p>
        </w:tc>
        <w:tc>
          <w:tcPr>
            <w:tcW w:w="14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0"/>
              </w:rPr>
              <w:t>Customer</w:t>
            </w:r>
          </w:p>
        </w:tc>
        <w:tc>
          <w:tcPr>
            <w:tcW w:w="100" w:type="dxa"/>
            <w:vAlign w:val="bottom"/>
          </w:tcPr>
          <w:p>
            <w:pPr>
              <w:spacing w:after="0"/>
              <w:rPr>
                <w:sz w:val="13"/>
                <w:szCs w:val="13"/>
                <w:color w:val="auto"/>
              </w:rPr>
            </w:pPr>
          </w:p>
        </w:tc>
        <w:tc>
          <w:tcPr>
            <w:tcW w:w="780" w:type="dxa"/>
            <w:vAlign w:val="bottom"/>
            <w:vMerge w:val="restart"/>
          </w:tcPr>
          <w:p>
            <w:pPr>
              <w:jc w:val="center"/>
              <w:ind w:left="359"/>
              <w:spacing w:after="0"/>
              <w:rPr>
                <w:sz w:val="20"/>
                <w:szCs w:val="20"/>
                <w:color w:val="auto"/>
              </w:rPr>
            </w:pPr>
            <w:r>
              <w:rPr>
                <w:rFonts w:ascii="Arial" w:cs="Arial" w:eastAsia="Arial" w:hAnsi="Arial"/>
                <w:sz w:val="16"/>
                <w:szCs w:val="16"/>
                <w:b w:val="1"/>
                <w:bCs w:val="1"/>
                <w:color w:val="auto"/>
                <w:w w:val="96"/>
              </w:rPr>
              <w:t>Pre-</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Relationships</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0"/>
              </w:rPr>
              <w:t xml:space="preserve">Other </w:t>
            </w:r>
            <w:r>
              <w:rPr>
                <w:rFonts w:ascii="Arial" w:cs="Arial" w:eastAsia="Arial" w:hAnsi="Arial"/>
                <w:sz w:val="21"/>
                <w:szCs w:val="21"/>
                <w:b w:val="1"/>
                <w:bCs w:val="1"/>
                <w:color w:val="auto"/>
                <w:w w:val="90"/>
                <w:vertAlign w:val="superscript"/>
              </w:rPr>
              <w:t>(a)</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Names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0"/>
              </w:rPr>
              <w:t>Qualifications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and Backlog</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Qualifications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gross, as of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w:t>
            </w:r>
          </w:p>
        </w:tc>
        <w:tc>
          <w:tcPr>
            <w:tcW w:w="88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amortization</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1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as of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0" w:type="dxa"/>
            <w:vAlign w:val="bottom"/>
          </w:tcPr>
          <w:p>
            <w:pPr>
              <w:spacing w:after="0"/>
              <w:rPr>
                <w:sz w:val="1"/>
                <w:szCs w:val="1"/>
                <w:color w:val="auto"/>
              </w:rPr>
            </w:pPr>
          </w:p>
        </w:tc>
      </w:tr>
      <w:tr>
        <w:trPr>
          <w:trHeight w:val="207"/>
        </w:trPr>
        <w:tc>
          <w:tcPr>
            <w:tcW w:w="434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(b)</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4340" w:type="dxa"/>
            <w:vAlign w:val="bottom"/>
          </w:tcPr>
          <w:p>
            <w:pPr>
              <w:ind w:left="140"/>
              <w:spacing w:after="0"/>
              <w:rPr>
                <w:sz w:val="20"/>
                <w:szCs w:val="20"/>
                <w:color w:val="auto"/>
              </w:rPr>
            </w:pPr>
            <w:r>
              <w:rPr>
                <w:rFonts w:ascii="Arial" w:cs="Arial" w:eastAsia="Arial" w:hAnsi="Arial"/>
                <w:sz w:val="16"/>
                <w:szCs w:val="16"/>
                <w:color w:val="auto"/>
              </w:rPr>
              <w:t>Intangible asset impairment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 translation adjustments</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expense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as of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0" w:type="dxa"/>
            <w:vAlign w:val="bottom"/>
          </w:tcPr>
          <w:p>
            <w:pPr>
              <w:spacing w:after="0"/>
              <w:rPr>
                <w:sz w:val="1"/>
                <w:szCs w:val="1"/>
                <w:color w:val="auto"/>
              </w:rPr>
            </w:pPr>
          </w:p>
        </w:tc>
      </w:tr>
      <w:tr>
        <w:trPr>
          <w:trHeight w:val="206"/>
        </w:trPr>
        <w:tc>
          <w:tcPr>
            <w:tcW w:w="434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Classification changes </w:t>
            </w:r>
            <w:r>
              <w:rPr>
                <w:rFonts w:ascii="Arial" w:cs="Arial" w:eastAsia="Arial" w:hAnsi="Arial"/>
                <w:sz w:val="21"/>
                <w:szCs w:val="21"/>
                <w:color w:val="auto"/>
                <w:vertAlign w:val="superscript"/>
              </w:rPr>
              <w:t>(c)</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 translation adjustments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expense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(10.2)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1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as of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146"/>
        </w:trPr>
        <w:tc>
          <w:tcPr>
            <w:tcW w:w="4340" w:type="dxa"/>
            <w:vAlign w:val="bottom"/>
          </w:tcPr>
          <w:p>
            <w:pPr>
              <w:ind w:left="20"/>
              <w:spacing w:after="0" w:line="146" w:lineRule="exact"/>
              <w:rPr>
                <w:sz w:val="20"/>
                <w:szCs w:val="20"/>
                <w:color w:val="auto"/>
              </w:rPr>
            </w:pPr>
            <w:r>
              <w:rPr>
                <w:rFonts w:ascii="Arial" w:cs="Arial" w:eastAsia="Arial" w:hAnsi="Arial"/>
                <w:sz w:val="16"/>
                <w:szCs w:val="16"/>
                <w:color w:val="auto"/>
              </w:rPr>
              <w:t>Remaining weighted average amortization period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9</w:t>
            </w:r>
          </w:p>
        </w:tc>
        <w:tc>
          <w:tcPr>
            <w:tcW w:w="880" w:type="dxa"/>
            <w:vAlign w:val="bottom"/>
            <w:gridSpan w:val="2"/>
            <w:vMerge w:val="restart"/>
          </w:tcPr>
          <w:p>
            <w:pPr>
              <w:jc w:val="center"/>
              <w:ind w:left="439"/>
              <w:spacing w:after="0"/>
              <w:rPr>
                <w:sz w:val="20"/>
                <w:szCs w:val="20"/>
                <w:color w:val="auto"/>
              </w:rPr>
            </w:pPr>
            <w:r>
              <w:rPr>
                <w:rFonts w:ascii="Arial" w:cs="Arial" w:eastAsia="Arial" w:hAnsi="Arial"/>
                <w:sz w:val="16"/>
                <w:szCs w:val="16"/>
                <w:color w:val="auto"/>
                <w:w w:val="89"/>
              </w:rPr>
              <w:t>11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3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3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25"/>
        </w:trPr>
        <w:tc>
          <w:tcPr>
            <w:tcW w:w="4340" w:type="dxa"/>
            <w:vAlign w:val="bottom"/>
            <w:vMerge w:val="restart"/>
          </w:tcPr>
          <w:p>
            <w:pPr>
              <w:ind w:left="20"/>
              <w:spacing w:after="0"/>
              <w:rPr>
                <w:sz w:val="20"/>
                <w:szCs w:val="20"/>
                <w:color w:val="auto"/>
              </w:rPr>
            </w:pPr>
            <w:r>
              <w:rPr>
                <w:rFonts w:ascii="Arial" w:cs="Arial" w:eastAsia="Arial" w:hAnsi="Arial"/>
                <w:sz w:val="16"/>
                <w:szCs w:val="16"/>
                <w:color w:val="auto"/>
              </w:rPr>
              <w:t>(in years)</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3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principally of trade names and non-compete agreements.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1" w:lineRule="exact"/>
        <w:rPr>
          <w:rFonts w:ascii="Arial" w:cs="Arial" w:eastAsia="Arial" w:hAnsi="Arial"/>
          <w:sz w:val="14"/>
          <w:szCs w:val="14"/>
          <w:color w:val="auto"/>
        </w:rPr>
      </w:pPr>
    </w:p>
    <w:p>
      <w:pPr>
        <w:ind w:left="420" w:hanging="412"/>
        <w:spacing w:after="0" w:line="271" w:lineRule="auto"/>
        <w:tabs>
          <w:tab w:leader="none" w:pos="358"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 connection with its first quarter 2020 assessment of goodwill and indefinite-lived intangible assets, management reassessed the indefinite-life classification of its two pre-qualification intangible assets. Management determined that, based on changes in the assets’ characteristics, including current and expected changes in the customer mix of the associated reporting units, a finite-life classification for these assets was more appropriate. As a result, the Company changed the classification of these intangible assets from indefinite-lived to finite-lived and began amortizing them on an accelerated basis in the first quarter of 2020, at which time their estimated remaining weighted average useful life was approximately 12 years.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Expected future amortization expense as of December 31, 2020 is summarized in the following table (in millions):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9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Amortization</w:t>
            </w:r>
          </w:p>
        </w:tc>
      </w:tr>
      <w:tr>
        <w:trPr>
          <w:trHeight w:val="213"/>
        </w:trPr>
        <w:tc>
          <w:tcPr>
            <w:tcW w:w="9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Expense</w:t>
            </w:r>
          </w:p>
        </w:tc>
      </w:tr>
      <w:tr>
        <w:trPr>
          <w:trHeight w:val="212"/>
        </w:trPr>
        <w:tc>
          <w:tcPr>
            <w:tcW w:w="9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13"/>
        </w:trPr>
        <w:tc>
          <w:tcPr>
            <w:tcW w:w="9840" w:type="dxa"/>
            <w:vAlign w:val="bottom"/>
          </w:tcPr>
          <w:p>
            <w:pPr>
              <w:ind w:left="14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19"/>
        </w:trPr>
        <w:tc>
          <w:tcPr>
            <w:tcW w:w="9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9840" w:type="dxa"/>
            <w:vAlign w:val="bottom"/>
          </w:tcPr>
          <w:p>
            <w:pPr>
              <w:ind w:left="14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9"/>
        </w:trPr>
        <w:tc>
          <w:tcPr>
            <w:tcW w:w="9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3"/>
        </w:trPr>
        <w:tc>
          <w:tcPr>
            <w:tcW w:w="9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r>
      <w:tr>
        <w:trPr>
          <w:trHeight w:val="209"/>
        </w:trPr>
        <w:tc>
          <w:tcPr>
            <w:tcW w:w="9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r>
    </w:tbl>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2020 Acquisitions. </w:t>
      </w:r>
      <w:r>
        <w:rPr>
          <w:rFonts w:ascii="Arial" w:cs="Arial" w:eastAsia="Arial" w:hAnsi="Arial"/>
          <w:sz w:val="15"/>
          <w:szCs w:val="15"/>
          <w:color w:val="auto"/>
        </w:rPr>
        <w:t>During 2020, MasTec completed five acquisitions. These acquisitions included the equity interests of two entities. Through a consolidated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subsidiary, the Company acquired all of the equity interests in a heavy civil infrastructure construction company that is included within the Company’s Clean Energy and Infrastructure segment. As of the date of acquisition, the Company’s ownership interest in the consolidated subsidiary was 96%, and as of December 31, 2020, was 91%, with a portion of the non-controlling interests owned by members of subsidiary management. The Company also acquired all of the equity interests in a utility service and telecommunications construction contractor that is included within the Company’s Communications segment. The Company also acquired the assets of three entities, one that specializes in wireless telecommunications and one that specializes in install-to-the-home services, both of which are included within the Company’s Communications segment and one that specializes in electrical transmission services that is included within the Company’s Electrical transmission segment.</w:t>
      </w:r>
    </w:p>
    <w:p>
      <w:pPr>
        <w:spacing w:after="0" w:line="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aggregate purchase price for these entities was composed of approximately $23.5 million in cash, net of cash acquired, with an additional $3.2 million due through 2023, subject to certain indemnification provisions, and a five-year earn-out liability valued at approximately $8.3 million. Earn-outs are generally payable annually and are recorded within other current and other long-term liabilities in the consolidated balance sheets. As of December 31, 2020, the range of remaining potential undiscounted earn-out liabilities for the 2020 acquisitions was estimated to be between $1 million and $13 million; however, there is no maximum payment amount. Determination of the estimated fair values of the net assets acquired and the estimated earn-out liabilities for these acquisitions was preliminary as of December 31, 2020; as a result, further adjustments to these estimates may occur.</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2019 Acquisitions. </w:t>
      </w:r>
      <w:r>
        <w:rPr>
          <w:rFonts w:ascii="Arial" w:cs="Arial" w:eastAsia="Arial" w:hAnsi="Arial"/>
          <w:sz w:val="16"/>
          <w:szCs w:val="16"/>
          <w:color w:val="auto"/>
        </w:rPr>
        <w:t>During 2019, MasTec completed six acquisitions, one of which specializes in water infrastructure for pipeline companies and is included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within the </w:t>
      </w:r>
      <w:r>
        <w:rPr>
          <w:rFonts w:ascii="Arial" w:cs="Arial" w:eastAsia="Arial" w:hAnsi="Arial"/>
          <w:sz w:val="16"/>
          <w:szCs w:val="16"/>
          <w:color w:val="26282A"/>
        </w:rPr>
        <w:t>Company’s Oil and Gas segment,</w:t>
      </w:r>
      <w:r>
        <w:rPr>
          <w:rFonts w:ascii="Arial" w:cs="Arial" w:eastAsia="Arial" w:hAnsi="Arial"/>
          <w:sz w:val="16"/>
          <w:szCs w:val="16"/>
          <w:color w:val="auto"/>
        </w:rPr>
        <w:t xml:space="preserve"> four o</w:t>
      </w:r>
      <w:r>
        <w:rPr>
          <w:rFonts w:ascii="Arial" w:cs="Arial" w:eastAsia="Arial" w:hAnsi="Arial"/>
          <w:sz w:val="16"/>
          <w:szCs w:val="16"/>
          <w:color w:val="26282A"/>
        </w:rPr>
        <w:t>f which are</w:t>
      </w:r>
      <w:r>
        <w:rPr>
          <w:rFonts w:ascii="Arial" w:cs="Arial" w:eastAsia="Arial" w:hAnsi="Arial"/>
          <w:sz w:val="16"/>
          <w:szCs w:val="16"/>
          <w:color w:val="auto"/>
        </w:rPr>
        <w:t xml:space="preserve"> included within the Company’s Communications segment, including a wireline/fiber deployment construction contractor and a telecommunications company specializing in a broad range of end-to-end wireless telecommunications solutions, and one of which specializes in construction projects in the power industry and is included in the Company’s Clean Energy and Infrastructure segment</w:t>
      </w:r>
      <w:r>
        <w:rPr>
          <w:rFonts w:ascii="Arial" w:cs="Arial" w:eastAsia="Arial" w:hAnsi="Arial"/>
          <w:sz w:val="16"/>
          <w:szCs w:val="16"/>
          <w:color w:val="26282A"/>
        </w:rPr>
        <w:t>. For all but one of these acquisitions, the Company</w:t>
      </w:r>
      <w:r>
        <w:rPr>
          <w:rFonts w:ascii="Arial" w:cs="Arial" w:eastAsia="Arial" w:hAnsi="Arial"/>
          <w:sz w:val="16"/>
          <w:szCs w:val="16"/>
          <w:color w:val="auto"/>
        </w:rPr>
        <w:t xml:space="preserve"> </w:t>
      </w:r>
      <w:r>
        <w:rPr>
          <w:rFonts w:ascii="Arial" w:cs="Arial" w:eastAsia="Arial" w:hAnsi="Arial"/>
          <w:sz w:val="16"/>
          <w:szCs w:val="16"/>
          <w:color w:val="26282A"/>
        </w:rPr>
        <w:t>acquired all of the equity interests in the related entities. For the telecommunications company specializing in wireless telecommunications solutions, the Company acquired 96% of the entity’s equity interests, with the obligation to acquire the balance over time.</w:t>
      </w:r>
    </w:p>
    <w:p>
      <w:pPr>
        <w:spacing w:after="0" w:line="8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following table summarizes the fair values of consideration paid and net assets acquired for the 2019 acquisitions as of the respective dates of acquisition, as adjusted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Acquisition consideration:</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13"/>
        </w:trPr>
        <w:tc>
          <w:tcPr>
            <w:tcW w:w="9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net of cash acquired and other</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r>
      <w:tr>
        <w:trPr>
          <w:trHeight w:val="213"/>
        </w:trPr>
        <w:tc>
          <w:tcPr>
            <w:tcW w:w="9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fair value of contingent consideration and other liabilities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r>
      <w:tr>
        <w:trPr>
          <w:trHeight w:val="213"/>
        </w:trPr>
        <w:tc>
          <w:tcPr>
            <w:tcW w:w="9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consideration transferred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w:t>
            </w:r>
          </w:p>
        </w:tc>
      </w:tr>
      <w:tr>
        <w:trPr>
          <w:trHeight w:val="193"/>
        </w:trPr>
        <w:tc>
          <w:tcPr>
            <w:tcW w:w="95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9"/>
        </w:trPr>
        <w:tc>
          <w:tcPr>
            <w:tcW w:w="9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 primarily composed of accounts receivable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r>
      <w:tr>
        <w:trPr>
          <w:trHeight w:val="213"/>
        </w:trPr>
        <w:tc>
          <w:tcPr>
            <w:tcW w:w="9500" w:type="dxa"/>
            <w:vAlign w:val="bottom"/>
          </w:tcPr>
          <w:p>
            <w:pPr>
              <w:ind w:left="140"/>
              <w:spacing w:after="0"/>
              <w:rPr>
                <w:sz w:val="20"/>
                <w:szCs w:val="20"/>
                <w:color w:val="auto"/>
              </w:rPr>
            </w:pPr>
            <w:r>
              <w:rPr>
                <w:rFonts w:ascii="Arial" w:cs="Arial" w:eastAsia="Arial" w:hAnsi="Arial"/>
                <w:sz w:val="16"/>
                <w:szCs w:val="16"/>
                <w:color w:val="auto"/>
              </w:rPr>
              <w:t>Property and equipment, including finance leases and other long-term assets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19"/>
        </w:trPr>
        <w:tc>
          <w:tcPr>
            <w:tcW w:w="9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Amortizing intangible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r>
      <w:tr>
        <w:trPr>
          <w:trHeight w:val="213"/>
        </w:trPr>
        <w:tc>
          <w:tcPr>
            <w:tcW w:w="9500" w:type="dxa"/>
            <w:vAlign w:val="bottom"/>
          </w:tcPr>
          <w:p>
            <w:pPr>
              <w:ind w:left="140"/>
              <w:spacing w:after="0"/>
              <w:rPr>
                <w:sz w:val="20"/>
                <w:szCs w:val="20"/>
                <w:color w:val="auto"/>
              </w:rPr>
            </w:pPr>
            <w:r>
              <w:rPr>
                <w:rFonts w:ascii="Arial" w:cs="Arial" w:eastAsia="Arial" w:hAnsi="Arial"/>
                <w:sz w:val="16"/>
                <w:szCs w:val="16"/>
                <w:color w:val="auto"/>
              </w:rPr>
              <w:t>Current liabilities, including current portion of finance lease obligations and long-term debt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219"/>
        </w:trPr>
        <w:tc>
          <w:tcPr>
            <w:tcW w:w="9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including finance lease obligations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9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income taxes and other long-term liabilities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r>
      <w:tr>
        <w:trPr>
          <w:trHeight w:val="213"/>
        </w:trPr>
        <w:tc>
          <w:tcPr>
            <w:tcW w:w="9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identifiable net assets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06"/>
        </w:trPr>
        <w:tc>
          <w:tcPr>
            <w:tcW w:w="9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Goodwill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w:t>
            </w:r>
          </w:p>
        </w:tc>
      </w:tr>
      <w:tr>
        <w:trPr>
          <w:trHeight w:val="210"/>
        </w:trPr>
        <w:tc>
          <w:tcPr>
            <w:tcW w:w="9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net assets acquired, including goodwill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w:t>
            </w:r>
          </w:p>
        </w:tc>
      </w:tr>
    </w:tbl>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Amortizing intangible assets related to the 2019 acquisitions are primarily composed of customer relationships, backlog and certain other intangible assets, which had weighted average lives, as adjusted, of approximately 12 years, 3 years and 5 years, respectively, and a weighted average life of 11 years in total. Amortizing intangible assets are amortized in a manner consistent with the pattern in which the related benefits are expected to be consumed. The goodwill balances for the respective acquisitions represent the estimated value of each acquired company’s geographic presence in key markets, its assembled workforce and management team’s industry-specific project management expertise, as well as synergies expected to be achieved from the combined operations of the acquired companies and MasTec. Approximately $8 million of the goodwill balance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64" w:name="page65"/>
    <w:bookmarkEnd w:id="64"/>
    <w:p>
      <w:pPr>
        <w:jc w:val="both"/>
        <w:spacing w:after="0" w:line="261" w:lineRule="auto"/>
        <w:rPr>
          <w:sz w:val="20"/>
          <w:szCs w:val="20"/>
          <w:color w:val="auto"/>
        </w:rPr>
      </w:pPr>
      <w:r>
        <w:rPr>
          <w:rFonts w:ascii="Arial" w:cs="Arial" w:eastAsia="Arial" w:hAnsi="Arial"/>
          <w:sz w:val="16"/>
          <w:szCs w:val="16"/>
          <w:color w:val="auto"/>
        </w:rPr>
        <w:t>related to the 2019 acquisitions is expected to be tax deductible as of December 31, 2020. Additionally, current liabilities in the table above include amounts due to former owners, who, subsequent to acquisition, are members of subsidiary management, of approximately $11 million, of which $2 million was subsequently paid during 2019 pursuant to the terms of the related purchase agreement.</w:t>
      </w:r>
    </w:p>
    <w:p>
      <w:pPr>
        <w:spacing w:after="0" w:line="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The contingent consideration and other liabilities included in the table above is composed of $22.3 million of earn-out liabilities, which equal a portion of the acquired companies’ earnings before interest, taxes, depreciation and amortization (“EBITDA”) in excess of thresholds agreed upon with the sellers, if applicable, and a mandatorily redeemable non-controlling interest, subject to a repurchase formula (collectively, “Earn-outs”), totaling $17.8 million, which is calculated in a manner consistent with the Company’s traditional earn-out arrangements. Earn-outs are generally payable annually for a period of five years, as set forth in the respective purchase agreements. The fair values of the Earn-outs were estimated using income approaches such as discounted cash flows or option pricing models and incorporate significant inputs not observable in the market. Key assumptions in the estimated valuations include the discount rate and probability-weighted EBITDA projections. Significant changes in any of these assumptions could result in significantly higher or lower potential Earn-out liabilities. As of December 31, 2020, the range of remaining potential undiscounted Earn-out liabilities for the 2019 acquisitions was estimated to be between $4 million and $51 million; however, there is no maximum payment amount.</w:t>
      </w:r>
    </w:p>
    <w:p>
      <w:pPr>
        <w:spacing w:after="0" w:line="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2018 Acquisitions. </w:t>
      </w:r>
      <w:r>
        <w:rPr>
          <w:rFonts w:ascii="Arial" w:cs="Arial" w:eastAsia="Arial" w:hAnsi="Arial"/>
          <w:sz w:val="16"/>
          <w:szCs w:val="16"/>
          <w:color w:val="auto"/>
        </w:rPr>
        <w:t>During 2018, MasTec acquired all of the equity interests in a construction management firm specializing in steel building systems and acquired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wind turbine services company, both of which are included in the Company’s Clean Energy and Infrastructure segment. The aggregate purchase price for these entities, as adjusted, was composed of approximately $5.1 million in cash, net of cash acquired, and estimated earn-out liabilities, net, totaling $1.5 million. As of December 31, 2020, the range of remaining potential undiscounted earn-out liabilities, net, for the 2018 acquisitions was estimated to be up to $4 million; however, there is no maximum payment amount.</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b w:val="1"/>
          <w:bCs w:val="1"/>
          <w:i w:val="1"/>
          <w:iCs w:val="1"/>
          <w:color w:val="auto"/>
        </w:rPr>
        <w:t xml:space="preserve">Pro Forma Financial Information and Acquisition Results. </w:t>
      </w:r>
      <w:r>
        <w:rPr>
          <w:rFonts w:ascii="Arial" w:cs="Arial" w:eastAsia="Arial" w:hAnsi="Arial"/>
          <w:sz w:val="16"/>
          <w:szCs w:val="16"/>
          <w:color w:val="auto"/>
        </w:rPr>
        <w:t>For the years ended December 31, 2020</w:t>
      </w:r>
      <w:r>
        <w:rPr>
          <w:rFonts w:ascii="Arial" w:cs="Arial" w:eastAsia="Arial" w:hAnsi="Arial"/>
          <w:sz w:val="17"/>
          <w:szCs w:val="17"/>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and 2018, unaudited supplemental pro forma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totaled approximately $6.4 billion, $7.6 billion and $7.4 billion, respectively, and unaudited supplemental pro forma net income totaled approximately $334.5 million, $406.6 million and $258.7 million, respectively.</w:t>
      </w:r>
    </w:p>
    <w:p>
      <w:pPr>
        <w:spacing w:after="0" w:line="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These unaudited pro forma financial results include the results of operations of acquired companies as if those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spacing w:after="0" w:line="73" w:lineRule="exact"/>
        <w:rPr>
          <w:sz w:val="20"/>
          <w:szCs w:val="20"/>
          <w:color w:val="auto"/>
        </w:rPr>
      </w:pPr>
    </w:p>
    <w:p>
      <w:pPr>
        <w:jc w:val="both"/>
        <w:ind w:firstLine="181"/>
        <w:spacing w:after="0" w:line="253" w:lineRule="auto"/>
        <w:rPr>
          <w:sz w:val="20"/>
          <w:szCs w:val="20"/>
          <w:color w:val="auto"/>
        </w:rPr>
      </w:pPr>
      <w:r>
        <w:rPr>
          <w:rFonts w:ascii="Arial" w:cs="Arial" w:eastAsia="Arial" w:hAnsi="Arial"/>
          <w:sz w:val="16"/>
          <w:szCs w:val="16"/>
          <w:color w:val="auto"/>
        </w:rPr>
        <w:t>For the years ended December 31, 2020, 2019 and 2018, the Company’s consolidated results of operations included acquisition-related revenue of approximately $229.9 million, $188.3 million and $154.4 million, respectively, and included acquisition-related net losses of approximately $6.7 million and $1.4 million for the years ended December 31, 2020 and 2019, respectively, and acquisition-related net income of approximately $1.4 million for the year ended December 31, 2018, based on the Company’s consolidated effective tax rates. These acquisition-related results do not include the effects of acquisition costs or interest expense associated with consideration paid for the related acquisitions.</w:t>
      </w:r>
    </w:p>
    <w:p>
      <w:pPr>
        <w:spacing w:after="0" w:line="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Q1 2021 Acquisitions. </w:t>
      </w:r>
      <w:r>
        <w:rPr>
          <w:rFonts w:ascii="Arial" w:cs="Arial" w:eastAsia="Arial" w:hAnsi="Arial"/>
          <w:sz w:val="15"/>
          <w:szCs w:val="15"/>
          <w:color w:val="auto"/>
        </w:rPr>
        <w:t>In the first quarter of 2021, MasTec acquired a heavy civil infrastructure construction company that will be included within the Company’s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Clean Energy and Infrastructure segment, and a pipeline integrity and gas distribution contractor that will be included in the Company’s Oil and Gas segment for an aggregate purchase price of approximately $110 million in cash. Due to the limited amount of time since these acquisitions, the initial accounting is incomplete. The Company will complete an initial allocation of purchase price to total net assets acquired for these acquisitions in the first quarter of 2021.</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 and Other Liabilities</w:t>
      </w:r>
    </w:p>
    <w:p>
      <w:pPr>
        <w:spacing w:after="0" w:line="1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Acquisition-related contingent consideration and other liabilities is composed of Earn-outs, which represent the estimated fair value of future amounts payable for businesses, including for mandatorily redeemable non-controlling interests, that are contingent upon the acquired business achieving certain levels of earnings in the future. As of December 31, 2020 and 2019, the estimated fair value of the Company’s Earn-out liabilities totaled $135.2 million and $173.2 million, respectively, of which $48.1 million and $54.1 million, respectively, was included within other current liabilities.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December 31, 2020, ranged from 12.0% to 20.0%, with a weighted average rate of 13.1% based on the relative fair value of each instrument,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December 31, 2020, the range of potential undiscounted Earn-out liabilities was estimated to be between $48 million and $179 million; however, there is no maximum payment amount.</w:t>
      </w:r>
    </w:p>
    <w:p>
      <w:pPr>
        <w:spacing w:after="0" w:line="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Earn-out activity consists primarily of additions from new business combinations; changes in the expected fair value of future payment obligations; and payments. For the years ended December 31, 2020</w:t>
      </w:r>
      <w:r>
        <w:rPr>
          <w:rFonts w:ascii="Arial" w:cs="Arial" w:eastAsia="Arial" w:hAnsi="Arial"/>
          <w:sz w:val="17"/>
          <w:szCs w:val="17"/>
          <w:color w:val="auto"/>
        </w:rPr>
        <w:t>,</w:t>
      </w:r>
      <w:r>
        <w:rPr>
          <w:rFonts w:ascii="Arial" w:cs="Arial" w:eastAsia="Arial" w:hAnsi="Arial"/>
          <w:sz w:val="16"/>
          <w:szCs w:val="16"/>
          <w:color w:val="auto"/>
        </w:rPr>
        <w:t xml:space="preserve"> 2019 and 2018, additions to acquisition-related contingent consideration and other liabilities from new business combinations totaled approximately $7.2 million</w:t>
      </w:r>
      <w:r>
        <w:rPr>
          <w:rFonts w:ascii="Arial" w:cs="Arial" w:eastAsia="Arial" w:hAnsi="Arial"/>
          <w:sz w:val="17"/>
          <w:szCs w:val="17"/>
          <w:color w:val="auto"/>
        </w:rPr>
        <w:t>,</w:t>
      </w:r>
      <w:r>
        <w:rPr>
          <w:rFonts w:ascii="Arial" w:cs="Arial" w:eastAsia="Arial" w:hAnsi="Arial"/>
          <w:sz w:val="16"/>
          <w:szCs w:val="16"/>
          <w:color w:val="auto"/>
        </w:rPr>
        <w:t xml:space="preserve"> $45.2 million and $1.5 million, respectively. For the year ended December 31, 2020, measurement period adjustments totaled an increase of approximately $2.1 million and related to businesses in the Company’s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65" w:name="page66"/>
    <w:bookmarkEnd w:id="65"/>
    <w:p>
      <w:pPr>
        <w:jc w:val="both"/>
        <w:spacing w:after="0" w:line="295" w:lineRule="auto"/>
        <w:rPr>
          <w:sz w:val="20"/>
          <w:szCs w:val="20"/>
          <w:color w:val="auto"/>
        </w:rPr>
      </w:pPr>
      <w:r>
        <w:rPr>
          <w:rFonts w:ascii="Arial" w:cs="Arial" w:eastAsia="Arial" w:hAnsi="Arial"/>
          <w:sz w:val="14"/>
          <w:szCs w:val="14"/>
          <w:color w:val="auto"/>
        </w:rPr>
        <w:t>Communications segment. Measurement period adjustments in 2019 totaled a decrease of approximately $6.1 million and related primarily to businesses in the Company’s Oil and Gas and Communications segment, and in 2018, totaled a net increase of approximately $5.0 million and related primarily to a business in the Company’s Oil and Gas segment. For the year ended December 31, 2020 fair value adjustments totaled a net increase of approximately $3.1 million across multiple segments, including a $1.0 million increase related to mandatorily redeemable non-controlling interests. For the years ended December 31, 2019 and 2018, fair value adjustments totaled net increases of approximately $51.0 million and $17.5 million, respectively, and related primarily to Earn-outs for businesses in the Company’s Oil and Gas and Communications segments. Earn-out payments totaled $50.4 million, $35.0 million and $23.1 million for the years ended December 31, 2020, 2019 and 2018, respectively.</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equity investments as of December 31, 2020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equity interests in American Virtual Cloud Technologies, Inc., or “AVCT”; (v) the Company’s interests in certain proportionately consolidated non-controlled contractual joint ventures; and (vi) certain other equity investments.</w:t>
      </w:r>
    </w:p>
    <w:p>
      <w:pPr>
        <w:spacing w:after="0" w:line="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As of December 31, 2020 and 2019, the aggregate carrying value of the Company’s equity investments, including equity investments measured on an adjusted cost basis, totaled approximately $220 million and $196 million, respectively. As of December 31, 2020 and 2019, equity investments measured on an adjusted cost basis, including the Company’s $15 million investment in CCI, totaled approximately $17 million and $18 million, respectively. There were no material changes in the fair values of, or impairments related to, these investments during either of the years then ended.</w:t>
      </w:r>
    </w:p>
    <w:p>
      <w:pPr>
        <w:spacing w:after="0" w:line="7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4"/>
          <w:szCs w:val="14"/>
          <w:i w:val="1"/>
          <w:iCs w:val="1"/>
          <w:color w:val="auto"/>
        </w:rPr>
        <w:t xml:space="preserve">The Waha JVs. </w:t>
      </w:r>
      <w:r>
        <w:rPr>
          <w:rFonts w:ascii="Arial" w:cs="Arial" w:eastAsia="Arial" w:hAnsi="Arial"/>
          <w:sz w:val="14"/>
          <w:szCs w:val="14"/>
          <w:color w:val="auto"/>
        </w:rPr>
        <w:t>The Waha JVs own and operate certain pipeline infrastructure that transports natural gas to the Mexican border for export. The Company’s</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investments in the Waha JVs are accounted for as equity method investments. Equity in earnings related to the Company’s proportionate share of income from the Waha JVs, which is included within the Company’s Other segment, totaled approximately $31.3 million</w:t>
      </w:r>
      <w:r>
        <w:rPr>
          <w:rFonts w:ascii="Arial" w:cs="Arial" w:eastAsia="Arial" w:hAnsi="Arial"/>
          <w:sz w:val="15"/>
          <w:szCs w:val="15"/>
          <w:color w:val="auto"/>
        </w:rPr>
        <w:t>,</w:t>
      </w:r>
      <w:r>
        <w:rPr>
          <w:rFonts w:ascii="Arial" w:cs="Arial" w:eastAsia="Arial" w:hAnsi="Arial"/>
          <w:sz w:val="14"/>
          <w:szCs w:val="14"/>
          <w:color w:val="auto"/>
        </w:rPr>
        <w:t xml:space="preserve"> $27.3 million and $23.9 million for the years ended December 31, 2020, 2019 and 2018, respectively. Distributions of earnings from the Waha JVs, which are included within operating cash flows, totaled $12.0 million, $9.1 million and $10.9 million for the years ended December 31, 2020, 2019 and 2018, respectively. Cumulative undistributed earnings from the Waha JVs, which represents cumulative equity in earnings for the Waha JVs less distributions of earnings, totaled $67.3 million as of December 31, 2020. The Company made no equity contributions to these joint ventures for the year ended December 31, 2020, and for the years ended December 31, 2019 and 2018, the Company made equity contributions of approximately $1 million and $28 million, respectively. The Company’s net investment in the Waha JVs, which differs from its proportionate share of the net assets of the Waha JVs due primarily to equity method goodwill associated with capitalized investment costs, totaled approximately $175 million and $174 million as of December 31, 2020 and 2019, respectively.</w:t>
      </w:r>
    </w:p>
    <w:p>
      <w:pPr>
        <w:spacing w:after="0" w:line="5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years ended December 31, 2020 and 2019, the Company’s proportionate share of unrecognized unrealized activity on these interest rate swaps totaled losses of approximately $24.4 million and $19.9 million, respectively, or $18.5 million and $15.0 million, net of tax, respectively, and for the year ended December 31, 2018, totaled gains of approximately $7.7 million, or $5.9 million, net of tax.</w:t>
      </w:r>
    </w:p>
    <w:p>
      <w:pPr>
        <w:spacing w:after="0" w:line="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i w:val="1"/>
          <w:iCs w:val="1"/>
          <w:color w:val="auto"/>
        </w:rPr>
        <w:t>Other Investments</w:t>
      </w:r>
      <w:r>
        <w:rPr>
          <w:rFonts w:ascii="Arial" w:cs="Arial" w:eastAsia="Arial" w:hAnsi="Arial"/>
          <w:sz w:val="15"/>
          <w:szCs w:val="15"/>
          <w:color w:val="auto"/>
        </w:rPr>
        <w:t>. The Company has investments in AVCT. These investments include (i) shares of AVCT common stock, which are equity securities, (ii)</w:t>
      </w:r>
      <w:r>
        <w:rPr>
          <w:rFonts w:ascii="Arial" w:cs="Arial" w:eastAsia="Arial" w:hAnsi="Arial"/>
          <w:sz w:val="15"/>
          <w:szCs w:val="15"/>
          <w:i w:val="1"/>
          <w:iCs w:val="1"/>
          <w:color w:val="auto"/>
        </w:rPr>
        <w:t xml:space="preserve"> </w:t>
      </w:r>
      <w:r>
        <w:rPr>
          <w:rFonts w:ascii="Arial" w:cs="Arial" w:eastAsia="Arial" w:hAnsi="Arial"/>
          <w:sz w:val="15"/>
          <w:szCs w:val="15"/>
          <w:color w:val="auto"/>
        </w:rPr>
        <w:t>warrants for the purchase of AVCT common stock, which are derivative financial instruments, and (iii) debentures that are convertible into shares of AVCT common stock, which are available-for-sale securities. As of December 31, 2020 and 2019, the Company’s ownership interest in AVCT’s common stock, represented by the AVCT shares, totaled approximately 9% and 21%, respectively, and its aggregate ownership interest, assuming the exercise and conversion of all legally exercisable warrants and convertible debt into AVCT common stock, totaled approximately 21% as of both periods. José R. Mas, MasTec’s Chief Executive Officer, was a director of AVCT through the end of March 2020. The Company paid an aggregate of approximately $5 million for its investments in AVCT, all of which are included within other long-term assets in the Company’s consolidated financial statements. The issued shares and those underlying the derivative instruments are salable at various times subject to various contractual and securities law restrictions. The Company does not have the ability to exert significant influence over the operating and financial policies of AVCT.</w:t>
      </w:r>
    </w:p>
    <w:p>
      <w:pPr>
        <w:spacing w:after="0" w:line="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As of December 31, 2020, the aggregate fair value of the Company’s investments in AVCT approximated $17 million. For the year ended December 31, 2020, the Company recorded unrealized fair value measurement gains on the AVCT securities within other income totaling approximately $10.1 million, primarily related to the AVCT shares, for which the fair value was determined based on the market price of identical securities, adjusted for the restrictions on sale, which is a Level 3 input. Unrealized fair value measurement gains on the AVCT convertible debentures as determined based on Monte Carlo simulations, a Level 3 input, which are recognized within other comprehensive income, totaled approximately $1.8 million, or $1.4 million net of tax, for the year ended December 31, 2020. As of December 31, 2019, the AVCT shares were measured on an adjusted cost basis as their fair value was not readily determinable. The aggregate carrying value of the Company’s investment in AVCT as of December 31, 2019, including the AVCT shares and initial warrants, was approximately $2 million.</w:t>
      </w:r>
    </w:p>
    <w:p>
      <w:pPr>
        <w:spacing w:after="0" w:line="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has equity interests in certain telecommunications entities that provide services to MasTec and are accounted for as equity method investments, including the Company’s $16 million aggregate investment in FM Tech. For the year ended December 31, 2020 equity in losses, net, related to these entities totaled approximately $1.5 million, and for the year ended December 31, 2019, was de minimis. The difference between the carrying amount of these investments and the Company’s underlying equity in the net assets of the respective entities relates primarily to equity method goodwill associated with assembled workforce for each of these entities. For the years ended December 31, 2020 and 2019, expense recognized in connection with services provided by these entities to MasTec totaled $11.5 million and $7.0 million, respectively, and related amounts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payable totaled $0.2 million as of December 31, 2020, and were de minimis as of December 31, 2019.</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Summarized Financial Information of Equity Method Investments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presents summarized information for the entities that comprise the Company’s significant equity method investments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67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12"/>
        </w:trPr>
        <w:tc>
          <w:tcPr>
            <w:tcW w:w="6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Current assets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13"/>
        </w:trPr>
        <w:tc>
          <w:tcPr>
            <w:tcW w:w="67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Long-term assets</w:t>
            </w: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1,359.9</w:t>
            </w:r>
          </w:p>
        </w:tc>
      </w:tr>
      <w:tr>
        <w:trPr>
          <w:trHeight w:val="209"/>
        </w:trPr>
        <w:tc>
          <w:tcPr>
            <w:tcW w:w="6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1,504.4</w:t>
            </w:r>
          </w:p>
        </w:tc>
      </w:tr>
      <w:tr>
        <w:trPr>
          <w:trHeight w:val="240"/>
        </w:trPr>
        <w:tc>
          <w:tcPr>
            <w:tcW w:w="6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6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Current liabilities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67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Long-term liabilities</w:t>
            </w: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978.6</w:t>
            </w:r>
          </w:p>
        </w:tc>
      </w:tr>
      <w:tr>
        <w:trPr>
          <w:trHeight w:val="209"/>
        </w:trPr>
        <w:tc>
          <w:tcPr>
            <w:tcW w:w="6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liabilities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1,013.5</w:t>
            </w:r>
          </w:p>
        </w:tc>
      </w:tr>
      <w:tr>
        <w:trPr>
          <w:trHeight w:val="331"/>
        </w:trPr>
        <w:tc>
          <w:tcPr>
            <w:tcW w:w="67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6"/>
                <w:szCs w:val="16"/>
                <w:b w:val="1"/>
                <w:bCs w:val="1"/>
                <w:color w:val="auto"/>
                <w:w w:val="94"/>
              </w:rPr>
              <w:t>For the Years Ended December 31,</w:t>
            </w:r>
          </w:p>
        </w:tc>
        <w:tc>
          <w:tcPr>
            <w:tcW w:w="940" w:type="dxa"/>
            <w:vAlign w:val="bottom"/>
            <w:tcBorders>
              <w:bottom w:val="single" w:sz="8" w:color="auto"/>
            </w:tcBorders>
          </w:tcPr>
          <w:p>
            <w:pPr>
              <w:spacing w:after="0"/>
              <w:rPr>
                <w:sz w:val="24"/>
                <w:szCs w:val="24"/>
                <w:color w:val="auto"/>
              </w:rPr>
            </w:pPr>
          </w:p>
        </w:tc>
      </w:tr>
      <w:tr>
        <w:trPr>
          <w:trHeight w:val="210"/>
        </w:trPr>
        <w:tc>
          <w:tcPr>
            <w:tcW w:w="67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169.2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72.4</w:t>
            </w:r>
          </w:p>
        </w:tc>
      </w:tr>
    </w:tbl>
    <w:p>
      <w:pPr>
        <w:spacing w:after="0" w:line="2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Senior Notes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2020, the gross carrying amount of the Company’s 4.50% senior notes due August 15, 2028 (the “4.50% Senior Notes”) totaled $600 million and their estimated fair value totaled $625.5 million. As of December 31, 2019, the gross carrying amount of the Company’s 4.875% senior notes due March 15, 2023 (the “4.875% Senior Notes”) totaled $400 million and their estimated fair value totaled $404.5 million. The estimated fair values of the Company’s senior notes were determined using an “exit price” approach based on Level 1 inputs. See Note 7 - Debt for additional information on the 2020 redemption of the Company’s 4.875% Senior Notes and related issuance of its 4.50% Senior Notes.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provides details of accounts receivable, net of allowance, and contract assets (together “accounts receivable, net”) as of the dates indicated (in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6"/>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12"/>
        </w:trPr>
        <w:tc>
          <w:tcPr>
            <w:tcW w:w="8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Contract billings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805.0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860.4</w:t>
            </w:r>
          </w:p>
        </w:tc>
      </w:tr>
      <w:tr>
        <w:trPr>
          <w:trHeight w:val="213"/>
        </w:trPr>
        <w:tc>
          <w:tcPr>
            <w:tcW w:w="82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Less allowance</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5"/>
              </w:rPr>
              <w:t>(20.5)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09"/>
        </w:trPr>
        <w:tc>
          <w:tcPr>
            <w:tcW w:w="8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receivable, net of allowance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784.5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850.3</w:t>
            </w:r>
          </w:p>
        </w:tc>
      </w:tr>
      <w:tr>
        <w:trPr>
          <w:trHeight w:val="240"/>
        </w:trPr>
        <w:tc>
          <w:tcPr>
            <w:tcW w:w="8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8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Retainage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287.7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w:t>
            </w:r>
          </w:p>
        </w:tc>
      </w:tr>
      <w:tr>
        <w:trPr>
          <w:trHeight w:val="213"/>
        </w:trPr>
        <w:tc>
          <w:tcPr>
            <w:tcW w:w="82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Unbilled receivables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682.0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679.4</w:t>
            </w:r>
          </w:p>
        </w:tc>
      </w:tr>
      <w:tr>
        <w:trPr>
          <w:trHeight w:val="210"/>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969.7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1,024.6</w:t>
            </w:r>
          </w:p>
        </w:tc>
      </w:tr>
    </w:tbl>
    <w:p>
      <w:pPr>
        <w:spacing w:after="0" w:line="1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5"/>
          <w:szCs w:val="15"/>
          <w:color w:val="auto"/>
        </w:rPr>
        <w:t>Contract billings represent the amount of performance obligations that have been billed but have not yet been collected, whereas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Retainage is not considered to be a significant financing component because the intent is to protect the customer. Unbilled receivables and retainage amounts are generally classified as current assets within the Company’s consolidated balance sheets. The decrease in the retainage balance as of December 31, 2020 was driven largely by timing of project activity in the Company’s Oil and Gas segment, offset, in part, by increases in project activity in the Clean Energy and Infrastructure segment. Retainage that has been billed, but is not due until completion of performance and acceptance by customers, is generally expected to be collected within one year. Accounts receivable balances expected to be collected beyond one year are recorded within other long-term assets. For the years ended December 31, 2020 and 2019, provisions for credit losses, including potential credit losses from current economic uncertainty, totaled $12.1 million and $1.7 million, respectively, and amounts charged against the allowance, including direct write-offs totaled $1.7 million and $7.9 million, respectively. Impairment losses on contract assets were not material for the years ended December 31, 2020, 2019 and 2018.</w:t>
      </w:r>
    </w:p>
    <w:p>
      <w:pPr>
        <w:spacing w:after="0" w:line="9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Contract liabilities, which are generally classified within current liabilities on the Company’s consolidated balance sheets,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7" w:name="page68"/>
    <w:bookmarkEnd w:id="67"/>
    <w:p>
      <w:pPr>
        <w:jc w:val="both"/>
        <w:spacing w:after="0" w:line="252" w:lineRule="auto"/>
        <w:rPr>
          <w:sz w:val="20"/>
          <w:szCs w:val="20"/>
          <w:color w:val="auto"/>
        </w:rPr>
      </w:pPr>
      <w:r>
        <w:rPr>
          <w:rFonts w:ascii="Arial" w:cs="Arial" w:eastAsia="Arial" w:hAnsi="Arial"/>
          <w:sz w:val="16"/>
          <w:szCs w:val="16"/>
          <w:color w:val="auto"/>
        </w:rPr>
        <w:t>referred to as deferred revenue. Deferred revenue is not considered to be a significant financing component because it is generally used to meet working capital demands that can be higher in the early stages of a contract. Contract liabilities also include the amount of any accrued project losses. Total contract liabilities, including accrued project losses, totaled approximately $228.4 million and $206.2 million as of December 31, 2020 and 2019, respectively, of which deferred revenue comprised approximately $203.0 million and $184.1 million, respectively. For the years ended December 31, 2020 and 2019, the Company recognized revenue of approximately $159.6 million and $199.2 million, respectively, related to amounts that were included in deferred revenue as of December 31, 2019 and 2018, respectively, resulting primarily from the advancement of physical progress on the related projects during the related periods.</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Discount charges related to these arrangements, which are included within interest expense, net, totaled approximately $5.0 million, $10.1 million and $11.1 million for the years ended December 31, 2020, 2019 and 2018,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finance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1"/>
              </w:rPr>
              <w:t>Estimated Useful Lives</w:t>
            </w:r>
          </w:p>
        </w:tc>
        <w:tc>
          <w:tcPr>
            <w:tcW w:w="0" w:type="dxa"/>
            <w:vAlign w:val="bottom"/>
          </w:tcPr>
          <w:p>
            <w:pPr>
              <w:spacing w:after="0"/>
              <w:rPr>
                <w:sz w:val="1"/>
                <w:szCs w:val="1"/>
                <w:color w:val="auto"/>
              </w:rPr>
            </w:pPr>
          </w:p>
        </w:tc>
      </w:tr>
      <w:tr>
        <w:trPr>
          <w:trHeight w:val="200"/>
        </w:trPr>
        <w:tc>
          <w:tcPr>
            <w:tcW w:w="56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(in years)</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Land</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60"/>
              <w:spacing w:after="0"/>
              <w:rPr>
                <w:sz w:val="20"/>
                <w:szCs w:val="20"/>
                <w:color w:val="auto"/>
              </w:rPr>
            </w:pPr>
            <w:r>
              <w:rPr>
                <w:rFonts w:ascii="Arial" w:cs="Arial" w:eastAsia="Arial" w:hAnsi="Arial"/>
                <w:sz w:val="16"/>
                <w:szCs w:val="16"/>
                <w:color w:val="auto"/>
              </w:rPr>
              <w:t>Buildings and leasehold improvements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180" w:type="dxa"/>
            <w:vAlign w:val="bottom"/>
          </w:tcPr>
          <w:p>
            <w:pPr>
              <w:ind w:left="20"/>
              <w:spacing w:after="0"/>
              <w:rPr>
                <w:sz w:val="20"/>
                <w:szCs w:val="20"/>
                <w:color w:val="auto"/>
              </w:rPr>
            </w:pPr>
            <w:r>
              <w:rPr>
                <w:rFonts w:ascii="Arial" w:cs="Arial" w:eastAsia="Arial" w:hAnsi="Arial"/>
                <w:sz w:val="16"/>
                <w:szCs w:val="16"/>
                <w:color w:val="auto"/>
              </w:rPr>
              <w:t>- 40</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Machinery and equipment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- 20</w:t>
            </w:r>
          </w:p>
        </w:tc>
        <w:tc>
          <w:tcPr>
            <w:tcW w:w="0" w:type="dxa"/>
            <w:vAlign w:val="bottom"/>
          </w:tcPr>
          <w:p>
            <w:pPr>
              <w:spacing w:after="0"/>
              <w:rPr>
                <w:sz w:val="1"/>
                <w:szCs w:val="1"/>
                <w:color w:val="auto"/>
              </w:rPr>
            </w:pPr>
          </w:p>
        </w:tc>
      </w:tr>
      <w:tr>
        <w:trPr>
          <w:trHeight w:val="213"/>
        </w:trPr>
        <w:tc>
          <w:tcPr>
            <w:tcW w:w="5620" w:type="dxa"/>
            <w:vAlign w:val="bottom"/>
          </w:tcPr>
          <w:p>
            <w:pPr>
              <w:ind w:left="60"/>
              <w:spacing w:after="0"/>
              <w:rPr>
                <w:sz w:val="20"/>
                <w:szCs w:val="20"/>
                <w:color w:val="auto"/>
              </w:rPr>
            </w:pPr>
            <w:r>
              <w:rPr>
                <w:rFonts w:ascii="Arial" w:cs="Arial" w:eastAsia="Arial" w:hAnsi="Arial"/>
                <w:sz w:val="16"/>
                <w:szCs w:val="16"/>
                <w:color w:val="auto"/>
              </w:rPr>
              <w:t>Office furniture and equipment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221.6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197.3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180" w:type="dxa"/>
            <w:vAlign w:val="bottom"/>
          </w:tcPr>
          <w:p>
            <w:pPr>
              <w:ind w:left="20"/>
              <w:spacing w:after="0"/>
              <w:rPr>
                <w:sz w:val="20"/>
                <w:szCs w:val="20"/>
                <w:color w:val="auto"/>
              </w:rPr>
            </w:pPr>
            <w:r>
              <w:rPr>
                <w:rFonts w:ascii="Arial" w:cs="Arial" w:eastAsia="Arial" w:hAnsi="Arial"/>
                <w:sz w:val="16"/>
                <w:szCs w:val="16"/>
                <w:color w:val="auto"/>
              </w:rPr>
              <w:t>- 7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Construction in progress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300"/>
              <w:spacing w:after="0"/>
              <w:rPr>
                <w:sz w:val="20"/>
                <w:szCs w:val="20"/>
                <w:color w:val="auto"/>
              </w:rPr>
            </w:pPr>
            <w:r>
              <w:rPr>
                <w:rFonts w:ascii="Arial" w:cs="Arial" w:eastAsia="Arial" w:hAnsi="Arial"/>
                <w:sz w:val="16"/>
                <w:szCs w:val="16"/>
                <w:color w:val="auto"/>
              </w:rPr>
              <w:t>Total property and equipment</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2,169.7</w:t>
            </w:r>
          </w:p>
        </w:tc>
        <w:tc>
          <w:tcPr>
            <w:tcW w:w="120" w:type="dxa"/>
            <w:vAlign w:val="bottom"/>
          </w:tcPr>
          <w:p>
            <w:pPr>
              <w:spacing w:after="0"/>
              <w:rPr>
                <w:sz w:val="17"/>
                <w:szCs w:val="17"/>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1,923.5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Less accumulated depreciation and amortization</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(1,187.4)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(1,017.7)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300"/>
              <w:spacing w:after="0"/>
              <w:rPr>
                <w:sz w:val="20"/>
                <w:szCs w:val="20"/>
                <w:color w:val="auto"/>
              </w:rPr>
            </w:pPr>
            <w:r>
              <w:rPr>
                <w:rFonts w:ascii="Arial" w:cs="Arial" w:eastAsia="Arial" w:hAnsi="Arial"/>
                <w:sz w:val="16"/>
                <w:szCs w:val="16"/>
                <w:color w:val="auto"/>
              </w:rPr>
              <w:t>Property and equipment, net</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982.3</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905.8</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80" w:firstLine="648"/>
        <w:spacing w:after="0" w:line="278" w:lineRule="auto"/>
        <w:rPr>
          <w:sz w:val="20"/>
          <w:szCs w:val="20"/>
          <w:color w:val="auto"/>
        </w:rPr>
      </w:pPr>
      <w:r>
        <w:rPr>
          <w:rFonts w:ascii="Arial" w:cs="Arial" w:eastAsia="Arial" w:hAnsi="Arial"/>
          <w:sz w:val="15"/>
          <w:szCs w:val="15"/>
          <w:color w:val="auto"/>
        </w:rPr>
        <w:t>The gross amount of capitalized internal-use software, which is included within office furniture and equipment, totaled $154.1 million and $138.2 million as of December 31, 2020 and 2019, respectively. Capitalized internal-use software, net of accumulated amortization, totaled $34.3 million and $31.5 million as of December 31, 2020 and 2019, respectively. Accrued capital expenditures, the effects of which are excluded from capital expenditures in the Company’s consolidated statements of cash flows given their non-cash nature, totaled $13.5 million and $5.2 million as of December 31, 2020 and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123" w:lineRule="exact"/>
        <w:rPr>
          <w:sz w:val="20"/>
          <w:szCs w:val="20"/>
          <w:color w:val="auto"/>
        </w:rPr>
      </w:pPr>
    </w:p>
    <w:p>
      <w:pPr>
        <w:ind w:left="952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Description</w:t>
            </w:r>
          </w:p>
        </w:tc>
        <w:tc>
          <w:tcPr>
            <w:tcW w:w="100" w:type="dxa"/>
            <w:vAlign w:val="bottom"/>
            <w:tcBorders>
              <w:bottom w:val="single" w:sz="8" w:color="CCEEFF"/>
            </w:tcBorders>
          </w:tcPr>
          <w:p>
            <w:pPr>
              <w:spacing w:after="0"/>
              <w:rPr>
                <w:sz w:val="18"/>
                <w:szCs w:val="18"/>
                <w:color w:val="auto"/>
              </w:rPr>
            </w:pPr>
          </w:p>
        </w:tc>
        <w:tc>
          <w:tcPr>
            <w:tcW w:w="3500" w:type="dxa"/>
            <w:vAlign w:val="bottom"/>
            <w:tcBorders>
              <w:bottom w:val="single" w:sz="8" w:color="auto"/>
            </w:tcBorders>
          </w:tcPr>
          <w:p>
            <w:pPr>
              <w:ind w:left="1280"/>
              <w:spacing w:after="0"/>
              <w:rPr>
                <w:sz w:val="20"/>
                <w:szCs w:val="20"/>
                <w:color w:val="auto"/>
              </w:rPr>
            </w:pPr>
            <w:r>
              <w:rPr>
                <w:rFonts w:ascii="Arial" w:cs="Arial" w:eastAsia="Arial" w:hAnsi="Arial"/>
                <w:sz w:val="15"/>
                <w:szCs w:val="15"/>
                <w:b w:val="1"/>
                <w:bCs w:val="1"/>
                <w:color w:val="auto"/>
              </w:rPr>
              <w:t>Maturity Date</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21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September 19, 2024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5180" w:type="dxa"/>
            <w:vAlign w:val="bottom"/>
            <w:gridSpan w:val="2"/>
          </w:tcPr>
          <w:p>
            <w:pPr>
              <w:ind w:left="140"/>
              <w:spacing w:after="0"/>
              <w:rPr>
                <w:sz w:val="20"/>
                <w:szCs w:val="20"/>
                <w:color w:val="auto"/>
              </w:rPr>
            </w:pPr>
            <w:r>
              <w:rPr>
                <w:rFonts w:ascii="Arial" w:cs="Arial" w:eastAsia="Arial" w:hAnsi="Arial"/>
                <w:sz w:val="16"/>
                <w:szCs w:val="16"/>
                <w:color w:val="auto"/>
              </w:rPr>
              <w:t>Revolving loans</w:t>
            </w:r>
          </w:p>
        </w:tc>
        <w:tc>
          <w:tcPr>
            <w:tcW w:w="38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339.2</w:t>
            </w:r>
          </w:p>
        </w:tc>
      </w:tr>
      <w:tr>
        <w:trPr>
          <w:trHeight w:val="219"/>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Term loan</w:t>
            </w:r>
          </w:p>
        </w:tc>
        <w:tc>
          <w:tcPr>
            <w:tcW w:w="3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13"/>
        </w:trPr>
        <w:tc>
          <w:tcPr>
            <w:tcW w:w="5180" w:type="dxa"/>
            <w:vAlign w:val="bottom"/>
            <w:gridSpan w:val="2"/>
          </w:tcPr>
          <w:p>
            <w:pPr>
              <w:ind w:left="20"/>
              <w:spacing w:after="0"/>
              <w:rPr>
                <w:sz w:val="20"/>
                <w:szCs w:val="20"/>
                <w:color w:val="auto"/>
              </w:rPr>
            </w:pPr>
            <w:r>
              <w:rPr>
                <w:rFonts w:ascii="Arial" w:cs="Arial" w:eastAsia="Arial" w:hAnsi="Arial"/>
                <w:sz w:val="16"/>
                <w:szCs w:val="16"/>
                <w:color w:val="auto"/>
              </w:rPr>
              <w:t>4.50% Senior Notes</w:t>
            </w:r>
          </w:p>
        </w:tc>
        <w:tc>
          <w:tcPr>
            <w:tcW w:w="3860" w:type="dxa"/>
            <w:vAlign w:val="bottom"/>
            <w:gridSpan w:val="3"/>
          </w:tcPr>
          <w:p>
            <w:pPr>
              <w:ind w:left="20"/>
              <w:spacing w:after="0"/>
              <w:rPr>
                <w:sz w:val="20"/>
                <w:szCs w:val="20"/>
                <w:color w:val="auto"/>
              </w:rPr>
            </w:pPr>
            <w:r>
              <w:rPr>
                <w:rFonts w:ascii="Arial" w:cs="Arial" w:eastAsia="Arial" w:hAnsi="Arial"/>
                <w:sz w:val="16"/>
                <w:szCs w:val="16"/>
                <w:color w:val="auto"/>
              </w:rPr>
              <w:t>August 15, 2028</w:t>
            </w:r>
          </w:p>
        </w:tc>
        <w:tc>
          <w:tcPr>
            <w:tcW w:w="92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4.875% Senior Notes</w:t>
            </w: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March 15, 2023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13"/>
        </w:trPr>
        <w:tc>
          <w:tcPr>
            <w:tcW w:w="5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Finance lease and other obligations</w:t>
            </w:r>
          </w:p>
        </w:tc>
        <w:tc>
          <w:tcPr>
            <w:tcW w:w="3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w:t>
            </w:r>
          </w:p>
        </w:tc>
      </w:tr>
      <w:tr>
        <w:trPr>
          <w:trHeight w:val="212"/>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 obligations</w:t>
            </w:r>
          </w:p>
        </w:tc>
        <w:tc>
          <w:tcPr>
            <w:tcW w:w="386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1,444.8</w:t>
            </w:r>
          </w:p>
        </w:tc>
      </w:tr>
      <w:tr>
        <w:trPr>
          <w:trHeight w:val="207"/>
        </w:trPr>
        <w:tc>
          <w:tcPr>
            <w:tcW w:w="5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Less unamortized deferred financing costs</w:t>
            </w:r>
          </w:p>
        </w:tc>
        <w:tc>
          <w:tcPr>
            <w:tcW w:w="3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 net of deferred financing costs</w:t>
            </w:r>
          </w:p>
        </w:tc>
        <w:tc>
          <w:tcPr>
            <w:tcW w:w="386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1,432.4</w:t>
            </w:r>
          </w:p>
        </w:tc>
      </w:tr>
      <w:tr>
        <w:trPr>
          <w:trHeight w:val="206"/>
        </w:trPr>
        <w:tc>
          <w:tcPr>
            <w:tcW w:w="5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Current portion of long-term debt</w:t>
            </w:r>
          </w:p>
        </w:tc>
        <w:tc>
          <w:tcPr>
            <w:tcW w:w="3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118.4</w:t>
            </w:r>
          </w:p>
        </w:tc>
      </w:tr>
      <w:tr>
        <w:trPr>
          <w:trHeight w:val="210"/>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3600" w:type="dxa"/>
            <w:vAlign w:val="bottom"/>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1,314.0</w:t>
            </w:r>
          </w:p>
        </w:tc>
      </w:tr>
    </w:tbl>
    <w:p>
      <w:pPr>
        <w:spacing w:after="0" w:line="9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Issuance of 4.50% Senior Notes and Repurchase and Redemption of 4.875% Senior Notes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August 4, 2020, the Company issued $600 million aggregate principal amount of senior unsecured notes due August 15, 2028, which bear interest at a rate of 4.50% (the “4.50% Senior Notes”), at par in a private offering (the “Private Offering”). Interest on the 4.50% Senior Notes is payable semiannually in arrears on February 15 and August 15 of each year, beginning on February 15, 2021. The 4.50% Senior Notes are general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8" w:name="page69"/>
    <w:bookmarkEnd w:id="68"/>
    <w:p>
      <w:pPr>
        <w:jc w:val="both"/>
        <w:spacing w:after="0" w:line="253" w:lineRule="auto"/>
        <w:rPr>
          <w:sz w:val="20"/>
          <w:szCs w:val="20"/>
          <w:color w:val="auto"/>
        </w:rPr>
      </w:pPr>
      <w:r>
        <w:rPr>
          <w:rFonts w:ascii="Arial" w:cs="Arial" w:eastAsia="Arial" w:hAnsi="Arial"/>
          <w:sz w:val="16"/>
          <w:szCs w:val="16"/>
          <w:color w:val="auto"/>
        </w:rPr>
        <w:t>senior unsecured obligations of the Company, and rank equal in right of payment with all of the Company’s existing and future senior unsecured indebtedness and senior in right of payment to all of the Company’s existing and future subordinated indebtedness. The 4.50% Senior Notes are effectively subordinated to all secured indebtedness of the Company, including its existing credit facilities, to the extent of the value of the assets securing such indebtedness. The 4.50% Senior Notes are fully and unconditionally guaranteed on a senior unsecured, joint and several basis by the Company’s wholly-owned domestic restricted subsidiaries that guarantee its existing credit facilities, subject to certain exceptions.</w:t>
      </w:r>
    </w:p>
    <w:p>
      <w:pPr>
        <w:spacing w:after="0" w:line="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used a portion of the proceeds from the Private Offering to redeem all $400 million of its outstanding 4.875% Senior Notes due 2023 (the “4.875% Senior Notes”) on August 19, 2020 (the “Redemption Date”) at a redemption price equal to 100.813% of the principal amount of the 4.875% Senior Notes redeemed, plus accrued and unpaid interest to, but not including, the Redemption Date. The remaining net proceeds from the Private Offering were primarily used to repay revolving loans under the Company’s existing credit facilities.</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the option to redeem all or a portion of the 4.50% Senior Notes at any time on or after August 15, 2023 at the redemption prices specified in the indenture that governs the 4.50% Senior Notes (the “4.50% Senior Notes Indenture”), plus accrued and unpaid interest, if any, to (but excluding) the redemption date. In addition, at any time prior to August 15, 2023, the Company may redeem all or a part of the 4.50% Senior Notes at a redemption price equal to 100% of the principal amount of the 4.50% Senior Notes redeemed, plus accrued and unpaid interest, if any, to (but excluding) the redemption date, plus a “make-whole” premium. Further, prior to August 15, 2023, the Company may redeem up to 40% of the aggregate principal amount of the 4.50% Senior Notes using the net cash proceeds of certain equity offerings, at a redemption price equal to 104.500% of the principal amount of the 4.50% Senior Notes redeemed, plus accrued and unpaid interest, if any, to (but excluding) the date of redemption, subject to certain conditions.</w:t>
      </w:r>
    </w:p>
    <w:p>
      <w:pPr>
        <w:spacing w:after="0" w:line="84"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4"/>
          <w:szCs w:val="14"/>
          <w:color w:val="auto"/>
        </w:rPr>
        <w:t>If the Company undergoes a change of control, as defined in the 4.50% Senior Notes Indenture, the Company must make an offer to repurchase all of the 4.50% Senior Notes then outstanding at a price equal to 101% of their principal amount, plus accrued and unpaid interest, if any, to (but excluding) the date of repurchase.</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4.50% Senior Notes Indenture, among other things, generally limits the ability of the Company and certain of its subsidiaries, subject to certain exceptions, to</w:t>
      </w:r>
    </w:p>
    <w:p>
      <w:pPr>
        <w:spacing w:after="0" w:line="42" w:lineRule="exact"/>
        <w:rPr>
          <w:sz w:val="20"/>
          <w:szCs w:val="20"/>
          <w:color w:val="auto"/>
        </w:rPr>
      </w:pPr>
    </w:p>
    <w:p>
      <w:pPr>
        <w:jc w:val="both"/>
        <w:ind w:firstLine="8"/>
        <w:spacing w:after="0" w:line="293" w:lineRule="auto"/>
        <w:tabs>
          <w:tab w:leader="none" w:pos="198" w:val="left"/>
        </w:tabs>
        <w:numPr>
          <w:ilvl w:val="0"/>
          <w:numId w:val="18"/>
        </w:numPr>
        <w:rPr>
          <w:rFonts w:ascii="Arial" w:cs="Arial" w:eastAsia="Arial" w:hAnsi="Arial"/>
          <w:sz w:val="14"/>
          <w:szCs w:val="14"/>
          <w:color w:val="auto"/>
        </w:rPr>
      </w:pPr>
      <w:r>
        <w:rPr>
          <w:rFonts w:ascii="Arial" w:cs="Arial" w:eastAsia="Arial" w:hAnsi="Arial"/>
          <w:sz w:val="14"/>
          <w:szCs w:val="14"/>
          <w:color w:val="auto"/>
        </w:rPr>
        <w:t>create liens, (ii) pay dividends, (iii) acquire shares of capital stock, (iv) make certain investments and (v) effect mergers. The 4.50% Senior Notes Indenture provides for customary events of default, subject to customary grace and cure periods. Generally, if an event of default occurs and is continuing, the trustee or holders of at least 30% of the 4.50% Senior Notes then outstanding may declare the principal of, premium, if any, and accrued interest on all of the 4.50% Senior Notes immediately due and payable. Financing costs incurred in connection with the issuance of the 4.50% Senior Notes totaled approximately $8.9 million. These deferred financing costs, which are reflected as a reduction of the carrying amount of the 4.50% Senior Notes, will be amortized over the term of the 4.50% Senior Notes using the effective interest method.</w:t>
      </w:r>
    </w:p>
    <w:p>
      <w:pPr>
        <w:spacing w:after="0" w:line="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Management determined that the repurchase and redemption of the Company’s 4.875% Senior Notes should be accounted for as a debt extinguishment and recorded a pre-tax debt extinguishment loss of approximately $5.6 million for the year ended December 31, 2020, including $3.3 million of early repayment premiums and $2.3 million of unamortized deferred financing costs. This loss is separately disclosed within the Company’s consolidated statements of operations.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Credit Facility, which is a senior secured credit facility, has aggregate borrowing commitments of approximately $1.75 billion, which amount is composed of $1.35 billion of revolving commitments and a term loan in the aggregate principal amount of $400.0 million. The term loan is subject to amortization in quarterly principal installments of $2.5 million, which commenced in December 2020. This amount will increase to $5.0 million commencing in December 2021. Quarterly principal installments on the term loan are subject to adjustment, if applicable, for certain prepayments.</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Credit Facility allows the Company to borrow either in Canadian dollars and/or Mexican pesos, up to an aggregate equivalent amount of $300 million. The maximum amount available for letters of credit under the Credit Facility is $650 million, of which up to $200 million can be denominated in either Canadian dollars and/or Mexican pesos. The Credit Facility also provides for swing line loans of up to $125 million, and, subject to certain conditions, the Company has the option to increase revolving commitments and/or establish additional term loan tranches equal to the Incremental Facilities Limit (as defined in the Credit Facility). Subject to the terms and conditions described in the Credit Facility, these additional term loan tranches may rank equal or junior in respect of right of payment and/or collateral to the Credit Facility, and may, subject to certain limitations in the Credit Facility, have terms that differ from the Credit Facility. Borrowings under the Credit Facility are used for working capital requirements, capital expenditures and other corporate purposes, including equity investments, potential acquisitions or other strategic arrangements, the repurchase or prepayment of indebtedness, including repayment of term loans, and share repurchases.</w:t>
      </w:r>
    </w:p>
    <w:p>
      <w:pPr>
        <w:spacing w:after="0" w:line="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Outstanding revolving loans and the term loan under the Credit Facility bear interest, at the Company’s option, at a rate equal to either (a) a Eurocurrency Rate, as defined in the Credit Facility, plus a margin of 1.25% to 1.75%, or (b) a Base Rate, as defined in the Credit Facility, plus a margin of 0.25% to 0.75%. The Base Rate equals the highest of (i) the Federal Funds Rate, as defined in the Credit Facility, plus 0.50%, (ii) Bank of America’s prime rate, and (iii) the Eurocurrency Rate plus 1.00%. Financial standby letters of credit and commercial letters of credit issued under the Credit Facility are subject to a letter of credit fee of 1.25% to 1.75%, and performance standby letters of credit issued under the Credit Facility are subject to a letter of credit fee of 0.375% to 0.75%. The Company must also pay a commitment fee to the lenders of 0.20% to 0.30% on any unused availability under the Credit Facility. In each of the foregoing cases, the applicable margin or fee is based on the Company’s Consolidated Leverage Ratio, as defined in the Credit Facility, as of the then most recent fiscal quarter.</w:t>
      </w:r>
    </w:p>
    <w:p>
      <w:pPr>
        <w:spacing w:after="0" w:line="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of December 31, 2020 and 2019, outstanding revolving loans, which included $33 million and $138 million, respectively, of borrowings denominated in foreign currencies, accrued interest at weighted average rates of approximately 1.87% and 3.50% per annum, respectively. The term loan accrued interest at a rate of 1.40% and 3.05% as of December 31, 2020 and 2019, respectively. Letters of credit of approximately $133.6 million and $98.0 million were issued as of December 31, 2020 and 2019, respectively. As of both December 31, 2020 and 2019, letter of credit fees accrued at 0.375% per annum for performance standby letters of credit and at 1.25% per annum for financial standby letters of credit. Outstanding letters of credit mature at various dates and most have automatic renewal provisions, subject to prior notice of cancellation. As of December 31,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9" w:name="page70"/>
    <w:bookmarkEnd w:id="69"/>
    <w:p>
      <w:pPr>
        <w:jc w:val="both"/>
        <w:spacing w:after="0" w:line="261" w:lineRule="auto"/>
        <w:rPr>
          <w:sz w:val="20"/>
          <w:szCs w:val="20"/>
          <w:color w:val="auto"/>
        </w:rPr>
      </w:pPr>
      <w:r>
        <w:rPr>
          <w:rFonts w:ascii="Arial" w:cs="Arial" w:eastAsia="Arial" w:hAnsi="Arial"/>
          <w:sz w:val="16"/>
          <w:szCs w:val="16"/>
          <w:color w:val="auto"/>
        </w:rPr>
        <w:t>2020 and 2019, availability for revolving loans totaled $1.2 billion and $0.9 billion, respectively, or up to $516.4 million and $552.0 million, respectively, for new letters of credit. Revolving loan borrowing capacity included $267.3 million and $162.4 million of availability in either Canadian dollars or Mexican pesos as of December 31, 2020 and 2019, respectively. The unused facility fee as of both December 31, 2020 and 2019 accrued at a rate of 0.20%.</w:t>
      </w:r>
    </w:p>
    <w:p>
      <w:pPr>
        <w:spacing w:after="0" w:line="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 Under the Credit Facility, if the Loan Party EBITDA, as defined, as of the last four consecutive fiscal quarters does not represent at least 80% of the Adjusted Consolidated EBITDA, as defined in the Credit Facility, for such period, then the Company must designate additional subsidiaries as Guarantor Subsidiaries, and cause them to join the applicable guaranty and security agreements to the Credit Facility. Additionally, any domestic subsidiary with consolidated EBITDA of at least 15% of the Adjusted Consolidated EBITDA must become a Guarantor Subsidiary and join the applicable guaranty and security agreements.</w:t>
      </w:r>
    </w:p>
    <w:p>
      <w:pPr>
        <w:spacing w:after="0" w:line="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4"/>
          <w:szCs w:val="14"/>
          <w:color w:val="auto"/>
        </w:rPr>
        <w:t>The Credit Facility requires that the Company maintain a maximum Consolidated Leverage Ratio, as defined in the Credit Facility, of 3.50 times (subject to the Acquisition Adjustment described below). The Credit Facility also requires that the Company maintain a minimum Consolidated Interest Coverage Ratio, as defined in the Credit Facility, of 3.00 times. The Credit Facility provides that, for purposes of calculating the Consolidated Leverage Ratio, funded indebtedness excludes undrawn standby performance letters of credit and is further reduced by unrestricted cash over certain thresholds. Additionally, notwithstanding the terms discussed above, subject to certain conditions, if a Permitted Acquisition, as defined in the Credit Facility, or series of Permitted Acquisitions having consideration exceeding $100 million occurs during a fiscal quarter, the maximum Consolidated Leverage Ratio may be temporarily increased to up to 4.00 times during such fiscal quarter and the subsequent four fiscal quarters (the “Acquisition Adjustment”). Such right may be exercised no more than two times during the term of the Credit Facility. Subject to customary exceptions, the Credit Facility limits the Borrowers’ (as defined in the Credit Facility) and the Guarantor Subsidiaries’ ability to engage in certain activities, including acquisitions, mergers and consolidations, debt incurrence, investments, asset sales, debt prepayments, lien incurrence and the making of cash distributions or repurchases of the Company’s common stock. However, distributions payable solely in common stock are not restricted. The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 with respect to the collateral securing the Credit Facility obligations.</w:t>
      </w:r>
    </w:p>
    <w:p>
      <w:pPr>
        <w:spacing w:after="0" w:line="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Other Credit Facilities</w:t>
      </w:r>
      <w:r>
        <w:rPr>
          <w:rFonts w:ascii="Arial" w:cs="Arial" w:eastAsia="Arial" w:hAnsi="Arial"/>
          <w:sz w:val="15"/>
          <w:szCs w:val="15"/>
          <w:color w:val="auto"/>
        </w:rPr>
        <w:t>. The Company has other credit facilities that support: (i) the working capital requirements of its foreign operations, and (ii) certain letter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credit issuances. Borrowings under the Company’s foreign credit facilities, which have varying dates of maturity and are generally renewed on an annual basis, are denominated in Canadian dollars. As of both December 31, 2020 and 2019, maximum borrowing capacity under these credit facilities totaled Canadian $20.0 million, or approximately $15.7 million and $15.4 million, respectively, and there were no outstanding borrowings. Outstanding borrowings that are not renewed are repaid with borrowings under the Credit Facility. Accordingly, the carrying amounts of the Company’s borrowings under its other credit facilities, if any, are included within other debt obligations in the table above and classified within long-term debt in the Company’s consolidated balance sheets. Additionally, the Company has a separate credit facility, which is renewable on an annual basis, under which it may issue up to $50.0 million of performance standby letters of credit. As of December 31, 2020 and 2019, letters of credit issued under this facility totaled $18.2 million and $17.1 million, respectively, and accrued fees at 0.50% and 0.40% per annum, respectively. The Company’s other credit facilities are subject to customary provisions and covenants.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Debt Covenants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7"/>
        </w:trPr>
        <w:tc>
          <w:tcPr>
            <w:tcW w:w="9880" w:type="dxa"/>
            <w:vAlign w:val="bottom"/>
          </w:tcPr>
          <w:p>
            <w:pPr>
              <w:ind w:left="660"/>
              <w:spacing w:after="0"/>
              <w:rPr>
                <w:sz w:val="20"/>
                <w:szCs w:val="20"/>
                <w:color w:val="auto"/>
              </w:rPr>
            </w:pPr>
            <w:r>
              <w:rPr>
                <w:rFonts w:ascii="Arial" w:cs="Arial" w:eastAsia="Arial" w:hAnsi="Arial"/>
                <w:sz w:val="16"/>
                <w:szCs w:val="16"/>
                <w:color w:val="auto"/>
                <w:w w:val="97"/>
              </w:rPr>
              <w:t>MasTec was in compliance with the provisions and covenants of its outstanding debt instruments as of December 31, 2020 and 2019.</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98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Contractual Maturities of Debt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9880" w:type="dxa"/>
            <w:vAlign w:val="bottom"/>
          </w:tcPr>
          <w:p>
            <w:pPr>
              <w:ind w:left="660"/>
              <w:spacing w:after="0"/>
              <w:rPr>
                <w:sz w:val="20"/>
                <w:szCs w:val="20"/>
                <w:color w:val="auto"/>
              </w:rPr>
            </w:pPr>
            <w:r>
              <w:rPr>
                <w:rFonts w:ascii="Arial" w:cs="Arial" w:eastAsia="Arial" w:hAnsi="Arial"/>
                <w:sz w:val="16"/>
                <w:szCs w:val="16"/>
                <w:color w:val="auto"/>
                <w:w w:val="95"/>
              </w:rPr>
              <w:t>Contractual maturities of MasTec’s debt, which includes finance lease obligations, as of December 31, 2020 were as follows (in millions):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8"/>
        </w:trPr>
        <w:tc>
          <w:tcPr>
            <w:tcW w:w="9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r>
      <w:tr>
        <w:trPr>
          <w:trHeight w:val="213"/>
        </w:trPr>
        <w:tc>
          <w:tcPr>
            <w:tcW w:w="9880" w:type="dxa"/>
            <w:vAlign w:val="bottom"/>
          </w:tcPr>
          <w:p>
            <w:pPr>
              <w:ind w:left="20"/>
              <w:spacing w:after="0"/>
              <w:rPr>
                <w:sz w:val="20"/>
                <w:szCs w:val="20"/>
                <w:color w:val="auto"/>
              </w:rPr>
            </w:pPr>
            <w:r>
              <w:rPr>
                <w:rFonts w:ascii="Arial" w:cs="Arial" w:eastAsia="Arial" w:hAnsi="Arial"/>
                <w:sz w:val="16"/>
                <w:szCs w:val="16"/>
                <w:color w:val="auto"/>
              </w:rPr>
              <w:t>2022</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19"/>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13"/>
        </w:trPr>
        <w:tc>
          <w:tcPr>
            <w:tcW w:w="9880" w:type="dxa"/>
            <w:vAlign w:val="bottom"/>
          </w:tcPr>
          <w:p>
            <w:pPr>
              <w:ind w:left="20"/>
              <w:spacing w:after="0"/>
              <w:rPr>
                <w:sz w:val="20"/>
                <w:szCs w:val="20"/>
                <w:color w:val="auto"/>
              </w:rPr>
            </w:pPr>
            <w:r>
              <w:rPr>
                <w:rFonts w:ascii="Arial" w:cs="Arial" w:eastAsia="Arial" w:hAnsi="Arial"/>
                <w:sz w:val="16"/>
                <w:szCs w:val="16"/>
                <w:color w:val="auto"/>
              </w:rPr>
              <w:t>2024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389.2</w:t>
            </w:r>
          </w:p>
        </w:tc>
      </w:tr>
      <w:tr>
        <w:trPr>
          <w:trHeight w:val="219"/>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r>
      <w:tr>
        <w:trPr>
          <w:trHeight w:val="210"/>
        </w:trPr>
        <w:tc>
          <w:tcPr>
            <w:tcW w:w="98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1,318.7</w:t>
            </w:r>
          </w:p>
        </w:tc>
      </w:tr>
    </w:tbl>
    <w:p>
      <w:pPr>
        <w:spacing w:after="0" w:line="1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December 31, 2020 and 2019, accrued interest payable, which is recorded within other accrued expenses in the consolidated balance sheets, totaled $12.4 million and $7.5 million, respectively.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Note 8 – Lease Obligations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gross amount of assets held under finance leases as of December 31, 2020 and 2019 totaled $563.0 million and $463.5 million, respectively. Assets held under finance leases, net of accumulated depreciation, totaled $418.7 million and $375.9 million as of December 31, 2020 and 2019, respectively. Depreciation expense associated with finance leases totaled $68.0 million and $48.6 million for the years ended December 31, 2020 and 2019, respectively.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 xml:space="preserve">Operating lease additions for the years ended December 31, 2020 and 2019 totaled $28.0 million and $103.3 million, respectively, and the effect of adoption in 2019 of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was approximately $230.0 million.</w:t>
      </w:r>
    </w:p>
    <w:p>
      <w:pPr>
        <w:spacing w:after="0" w:line="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For the years ended December 31, 2020 and 2019, rent expense for leases that have terms in excess of one year totaled approximately $113.0 million and $114.5 million, respectively, of which $10.0 million and $10.4 million, respectively, represented variable lease costs. The Company also incurred rent expense for leases with terms of one year or less totaling approximately $312.0 million and $448.2 million for the years ended December 31, 2020 and 2019, respectively. For the year ended December 31, 2018, rent and related expense for leases that have non-cancelable terms in excess of one year totaled approximately $115.0 million, and rent and related expense for leases having original terms of one year or less totaled approximately $472.1 million. Rent expense for operating leases is generally consistent with the amount of the related payments, which payments are included within operating activities in the consolidated statements of cash flows.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Additional Lease Information</w:t>
            </w: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7940" w:type="dxa"/>
            <w:vAlign w:val="bottom"/>
          </w:tcPr>
          <w:p>
            <w:pPr>
              <w:ind w:left="660"/>
              <w:spacing w:after="0"/>
              <w:rPr>
                <w:sz w:val="20"/>
                <w:szCs w:val="20"/>
                <w:color w:val="auto"/>
              </w:rPr>
            </w:pPr>
            <w:r>
              <w:rPr>
                <w:rFonts w:ascii="Arial" w:cs="Arial" w:eastAsia="Arial" w:hAnsi="Arial"/>
                <w:sz w:val="16"/>
                <w:szCs w:val="16"/>
                <w:color w:val="auto"/>
              </w:rPr>
              <w:t>Future minimum lease commitments as of December 31, 2020 were as follows (in millions):</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9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Finance</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0"/>
              </w:rPr>
              <w:t>Operating Leases</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Leases</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jc w:val="right"/>
              <w:ind w:right="7499"/>
              <w:spacing w:after="0"/>
              <w:rPr>
                <w:sz w:val="20"/>
                <w:szCs w:val="20"/>
                <w:color w:val="auto"/>
              </w:rPr>
            </w:pPr>
            <w:r>
              <w:rPr>
                <w:rFonts w:ascii="Arial" w:cs="Arial" w:eastAsia="Arial" w:hAnsi="Arial"/>
                <w:sz w:val="16"/>
                <w:szCs w:val="16"/>
                <w:color w:val="auto"/>
                <w:w w:val="95"/>
              </w:rPr>
              <w:t>2021</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141.5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3"/>
        </w:trPr>
        <w:tc>
          <w:tcPr>
            <w:tcW w:w="7940" w:type="dxa"/>
            <w:vAlign w:val="bottom"/>
          </w:tcPr>
          <w:p>
            <w:pPr>
              <w:jc w:val="right"/>
              <w:ind w:right="7499"/>
              <w:spacing w:after="0"/>
              <w:rPr>
                <w:sz w:val="20"/>
                <w:szCs w:val="20"/>
                <w:color w:val="auto"/>
              </w:rPr>
            </w:pPr>
            <w:r>
              <w:rPr>
                <w:rFonts w:ascii="Arial" w:cs="Arial" w:eastAsia="Arial" w:hAnsi="Arial"/>
                <w:sz w:val="16"/>
                <w:szCs w:val="16"/>
                <w:color w:val="auto"/>
                <w:w w:val="95"/>
              </w:rPr>
              <w:t>2022</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jc w:val="right"/>
              <w:ind w:right="7499"/>
              <w:spacing w:after="0"/>
              <w:rPr>
                <w:sz w:val="20"/>
                <w:szCs w:val="20"/>
                <w:color w:val="auto"/>
              </w:rPr>
            </w:pPr>
            <w:r>
              <w:rPr>
                <w:rFonts w:ascii="Arial" w:cs="Arial" w:eastAsia="Arial" w:hAnsi="Arial"/>
                <w:sz w:val="16"/>
                <w:szCs w:val="16"/>
                <w:color w:val="auto"/>
                <w:w w:val="95"/>
              </w:rPr>
              <w:t>2023</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3"/>
        </w:trPr>
        <w:tc>
          <w:tcPr>
            <w:tcW w:w="7940" w:type="dxa"/>
            <w:vAlign w:val="bottom"/>
          </w:tcPr>
          <w:p>
            <w:pPr>
              <w:jc w:val="right"/>
              <w:ind w:right="7499"/>
              <w:spacing w:after="0"/>
              <w:rPr>
                <w:sz w:val="20"/>
                <w:szCs w:val="20"/>
                <w:color w:val="auto"/>
              </w:rPr>
            </w:pPr>
            <w:r>
              <w:rPr>
                <w:rFonts w:ascii="Arial" w:cs="Arial" w:eastAsia="Arial" w:hAnsi="Arial"/>
                <w:sz w:val="16"/>
                <w:szCs w:val="16"/>
                <w:color w:val="auto"/>
                <w:w w:val="95"/>
              </w:rPr>
              <w:t>2024</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jc w:val="right"/>
              <w:ind w:right="7499"/>
              <w:spacing w:after="0"/>
              <w:rPr>
                <w:sz w:val="20"/>
                <w:szCs w:val="20"/>
                <w:color w:val="auto"/>
              </w:rPr>
            </w:pPr>
            <w:r>
              <w:rPr>
                <w:rFonts w:ascii="Arial" w:cs="Arial" w:eastAsia="Arial" w:hAnsi="Arial"/>
                <w:sz w:val="16"/>
                <w:szCs w:val="16"/>
                <w:color w:val="auto"/>
                <w:w w:val="95"/>
              </w:rPr>
              <w:t>2025</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7940" w:type="dxa"/>
            <w:vAlign w:val="bottom"/>
          </w:tcPr>
          <w:p>
            <w:pPr>
              <w:ind w:left="60"/>
              <w:spacing w:after="0"/>
              <w:rPr>
                <w:sz w:val="20"/>
                <w:szCs w:val="20"/>
                <w:color w:val="auto"/>
              </w:rPr>
            </w:pPr>
            <w:r>
              <w:rPr>
                <w:rFonts w:ascii="Arial" w:cs="Arial" w:eastAsia="Arial" w:hAnsi="Arial"/>
                <w:sz w:val="16"/>
                <w:szCs w:val="16"/>
                <w:color w:val="auto"/>
              </w:rPr>
              <w:t>Thereafter</w:t>
            </w:r>
          </w:p>
        </w:tc>
        <w:tc>
          <w:tcPr>
            <w:tcW w:w="1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79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minimum lease payments</w:t>
            </w: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302.8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06"/>
        </w:trPr>
        <w:tc>
          <w:tcPr>
            <w:tcW w:w="79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amounts representing interest</w:t>
            </w: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lease obligations, net of interest</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288.5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current portion</w:t>
            </w: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portion of lease obligations, net of interest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155.9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As of December 31, 2020, finance leases had a weighted average remaining lease term of 2.4 years and a weighted average discount rate of 3.9%. Non-cancelable operating leases had a weighted average remaining lease term of 3.9 years and a weighted average discount rate of 3.7% as of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stock-based compensation plans, under which shares of the Company’s common stock are reserved for issuance, include: the MasTec, Inc. 2013 Incentive Compensation Plan (as amended from time to time, the “2013 Incentive Plan”), the MasTec, Inc. Amended and Restated Bargaining Units Employee Stock Purchase Plan (the “2013 Bargaining Units ESPP”) and the MasTec, Inc. 2011 Amended and Restated Employee Stock Purchase Plan (the “2011 ESPP,” and, together with the 2013 Bargaining Units ESPP, the “ESPPs”). The 2013 Incentive Plan permits a total of approximately 7,391,000 shares of the Company’s common stock to be issued. Under the Company’s ESPPs, shares of the Company’s common stock are available for purchase by eligible participants, which collectively permit the issuance of up to 3,000,000 new shares of MasTec, Inc. common stock. Under all stock-based compensation plans in effect as of December 31, 2020, there were approximately 2,665,000 shares available for future grant.</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Non-cash stock-based compensation expense under all plans totaled $21.9 million, $16.4 million and $13.5 million for the years ended December 31, 2020, 2019 and 2018, respectively. Income tax benefits associated with stock-based compensation arrangements totaled $5.7 million, $7.9 million and $4.9 million for the years ended December 31, 2020, 2019 and 2018, respectively, including net tax benefits related to the vesting of share-based payment awards totaling $0.5 million, $3.9 million and $1.6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1" w:name="page72"/>
    <w:bookmarkEnd w:id="71"/>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December 31, 2020, total unearned compensation related to restricted shares was approximately $37.9 million, which is expected to be recognized over a weighted average period of approximately 2.1 years. The fair value of restricted shares that vested, which is based on the market price on the date of vesting, totaled $16.8 million, $25.0 million and $16.6 million for the years ended December 31, 2020, 2019 and 2018, respectively.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162"/>
        </w:trPr>
        <w:tc>
          <w:tcPr>
            <w:tcW w:w="7940" w:type="dxa"/>
            <w:vAlign w:val="bottom"/>
          </w:tcPr>
          <w:p>
            <w:pPr>
              <w:spacing w:after="0"/>
              <w:rPr>
                <w:sz w:val="14"/>
                <w:szCs w:val="14"/>
                <w:color w:val="auto"/>
              </w:rPr>
            </w:pPr>
          </w:p>
        </w:tc>
        <w:tc>
          <w:tcPr>
            <w:tcW w:w="17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1"/>
              </w:rPr>
              <w:t>Restricted</w:t>
            </w:r>
          </w:p>
        </w:tc>
        <w:tc>
          <w:tcPr>
            <w:tcW w:w="120" w:type="dxa"/>
            <w:vAlign w:val="bottom"/>
          </w:tcPr>
          <w:p>
            <w:pPr>
              <w:spacing w:after="0"/>
              <w:rPr>
                <w:sz w:val="14"/>
                <w:szCs w:val="14"/>
                <w:color w:val="auto"/>
              </w:rPr>
            </w:pPr>
          </w:p>
        </w:tc>
        <w:tc>
          <w:tcPr>
            <w:tcW w:w="14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9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b w:val="1"/>
                <w:bCs w:val="1"/>
                <w:color w:val="auto"/>
                <w:vertAlign w:val="superscript"/>
              </w:rPr>
              <w:t>(a)</w:t>
            </w: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16"/>
        </w:trPr>
        <w:tc>
          <w:tcPr>
            <w:tcW w:w="7940" w:type="dxa"/>
            <w:vAlign w:val="bottom"/>
            <w:vMerge w:val="continue"/>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09"/>
        </w:trPr>
        <w:tc>
          <w:tcPr>
            <w:tcW w:w="79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Non-vested restricted shares, as of December 31, 2018</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1,270,233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r>
        <w:trPr>
          <w:trHeight w:val="207"/>
        </w:trPr>
        <w:tc>
          <w:tcPr>
            <w:tcW w:w="79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spacing w:after="0"/>
              <w:rPr>
                <w:sz w:val="20"/>
                <w:szCs w:val="20"/>
                <w:color w:val="auto"/>
              </w:rPr>
            </w:pPr>
            <w:r>
              <w:rPr>
                <w:rFonts w:ascii="Arial" w:cs="Arial" w:eastAsia="Arial" w:hAnsi="Arial"/>
                <w:sz w:val="16"/>
                <w:szCs w:val="16"/>
                <w:color w:val="auto"/>
              </w:rPr>
              <w:t>458,670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53.67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33.87</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Non-vested restricted shares, as of December 31, 2019</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1,221,593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45.36</w:t>
            </w:r>
          </w:p>
        </w:tc>
        <w:tc>
          <w:tcPr>
            <w:tcW w:w="0" w:type="dxa"/>
            <w:vAlign w:val="bottom"/>
          </w:tcPr>
          <w:p>
            <w:pPr>
              <w:spacing w:after="0"/>
              <w:rPr>
                <w:sz w:val="1"/>
                <w:szCs w:val="1"/>
                <w:color w:val="auto"/>
              </w:rPr>
            </w:pPr>
          </w:p>
        </w:tc>
      </w:tr>
      <w:tr>
        <w:trPr>
          <w:trHeight w:val="207"/>
        </w:trPr>
        <w:tc>
          <w:tcPr>
            <w:tcW w:w="79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spacing w:after="0"/>
              <w:rPr>
                <w:sz w:val="20"/>
                <w:szCs w:val="20"/>
                <w:color w:val="auto"/>
              </w:rPr>
            </w:pPr>
            <w:r>
              <w:rPr>
                <w:rFonts w:ascii="Arial" w:cs="Arial" w:eastAsia="Arial" w:hAnsi="Arial"/>
                <w:sz w:val="16"/>
                <w:szCs w:val="16"/>
                <w:color w:val="auto"/>
              </w:rPr>
              <w:t>1,246,583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30.77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(372,445)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57.95</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Non-vested restricted shares, as of December 31,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1,845,341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0" w:hanging="332"/>
        <w:spacing w:after="0" w:line="282" w:lineRule="auto"/>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2,300 restricted stock units as of December 31, 2020. There were no restricted stock units as of December 31, 2019, and there were 18,700 restricted stock units as of December 31, 2018</w:t>
      </w:r>
      <w:r>
        <w:rPr>
          <w:rFonts w:ascii="Arial" w:cs="Arial" w:eastAsia="Arial" w:hAnsi="Arial"/>
          <w:sz w:val="16"/>
          <w:szCs w:val="16"/>
          <w:color w:val="auto"/>
        </w:rPr>
        <w: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pertaining to the Company’s ESPPs for the periods indicated: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0"/>
        </w:trPr>
        <w:tc>
          <w:tcPr>
            <w:tcW w:w="68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2"/>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Common shares issued</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239,322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111,136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110,506</w:t>
            </w:r>
          </w:p>
        </w:tc>
      </w:tr>
      <w:tr>
        <w:trPr>
          <w:trHeight w:val="219"/>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price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37.98</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Weighted average per share grant date fair value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8"/>
                <w:szCs w:val="18"/>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9.36</w:t>
            </w:r>
          </w:p>
        </w:tc>
      </w:tr>
    </w:tbl>
    <w:p>
      <w:pPr>
        <w:spacing w:after="0" w:line="104"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6"/>
          <w:szCs w:val="16"/>
          <w:b w:val="1"/>
          <w:bCs w:val="1"/>
          <w:i w:val="1"/>
          <w:iCs w:val="1"/>
          <w:color w:val="auto"/>
        </w:rPr>
        <w:t xml:space="preserve">401(k) Plan. </w:t>
      </w:r>
      <w:r>
        <w:rPr>
          <w:rFonts w:ascii="Arial" w:cs="Arial" w:eastAsia="Arial" w:hAnsi="Arial"/>
          <w:sz w:val="16"/>
          <w:szCs w:val="16"/>
          <w:color w:val="auto"/>
        </w:rPr>
        <w:t>MasTec has a 401(k) plan covering all eligible employees, which allows participants to contribute up to 75% of their pre-tax annual compensation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subject to certain limitations. Company contributions under the plan are based upon a percentage of the employee’s salary, subject to certain limitations as defined by the plan. During the years ended December 31, 2020, 2019 and 2018, matching contributions totaled approximately $19.3 million, $16.5 million and $13.4 million, respectively.</w:t>
      </w:r>
    </w:p>
    <w:p>
      <w:pPr>
        <w:spacing w:after="0" w:line="7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Deferred Compensation Plans. </w:t>
      </w:r>
      <w:r>
        <w:rPr>
          <w:rFonts w:ascii="Arial" w:cs="Arial" w:eastAsia="Arial" w:hAnsi="Arial"/>
          <w:sz w:val="16"/>
          <w:szCs w:val="16"/>
          <w:color w:val="auto"/>
        </w:rPr>
        <w:t>MasTec offers a deferred compensation plan to its highly compensated employees. These employees are allowed to contribute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of their pre-tax annual compensation to the deferred compensation plan. The Company also offers a deferred compensation plan to its Board of Directors, under which directors may elect to defer the receipt of compensation for their services. Total deferred compensation plan assets, which are included within other long-term assets in the consolidated balance sheets, totaled $14.1 million and $11.9 million as of December 31, 2020 and 2019, respectively. Total deferred compensation plan liabilities, which are included within other long-term liabilities in the consolidated balance sheets, totaled $15.0 million and $12.3 million as of December 31, 2020 and 2019,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Multiemployer Plans</w:t>
      </w:r>
    </w:p>
    <w:p>
      <w:pPr>
        <w:spacing w:after="0" w:line="1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As discussed in Note 1 - Business, Basis of Presentation and Significant Accounting Policies, certain of MasTec’s subsidiaries are party to various collective bargaining agreements with unions representing certain of their employees, which require the Company to pay specified wages, provide certain benefits to their union employees and contribute certain amounts to MEPPs. The PPA defines the funding rules for defined benefit pension plans and establishes funding classifications for U.S.-registered multiemployer pension plans. Under the PPA, plans are classified into one of the following five categories, based on multiple factors, also referred to as a plan’s “zone status”: Green (safe), Yellow (endangered), Orange (seriously endangered), and Red (critical or critical and declining). Factors included in the determination of a plan’s zone status include: funded percentage, cash flow position and whether the plan is projecting a minimum funding deficiency.</w:t>
      </w:r>
    </w:p>
    <w:p>
      <w:pPr>
        <w:spacing w:after="0" w:line="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 multiemployer plan that is so underfunded as to be in “endangered,” “seriously endangered,” “critical,” or “critical and declining” status (as determined under the PPA) is required to adopt a funding improvement plan (“FIP”) or a rehabilitation plan (“RP”), which, among other actions, could include decreased benefits and increased employer contributions, which could take the form of a surcharge on benefit contributions. These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2" w:name="page73"/>
    <w:bookmarkEnd w:id="72"/>
    <w:p>
      <w:pPr>
        <w:jc w:val="both"/>
        <w:spacing w:after="0" w:line="293" w:lineRule="auto"/>
        <w:rPr>
          <w:sz w:val="20"/>
          <w:szCs w:val="20"/>
          <w:color w:val="auto"/>
        </w:rPr>
      </w:pPr>
      <w:r>
        <w:rPr>
          <w:rFonts w:ascii="Arial" w:cs="Arial" w:eastAsia="Arial" w:hAnsi="Arial"/>
          <w:sz w:val="14"/>
          <w:szCs w:val="14"/>
          <w:color w:val="auto"/>
        </w:rPr>
        <w:t>actions are intended to improve their funding status over a period of years. If a pension fund is in critical status, a participating employer must pay an automatic surcharge in addition to contributions otherwise required under the collective bargaining agreement (“CBA”). With some exceptions, the surcharge is equal to 5% of required contributions for the initial critical year and 10% for each succeeding plan year in which the plan remains in critical status. The surcharge ceases on the effective date of a CBA (or other agreement) that includes contribution and benefit terms consistent with the rehabilitation plan. Certain plans in which the Company participates are in “endangered,” “seriously endangered,” “critical,” or “critical and declining” status. The amount of additional funds, if any, that the Company may be obligated to contribute to these plans in the future cannot be estimated due to the uncertainty of the future levels of work that could be required of the union employees covered by these plans, as well as the required future contribution rates and possible surcharges applicable to these plans. See Note 14 - Commitments and Contingencies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3" w:name="page74"/>
    <w:bookmarkEnd w:id="73"/>
    <w:p>
      <w:pPr>
        <w:ind w:firstLine="648"/>
        <w:spacing w:after="0" w:line="275" w:lineRule="auto"/>
        <w:rPr>
          <w:sz w:val="20"/>
          <w:szCs w:val="20"/>
          <w:color w:val="auto"/>
        </w:rPr>
      </w:pPr>
      <w:r>
        <w:rPr>
          <w:rFonts w:ascii="Arial" w:cs="Arial" w:eastAsia="Arial" w:hAnsi="Arial"/>
          <w:sz w:val="16"/>
          <w:szCs w:val="16"/>
          <w:color w:val="auto"/>
        </w:rPr>
        <w:t>Details of significant multiemployer pension plans as of and for the periods indicated, based upon information available to the Company from plan administrators as well as publicly available information on the U.S. Department of Labor website, are provided in the following table: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9"/>
              </w:rPr>
              <w:t>Contributions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7"/>
              </w:rPr>
              <w:t>(in millions)</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4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Pension Protection Act Zone Status</w:t>
            </w: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87"/>
              </w:rPr>
              <w:t>For the Years Ended December 31,</w:t>
            </w:r>
          </w:p>
        </w:tc>
        <w:tc>
          <w:tcPr>
            <w:tcW w:w="8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5"/>
              </w:rPr>
              <w:t>Employer</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Plan</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Expiration</w:t>
            </w: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Multiemployer Pension Plan</w:t>
            </w:r>
          </w:p>
        </w:tc>
        <w:tc>
          <w:tcPr>
            <w:tcW w:w="9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Identification</w:t>
            </w: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89"/>
              </w:rPr>
              <w:t>2020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6"/>
              </w:rPr>
              <w:t>2019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89"/>
              </w:rPr>
              <w:t>2018</w:t>
            </w:r>
          </w:p>
        </w:tc>
        <w:tc>
          <w:tcPr>
            <w:tcW w:w="820" w:type="dxa"/>
            <w:vAlign w:val="bottom"/>
            <w:vMerge w:val="continue"/>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2020</w:t>
            </w:r>
          </w:p>
        </w:tc>
        <w:tc>
          <w:tcPr>
            <w:tcW w:w="82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As of</w:t>
            </w:r>
          </w:p>
        </w:tc>
        <w:tc>
          <w:tcPr>
            <w:tcW w:w="30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2019</w:t>
            </w:r>
          </w:p>
        </w:tc>
        <w:tc>
          <w:tcPr>
            <w:tcW w:w="74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As of</w:t>
            </w:r>
          </w:p>
        </w:tc>
        <w:tc>
          <w:tcPr>
            <w:tcW w:w="3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FIP/RP Status</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Surcharge</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Date of CBA</w:t>
            </w:r>
          </w:p>
        </w:tc>
        <w:tc>
          <w:tcPr>
            <w:tcW w:w="4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2"/>
              </w:rPr>
              <w:t>Central Pension Fund of the IUOE</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366052390</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2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vMerge w:val="restart"/>
            <w:shd w:val="clear" w:color="auto" w:fill="CCEEFF"/>
          </w:tcPr>
          <w:p>
            <w:pPr>
              <w:jc w:val="center"/>
              <w:ind w:left="37"/>
              <w:spacing w:after="0"/>
              <w:rPr>
                <w:sz w:val="20"/>
                <w:szCs w:val="20"/>
                <w:color w:val="auto"/>
              </w:rPr>
            </w:pPr>
            <w:r>
              <w:rPr>
                <w:rFonts w:ascii="Arial" w:cs="Arial" w:eastAsia="Arial" w:hAnsi="Arial"/>
                <w:sz w:val="13"/>
                <w:szCs w:val="13"/>
                <w:color w:val="auto"/>
                <w:w w:val="89"/>
              </w:rPr>
              <w:t>1/31/2020</w:t>
            </w:r>
          </w:p>
        </w:tc>
        <w:tc>
          <w:tcPr>
            <w:tcW w:w="3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1/31/2019</w:t>
            </w:r>
          </w:p>
        </w:tc>
        <w:tc>
          <w:tcPr>
            <w:tcW w:w="3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8"/>
        </w:trPr>
        <w:tc>
          <w:tcPr>
            <w:tcW w:w="18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&amp; Participating Employers</w:t>
            </w:r>
          </w:p>
        </w:tc>
        <w:tc>
          <w:tcPr>
            <w:tcW w:w="94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360" w:type="dxa"/>
            <w:vAlign w:val="bottom"/>
            <w:gridSpan w:val="2"/>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20"/>
              <w:spacing w:after="0"/>
              <w:rPr>
                <w:sz w:val="20"/>
                <w:szCs w:val="20"/>
                <w:color w:val="auto"/>
              </w:rPr>
            </w:pPr>
            <w:r>
              <w:rPr>
                <w:rFonts w:ascii="Arial" w:cs="Arial" w:eastAsia="Arial" w:hAnsi="Arial"/>
                <w:sz w:val="13"/>
                <w:szCs w:val="13"/>
                <w:color w:val="auto"/>
              </w:rPr>
              <w:t>IBEW Local 1249 Pension Plan</w:t>
            </w:r>
          </w:p>
        </w:tc>
        <w:tc>
          <w:tcPr>
            <w:tcW w:w="940" w:type="dxa"/>
            <w:vAlign w:val="bottom"/>
          </w:tcPr>
          <w:p>
            <w:pPr>
              <w:jc w:val="center"/>
              <w:spacing w:after="0"/>
              <w:rPr>
                <w:sz w:val="20"/>
                <w:szCs w:val="20"/>
                <w:color w:val="auto"/>
              </w:rPr>
            </w:pPr>
            <w:r>
              <w:rPr>
                <w:rFonts w:ascii="Arial" w:cs="Arial" w:eastAsia="Arial" w:hAnsi="Arial"/>
                <w:sz w:val="13"/>
                <w:szCs w:val="13"/>
                <w:color w:val="auto"/>
                <w:w w:val="86"/>
              </w:rPr>
              <w:t>156035161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2.2</w:t>
            </w:r>
          </w:p>
        </w:tc>
        <w:tc>
          <w:tcPr>
            <w:tcW w:w="820" w:type="dxa"/>
            <w:vAlign w:val="bottom"/>
          </w:tcPr>
          <w:p>
            <w:pPr>
              <w:jc w:val="center"/>
              <w:spacing w:after="0"/>
              <w:rPr>
                <w:sz w:val="20"/>
                <w:szCs w:val="20"/>
                <w:color w:val="auto"/>
              </w:rPr>
            </w:pPr>
            <w:r>
              <w:rPr>
                <w:rFonts w:ascii="Arial" w:cs="Arial" w:eastAsia="Arial" w:hAnsi="Arial"/>
                <w:sz w:val="13"/>
                <w:szCs w:val="13"/>
                <w:color w:val="auto"/>
                <w:w w:val="90"/>
              </w:rPr>
              <w:t>5/2/2021</w:t>
            </w:r>
          </w:p>
        </w:tc>
        <w:tc>
          <w:tcPr>
            <w:tcW w:w="48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tcPr>
          <w:p>
            <w:pPr>
              <w:jc w:val="center"/>
              <w:ind w:left="57"/>
              <w:spacing w:after="0"/>
              <w:rPr>
                <w:sz w:val="20"/>
                <w:szCs w:val="20"/>
                <w:color w:val="auto"/>
              </w:rPr>
            </w:pPr>
            <w:r>
              <w:rPr>
                <w:rFonts w:ascii="Arial" w:cs="Arial" w:eastAsia="Arial" w:hAnsi="Arial"/>
                <w:sz w:val="13"/>
                <w:szCs w:val="13"/>
                <w:color w:val="auto"/>
                <w:w w:val="89"/>
              </w:rPr>
              <w:t>12/31/2019</w:t>
            </w:r>
          </w:p>
        </w:tc>
        <w:tc>
          <w:tcPr>
            <w:tcW w:w="3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12/31/2018</w:t>
            </w:r>
          </w:p>
        </w:tc>
        <w:tc>
          <w:tcPr>
            <w:tcW w:w="3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96"/>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Pipeline Industry Pension Fund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736146433</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shd w:val="clear" w:color="auto" w:fill="CCEEFF"/>
          </w:tcPr>
          <w:p>
            <w:pPr>
              <w:jc w:val="center"/>
              <w:ind w:left="57"/>
              <w:spacing w:after="0"/>
              <w:rPr>
                <w:sz w:val="20"/>
                <w:szCs w:val="20"/>
                <w:color w:val="auto"/>
              </w:rPr>
            </w:pPr>
            <w:r>
              <w:rPr>
                <w:rFonts w:ascii="Arial" w:cs="Arial" w:eastAsia="Arial" w:hAnsi="Arial"/>
                <w:sz w:val="13"/>
                <w:szCs w:val="13"/>
                <w:color w:val="auto"/>
                <w:w w:val="89"/>
              </w:rPr>
              <w:t>12/31/2019</w:t>
            </w:r>
          </w:p>
        </w:tc>
        <w:tc>
          <w:tcPr>
            <w:tcW w:w="300" w:type="dxa"/>
            <w:vAlign w:val="bottom"/>
            <w:shd w:val="clear" w:color="auto" w:fill="CCEEFF"/>
          </w:tcPr>
          <w:p>
            <w:pPr>
              <w:ind w:left="60"/>
              <w:spacing w:after="0"/>
              <w:rPr>
                <w:sz w:val="20"/>
                <w:szCs w:val="20"/>
                <w:color w:val="auto"/>
              </w:rPr>
            </w:pPr>
            <w:r>
              <w:rPr>
                <w:rFonts w:ascii="Arial" w:cs="Arial" w:eastAsia="Arial" w:hAnsi="Arial"/>
                <w:sz w:val="9"/>
                <w:szCs w:val="9"/>
                <w:color w:val="auto"/>
              </w:rPr>
              <w:t>(a)</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12/31/2018</w:t>
            </w:r>
          </w:p>
        </w:tc>
        <w:tc>
          <w:tcPr>
            <w:tcW w:w="320" w:type="dxa"/>
            <w:vAlign w:val="bottom"/>
            <w:shd w:val="clear" w:color="auto" w:fill="CCEEFF"/>
          </w:tcPr>
          <w:p>
            <w:pPr>
              <w:ind w:left="60"/>
              <w:spacing w:after="0"/>
              <w:rPr>
                <w:sz w:val="20"/>
                <w:szCs w:val="20"/>
                <w:color w:val="auto"/>
              </w:rPr>
            </w:pPr>
            <w:r>
              <w:rPr>
                <w:rFonts w:ascii="Arial" w:cs="Arial" w:eastAsia="Arial" w:hAnsi="Arial"/>
                <w:sz w:val="9"/>
                <w:szCs w:val="9"/>
                <w:color w:val="auto"/>
              </w:rPr>
              <w:t>(a)</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60" w:type="dxa"/>
            <w:vAlign w:val="bottom"/>
          </w:tcPr>
          <w:p>
            <w:pPr>
              <w:ind w:left="20"/>
              <w:spacing w:after="0" w:line="122" w:lineRule="exact"/>
              <w:rPr>
                <w:sz w:val="20"/>
                <w:szCs w:val="20"/>
                <w:color w:val="auto"/>
              </w:rPr>
            </w:pPr>
            <w:r>
              <w:rPr>
                <w:rFonts w:ascii="Arial" w:cs="Arial" w:eastAsia="Arial" w:hAnsi="Arial"/>
                <w:sz w:val="13"/>
                <w:szCs w:val="13"/>
                <w:color w:val="auto"/>
              </w:rPr>
              <w:t>Teamsters National Pipe Line</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6"/>
              </w:rPr>
              <w:t>461102851</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7.4</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vMerge w:val="restart"/>
          </w:tcPr>
          <w:p>
            <w:pPr>
              <w:jc w:val="center"/>
              <w:ind w:left="57"/>
              <w:spacing w:after="0"/>
              <w:rPr>
                <w:sz w:val="20"/>
                <w:szCs w:val="20"/>
                <w:color w:val="auto"/>
              </w:rPr>
            </w:pPr>
            <w:r>
              <w:rPr>
                <w:rFonts w:ascii="Arial" w:cs="Arial" w:eastAsia="Arial" w:hAnsi="Arial"/>
                <w:sz w:val="13"/>
                <w:szCs w:val="13"/>
                <w:color w:val="auto"/>
                <w:w w:val="89"/>
              </w:rPr>
              <w:t>12/31/2019</w:t>
            </w:r>
          </w:p>
        </w:tc>
        <w:tc>
          <w:tcPr>
            <w:tcW w:w="300" w:type="dxa"/>
            <w:vAlign w:val="bottom"/>
            <w:vMerge w:val="restart"/>
          </w:tcPr>
          <w:p>
            <w:pPr>
              <w:ind w:left="60"/>
              <w:spacing w:after="0"/>
              <w:rPr>
                <w:sz w:val="20"/>
                <w:szCs w:val="20"/>
                <w:color w:val="auto"/>
              </w:rPr>
            </w:pPr>
            <w:r>
              <w:rPr>
                <w:rFonts w:ascii="Arial" w:cs="Arial" w:eastAsia="Arial" w:hAnsi="Arial"/>
                <w:sz w:val="9"/>
                <w:szCs w:val="9"/>
                <w:color w:val="auto"/>
              </w:rPr>
              <w:t>(a)</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12/31/2018</w:t>
            </w:r>
          </w:p>
        </w:tc>
        <w:tc>
          <w:tcPr>
            <w:tcW w:w="320" w:type="dxa"/>
            <w:vAlign w:val="bottom"/>
            <w:vMerge w:val="restart"/>
          </w:tcPr>
          <w:p>
            <w:pPr>
              <w:ind w:left="60"/>
              <w:spacing w:after="0"/>
              <w:rPr>
                <w:sz w:val="20"/>
                <w:szCs w:val="20"/>
                <w:color w:val="auto"/>
              </w:rPr>
            </w:pPr>
            <w:r>
              <w:rPr>
                <w:rFonts w:ascii="Arial" w:cs="Arial" w:eastAsia="Arial" w:hAnsi="Arial"/>
                <w:sz w:val="9"/>
                <w:szCs w:val="9"/>
                <w:color w:val="auto"/>
              </w:rPr>
              <w:t>(a)</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8"/>
        </w:trPr>
        <w:tc>
          <w:tcPr>
            <w:tcW w:w="1860" w:type="dxa"/>
            <w:vAlign w:val="bottom"/>
            <w:vMerge w:val="restart"/>
          </w:tcPr>
          <w:p>
            <w:pPr>
              <w:ind w:left="20"/>
              <w:spacing w:after="0"/>
              <w:rPr>
                <w:sz w:val="20"/>
                <w:szCs w:val="20"/>
                <w:color w:val="auto"/>
              </w:rPr>
            </w:pPr>
            <w:r>
              <w:rPr>
                <w:rFonts w:ascii="Arial" w:cs="Arial" w:eastAsia="Arial" w:hAnsi="Arial"/>
                <w:sz w:val="13"/>
                <w:szCs w:val="13"/>
                <w:color w:val="auto"/>
              </w:rPr>
              <w:t>Pension Plan</w:t>
            </w:r>
          </w:p>
        </w:tc>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Laborers' District Council of</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256135576</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820" w:type="dxa"/>
            <w:vAlign w:val="bottom"/>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9"/>
              </w:rPr>
              <w:t>12/31/2019</w:t>
            </w:r>
          </w:p>
        </w:tc>
        <w:tc>
          <w:tcPr>
            <w:tcW w:w="3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12/31/2018</w:t>
            </w:r>
          </w:p>
        </w:tc>
        <w:tc>
          <w:tcPr>
            <w:tcW w:w="3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Implemented</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Western Pennsylvania Pension</w:t>
            </w:r>
          </w:p>
        </w:tc>
        <w:tc>
          <w:tcPr>
            <w:tcW w:w="940" w:type="dxa"/>
            <w:vAlign w:val="bottom"/>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Fund</w:t>
            </w:r>
          </w:p>
        </w:tc>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3"/>
                <w:szCs w:val="13"/>
                <w:color w:val="auto"/>
              </w:rPr>
              <w:t>National Electrical Benefit Fund</w:t>
            </w:r>
          </w:p>
        </w:tc>
        <w:tc>
          <w:tcPr>
            <w:tcW w:w="940" w:type="dxa"/>
            <w:vAlign w:val="bottom"/>
          </w:tcPr>
          <w:p>
            <w:pPr>
              <w:jc w:val="center"/>
              <w:spacing w:after="0"/>
              <w:rPr>
                <w:sz w:val="20"/>
                <w:szCs w:val="20"/>
                <w:color w:val="auto"/>
              </w:rPr>
            </w:pPr>
            <w:r>
              <w:rPr>
                <w:rFonts w:ascii="Arial" w:cs="Arial" w:eastAsia="Arial" w:hAnsi="Arial"/>
                <w:sz w:val="13"/>
                <w:szCs w:val="13"/>
                <w:color w:val="auto"/>
                <w:w w:val="86"/>
              </w:rPr>
              <w:t>530181657</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w:t>
            </w: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Varies through</w:t>
            </w:r>
          </w:p>
        </w:tc>
        <w:tc>
          <w:tcPr>
            <w:tcW w:w="48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tcPr>
          <w:p>
            <w:pPr>
              <w:jc w:val="center"/>
              <w:ind w:left="57"/>
              <w:spacing w:after="0"/>
              <w:rPr>
                <w:sz w:val="20"/>
                <w:szCs w:val="20"/>
                <w:color w:val="auto"/>
              </w:rPr>
            </w:pPr>
            <w:r>
              <w:rPr>
                <w:rFonts w:ascii="Arial" w:cs="Arial" w:eastAsia="Arial" w:hAnsi="Arial"/>
                <w:sz w:val="13"/>
                <w:szCs w:val="13"/>
                <w:color w:val="auto"/>
                <w:w w:val="89"/>
              </w:rPr>
              <w:t>12/31/2019</w:t>
            </w:r>
          </w:p>
        </w:tc>
        <w:tc>
          <w:tcPr>
            <w:tcW w:w="3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12/31/2018</w:t>
            </w:r>
          </w:p>
        </w:tc>
        <w:tc>
          <w:tcPr>
            <w:tcW w:w="3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color w:val="auto"/>
                <w:w w:val="89"/>
              </w:rPr>
              <w:t>12/31/2023</w:t>
            </w: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8"/>
              </w:rPr>
              <w:t>West Virginia Laborers' Pension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556026775</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vMerge w:val="restart"/>
            <w:shd w:val="clear" w:color="auto" w:fill="CCEEFF"/>
          </w:tcPr>
          <w:p>
            <w:pPr>
              <w:jc w:val="center"/>
              <w:ind w:left="37"/>
              <w:spacing w:after="0"/>
              <w:rPr>
                <w:sz w:val="20"/>
                <w:szCs w:val="20"/>
                <w:color w:val="auto"/>
              </w:rPr>
            </w:pPr>
            <w:r>
              <w:rPr>
                <w:rFonts w:ascii="Arial" w:cs="Arial" w:eastAsia="Arial" w:hAnsi="Arial"/>
                <w:sz w:val="13"/>
                <w:szCs w:val="13"/>
                <w:color w:val="auto"/>
                <w:w w:val="89"/>
              </w:rPr>
              <w:t>3/31/2020</w:t>
            </w: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9"/>
                <w:szCs w:val="9"/>
                <w:color w:val="auto"/>
              </w:rPr>
              <w:t>(a)</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3/31/2019</w:t>
            </w:r>
          </w:p>
        </w:tc>
        <w:tc>
          <w:tcPr>
            <w:tcW w:w="320" w:type="dxa"/>
            <w:vAlign w:val="bottom"/>
            <w:vMerge w:val="restart"/>
            <w:shd w:val="clear" w:color="auto" w:fill="CCEEFF"/>
          </w:tcPr>
          <w:p>
            <w:pPr>
              <w:ind w:left="60"/>
              <w:spacing w:after="0"/>
              <w:rPr>
                <w:sz w:val="20"/>
                <w:szCs w:val="20"/>
                <w:color w:val="auto"/>
              </w:rPr>
            </w:pPr>
            <w:r>
              <w:rPr>
                <w:rFonts w:ascii="Arial" w:cs="Arial" w:eastAsia="Arial" w:hAnsi="Arial"/>
                <w:sz w:val="9"/>
                <w:szCs w:val="9"/>
                <w:color w:val="auto"/>
              </w:rPr>
              <w:t>(a)</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8"/>
        </w:trPr>
        <w:tc>
          <w:tcPr>
            <w:tcW w:w="18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Trust Fund</w:t>
            </w:r>
          </w:p>
        </w:tc>
        <w:tc>
          <w:tcPr>
            <w:tcW w:w="94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860" w:type="dxa"/>
            <w:vAlign w:val="bottom"/>
          </w:tcPr>
          <w:p>
            <w:pPr>
              <w:ind w:left="20"/>
              <w:spacing w:after="0" w:line="122" w:lineRule="exact"/>
              <w:rPr>
                <w:sz w:val="20"/>
                <w:szCs w:val="20"/>
                <w:color w:val="auto"/>
              </w:rPr>
            </w:pPr>
            <w:r>
              <w:rPr>
                <w:rFonts w:ascii="Arial" w:cs="Arial" w:eastAsia="Arial" w:hAnsi="Arial"/>
                <w:sz w:val="13"/>
                <w:szCs w:val="13"/>
                <w:color w:val="auto"/>
                <w:w w:val="98"/>
              </w:rPr>
              <w:t>International Union of Operating</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6"/>
              </w:rPr>
              <w:t>556015364</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vMerge w:val="restart"/>
          </w:tcPr>
          <w:p>
            <w:pPr>
              <w:jc w:val="center"/>
              <w:ind w:left="37"/>
              <w:spacing w:after="0"/>
              <w:rPr>
                <w:sz w:val="20"/>
                <w:szCs w:val="20"/>
                <w:color w:val="auto"/>
              </w:rPr>
            </w:pPr>
            <w:r>
              <w:rPr>
                <w:rFonts w:ascii="Arial" w:cs="Arial" w:eastAsia="Arial" w:hAnsi="Arial"/>
                <w:sz w:val="13"/>
                <w:szCs w:val="13"/>
                <w:color w:val="auto"/>
                <w:w w:val="89"/>
              </w:rPr>
              <w:t>3/31/2020</w:t>
            </w:r>
          </w:p>
        </w:tc>
        <w:tc>
          <w:tcPr>
            <w:tcW w:w="30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3/31/2019</w:t>
            </w:r>
          </w:p>
        </w:tc>
        <w:tc>
          <w:tcPr>
            <w:tcW w:w="3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60" w:type="dxa"/>
            <w:vAlign w:val="bottom"/>
          </w:tcPr>
          <w:p>
            <w:pPr>
              <w:ind w:left="20"/>
              <w:spacing w:after="0" w:line="122" w:lineRule="exact"/>
              <w:rPr>
                <w:sz w:val="20"/>
                <w:szCs w:val="20"/>
                <w:color w:val="auto"/>
              </w:rPr>
            </w:pPr>
            <w:r>
              <w:rPr>
                <w:rFonts w:ascii="Arial" w:cs="Arial" w:eastAsia="Arial" w:hAnsi="Arial"/>
                <w:sz w:val="13"/>
                <w:szCs w:val="13"/>
                <w:color w:val="auto"/>
              </w:rPr>
              <w:t>Engineers Local 132 Pension</w:t>
            </w:r>
          </w:p>
        </w:tc>
        <w:tc>
          <w:tcPr>
            <w:tcW w:w="9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300" w:type="dxa"/>
            <w:vAlign w:val="bottom"/>
          </w:tcPr>
          <w:p>
            <w:pPr>
              <w:ind w:left="60"/>
              <w:spacing w:after="0"/>
              <w:rPr>
                <w:sz w:val="20"/>
                <w:szCs w:val="20"/>
                <w:color w:val="auto"/>
              </w:rPr>
            </w:pPr>
            <w:r>
              <w:rPr>
                <w:rFonts w:ascii="Arial" w:cs="Arial" w:eastAsia="Arial" w:hAnsi="Arial"/>
                <w:sz w:val="9"/>
                <w:szCs w:val="9"/>
                <w:color w:val="auto"/>
              </w:rPr>
              <w:t>(a)</w:t>
            </w:r>
          </w:p>
        </w:tc>
        <w:tc>
          <w:tcPr>
            <w:tcW w:w="5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20" w:type="dxa"/>
            <w:vAlign w:val="bottom"/>
          </w:tcPr>
          <w:p>
            <w:pPr>
              <w:ind w:left="60"/>
              <w:spacing w:after="0"/>
              <w:rPr>
                <w:sz w:val="20"/>
                <w:szCs w:val="20"/>
                <w:color w:val="auto"/>
              </w:rPr>
            </w:pPr>
            <w:r>
              <w:rPr>
                <w:rFonts w:ascii="Arial" w:cs="Arial" w:eastAsia="Arial" w:hAnsi="Arial"/>
                <w:sz w:val="9"/>
                <w:szCs w:val="9"/>
                <w:color w:val="auto"/>
              </w:rPr>
              <w:t>(a)</w:t>
            </w:r>
          </w:p>
        </w:tc>
        <w:tc>
          <w:tcPr>
            <w:tcW w:w="9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20"/>
              <w:spacing w:after="0"/>
              <w:rPr>
                <w:sz w:val="20"/>
                <w:szCs w:val="20"/>
                <w:color w:val="auto"/>
              </w:rPr>
            </w:pPr>
            <w:r>
              <w:rPr>
                <w:rFonts w:ascii="Arial" w:cs="Arial" w:eastAsia="Arial" w:hAnsi="Arial"/>
                <w:sz w:val="13"/>
                <w:szCs w:val="13"/>
                <w:color w:val="auto"/>
              </w:rPr>
              <w:t>Fund</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Midwest Operating Engineers</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366140097</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vMerge w:val="restart"/>
            <w:shd w:val="clear" w:color="auto" w:fill="CCEEFF"/>
          </w:tcPr>
          <w:p>
            <w:pPr>
              <w:jc w:val="center"/>
              <w:ind w:left="37"/>
              <w:spacing w:after="0"/>
              <w:rPr>
                <w:sz w:val="20"/>
                <w:szCs w:val="20"/>
                <w:color w:val="auto"/>
              </w:rPr>
            </w:pPr>
            <w:r>
              <w:rPr>
                <w:rFonts w:ascii="Arial" w:cs="Arial" w:eastAsia="Arial" w:hAnsi="Arial"/>
                <w:sz w:val="13"/>
                <w:szCs w:val="13"/>
                <w:color w:val="auto"/>
                <w:w w:val="89"/>
              </w:rPr>
              <w:t>3/31/2020</w:t>
            </w: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9"/>
                <w:szCs w:val="9"/>
                <w:color w:val="auto"/>
              </w:rPr>
              <w:t>(b)</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3/31/2019</w:t>
            </w:r>
          </w:p>
        </w:tc>
        <w:tc>
          <w:tcPr>
            <w:tcW w:w="320" w:type="dxa"/>
            <w:vAlign w:val="bottom"/>
            <w:vMerge w:val="restart"/>
            <w:shd w:val="clear" w:color="auto" w:fill="CCEEFF"/>
          </w:tcPr>
          <w:p>
            <w:pPr>
              <w:ind w:left="60"/>
              <w:spacing w:after="0"/>
              <w:rPr>
                <w:sz w:val="20"/>
                <w:szCs w:val="20"/>
                <w:color w:val="auto"/>
              </w:rPr>
            </w:pPr>
            <w:r>
              <w:rPr>
                <w:rFonts w:ascii="Arial" w:cs="Arial" w:eastAsia="Arial" w:hAnsi="Arial"/>
                <w:sz w:val="9"/>
                <w:szCs w:val="9"/>
                <w:color w:val="auto"/>
              </w:rPr>
              <w:t>(b)</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8"/>
        </w:trPr>
        <w:tc>
          <w:tcPr>
            <w:tcW w:w="18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Pension Trust Fund</w:t>
            </w:r>
          </w:p>
        </w:tc>
        <w:tc>
          <w:tcPr>
            <w:tcW w:w="94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860" w:type="dxa"/>
            <w:vAlign w:val="bottom"/>
          </w:tcPr>
          <w:p>
            <w:pPr>
              <w:ind w:left="20"/>
              <w:spacing w:after="0" w:line="122" w:lineRule="exact"/>
              <w:rPr>
                <w:sz w:val="20"/>
                <w:szCs w:val="20"/>
                <w:color w:val="auto"/>
              </w:rPr>
            </w:pPr>
            <w:r>
              <w:rPr>
                <w:rFonts w:ascii="Arial" w:cs="Arial" w:eastAsia="Arial" w:hAnsi="Arial"/>
                <w:sz w:val="13"/>
                <w:szCs w:val="13"/>
                <w:color w:val="auto"/>
              </w:rPr>
              <w:t>Laborers' Local Union No. 158</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6"/>
              </w:rPr>
              <w:t>236580323</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0.9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vMerge w:val="restart"/>
          </w:tcPr>
          <w:p>
            <w:pPr>
              <w:jc w:val="center"/>
              <w:ind w:left="57"/>
              <w:spacing w:after="0"/>
              <w:rPr>
                <w:sz w:val="20"/>
                <w:szCs w:val="20"/>
                <w:color w:val="auto"/>
              </w:rPr>
            </w:pPr>
            <w:r>
              <w:rPr>
                <w:rFonts w:ascii="Arial" w:cs="Arial" w:eastAsia="Arial" w:hAnsi="Arial"/>
                <w:sz w:val="13"/>
                <w:szCs w:val="13"/>
                <w:color w:val="auto"/>
                <w:w w:val="89"/>
              </w:rPr>
              <w:t>12/31/2019</w:t>
            </w:r>
          </w:p>
        </w:tc>
        <w:tc>
          <w:tcPr>
            <w:tcW w:w="300" w:type="dxa"/>
            <w:vAlign w:val="bottom"/>
            <w:vMerge w:val="restart"/>
          </w:tcPr>
          <w:p>
            <w:pPr>
              <w:ind w:left="60"/>
              <w:spacing w:after="0"/>
              <w:rPr>
                <w:sz w:val="20"/>
                <w:szCs w:val="20"/>
                <w:color w:val="auto"/>
              </w:rPr>
            </w:pPr>
            <w:r>
              <w:rPr>
                <w:rFonts w:ascii="Arial" w:cs="Arial" w:eastAsia="Arial" w:hAnsi="Arial"/>
                <w:sz w:val="9"/>
                <w:szCs w:val="9"/>
                <w:color w:val="auto"/>
              </w:rPr>
              <w:t>(a)</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12/31/2018</w:t>
            </w:r>
          </w:p>
        </w:tc>
        <w:tc>
          <w:tcPr>
            <w:tcW w:w="320" w:type="dxa"/>
            <w:vAlign w:val="bottom"/>
            <w:vMerge w:val="restart"/>
          </w:tcPr>
          <w:p>
            <w:pPr>
              <w:ind w:left="60"/>
              <w:spacing w:after="0"/>
              <w:rPr>
                <w:sz w:val="20"/>
                <w:szCs w:val="20"/>
                <w:color w:val="auto"/>
              </w:rPr>
            </w:pPr>
            <w:r>
              <w:rPr>
                <w:rFonts w:ascii="Arial" w:cs="Arial" w:eastAsia="Arial" w:hAnsi="Arial"/>
                <w:sz w:val="9"/>
                <w:szCs w:val="9"/>
                <w:color w:val="auto"/>
              </w:rPr>
              <w:t>(a)</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8"/>
        </w:trPr>
        <w:tc>
          <w:tcPr>
            <w:tcW w:w="1860" w:type="dxa"/>
            <w:vAlign w:val="bottom"/>
            <w:vMerge w:val="restart"/>
          </w:tcPr>
          <w:p>
            <w:pPr>
              <w:ind w:left="20"/>
              <w:spacing w:after="0"/>
              <w:rPr>
                <w:sz w:val="20"/>
                <w:szCs w:val="20"/>
                <w:color w:val="auto"/>
              </w:rPr>
            </w:pPr>
            <w:r>
              <w:rPr>
                <w:rFonts w:ascii="Arial" w:cs="Arial" w:eastAsia="Arial" w:hAnsi="Arial"/>
                <w:sz w:val="13"/>
                <w:szCs w:val="13"/>
                <w:color w:val="auto"/>
              </w:rPr>
              <w:t>Pension Plan</w:t>
            </w:r>
          </w:p>
        </w:tc>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Central Laborers' Pension Fund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376052379</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820" w:type="dxa"/>
            <w:vAlign w:val="bottom"/>
            <w:shd w:val="clear" w:color="auto" w:fill="CCEEFF"/>
          </w:tcPr>
          <w:p>
            <w:pPr>
              <w:jc w:val="center"/>
              <w:ind w:left="57"/>
              <w:spacing w:after="0"/>
              <w:rPr>
                <w:sz w:val="20"/>
                <w:szCs w:val="20"/>
                <w:color w:val="auto"/>
              </w:rPr>
            </w:pPr>
            <w:r>
              <w:rPr>
                <w:rFonts w:ascii="Arial" w:cs="Arial" w:eastAsia="Arial" w:hAnsi="Arial"/>
                <w:sz w:val="13"/>
                <w:szCs w:val="13"/>
                <w:color w:val="auto"/>
                <w:w w:val="89"/>
              </w:rPr>
              <w:t>12/31/2019</w:t>
            </w:r>
          </w:p>
        </w:tc>
        <w:tc>
          <w:tcPr>
            <w:tcW w:w="300" w:type="dxa"/>
            <w:vAlign w:val="bottom"/>
            <w:shd w:val="clear" w:color="auto" w:fill="CCEEFF"/>
          </w:tcPr>
          <w:p>
            <w:pPr>
              <w:ind w:left="60"/>
              <w:spacing w:after="0"/>
              <w:rPr>
                <w:sz w:val="20"/>
                <w:szCs w:val="20"/>
                <w:color w:val="auto"/>
              </w:rPr>
            </w:pPr>
            <w:r>
              <w:rPr>
                <w:rFonts w:ascii="Arial" w:cs="Arial" w:eastAsia="Arial" w:hAnsi="Arial"/>
                <w:sz w:val="9"/>
                <w:szCs w:val="9"/>
                <w:color w:val="auto"/>
              </w:rPr>
              <w:t>(b)</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12/31/2018</w:t>
            </w:r>
          </w:p>
        </w:tc>
        <w:tc>
          <w:tcPr>
            <w:tcW w:w="320" w:type="dxa"/>
            <w:vAlign w:val="bottom"/>
            <w:shd w:val="clear" w:color="auto" w:fill="CCEEFF"/>
          </w:tcPr>
          <w:p>
            <w:pPr>
              <w:ind w:left="60"/>
              <w:spacing w:after="0"/>
              <w:rPr>
                <w:sz w:val="20"/>
                <w:szCs w:val="20"/>
                <w:color w:val="auto"/>
              </w:rPr>
            </w:pPr>
            <w:r>
              <w:rPr>
                <w:rFonts w:ascii="Arial" w:cs="Arial" w:eastAsia="Arial" w:hAnsi="Arial"/>
                <w:sz w:val="9"/>
                <w:szCs w:val="9"/>
                <w:color w:val="auto"/>
              </w:rPr>
              <w:t>(b)</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Implemented</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82"/>
        </w:trPr>
        <w:tc>
          <w:tcPr>
            <w:tcW w:w="1860" w:type="dxa"/>
            <w:vAlign w:val="bottom"/>
          </w:tcPr>
          <w:p>
            <w:pPr>
              <w:ind w:left="20"/>
              <w:spacing w:after="0"/>
              <w:rPr>
                <w:sz w:val="20"/>
                <w:szCs w:val="20"/>
                <w:color w:val="auto"/>
              </w:rPr>
            </w:pPr>
            <w:r>
              <w:rPr>
                <w:rFonts w:ascii="Arial" w:cs="Arial" w:eastAsia="Arial" w:hAnsi="Arial"/>
                <w:sz w:val="13"/>
                <w:szCs w:val="13"/>
                <w:color w:val="auto"/>
                <w:w w:val="96"/>
              </w:rPr>
              <w:t>Laborers' National Pension Fund</w:t>
            </w:r>
          </w:p>
        </w:tc>
        <w:tc>
          <w:tcPr>
            <w:tcW w:w="940" w:type="dxa"/>
            <w:vAlign w:val="bottom"/>
          </w:tcPr>
          <w:p>
            <w:pPr>
              <w:jc w:val="center"/>
              <w:spacing w:after="0"/>
              <w:rPr>
                <w:sz w:val="20"/>
                <w:szCs w:val="20"/>
                <w:color w:val="auto"/>
              </w:rPr>
            </w:pPr>
            <w:r>
              <w:rPr>
                <w:rFonts w:ascii="Arial" w:cs="Arial" w:eastAsia="Arial" w:hAnsi="Arial"/>
                <w:sz w:val="13"/>
                <w:szCs w:val="13"/>
                <w:color w:val="auto"/>
                <w:w w:val="86"/>
              </w:rPr>
              <w:t>751280827</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4.1</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Red</w:t>
            </w:r>
          </w:p>
        </w:tc>
        <w:tc>
          <w:tcPr>
            <w:tcW w:w="820" w:type="dxa"/>
            <w:vAlign w:val="bottom"/>
          </w:tcPr>
          <w:p>
            <w:pPr>
              <w:jc w:val="center"/>
              <w:ind w:left="57"/>
              <w:spacing w:after="0"/>
              <w:rPr>
                <w:sz w:val="20"/>
                <w:szCs w:val="20"/>
                <w:color w:val="auto"/>
              </w:rPr>
            </w:pPr>
            <w:r>
              <w:rPr>
                <w:rFonts w:ascii="Arial" w:cs="Arial" w:eastAsia="Arial" w:hAnsi="Arial"/>
                <w:sz w:val="13"/>
                <w:szCs w:val="13"/>
                <w:color w:val="auto"/>
                <w:w w:val="89"/>
              </w:rPr>
              <w:t>12/31/2019</w:t>
            </w:r>
          </w:p>
        </w:tc>
        <w:tc>
          <w:tcPr>
            <w:tcW w:w="3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2"/>
              </w:rPr>
              <w:t>Red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12/31/2018</w:t>
            </w:r>
          </w:p>
        </w:tc>
        <w:tc>
          <w:tcPr>
            <w:tcW w:w="320" w:type="dxa"/>
            <w:vAlign w:val="bottom"/>
          </w:tcPr>
          <w:p>
            <w:pPr>
              <w:ind w:left="60"/>
              <w:spacing w:after="0"/>
              <w:rPr>
                <w:sz w:val="20"/>
                <w:szCs w:val="20"/>
                <w:color w:val="auto"/>
              </w:rPr>
            </w:pPr>
            <w:r>
              <w:rPr>
                <w:rFonts w:ascii="Arial" w:cs="Arial" w:eastAsia="Arial" w:hAnsi="Arial"/>
                <w:sz w:val="9"/>
                <w:szCs w:val="9"/>
                <w:color w:val="auto"/>
              </w:rPr>
              <w:t>(a)</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Implemented</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9"/>
        </w:trPr>
        <w:tc>
          <w:tcPr>
            <w:tcW w:w="1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4"/>
              </w:rPr>
              <w:t>Employer - Teamsters Local Nos.</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556021850</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Red</w:t>
            </w:r>
          </w:p>
        </w:tc>
        <w:tc>
          <w:tcPr>
            <w:tcW w:w="820" w:type="dxa"/>
            <w:vAlign w:val="bottom"/>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9"/>
              </w:rPr>
              <w:t>12/31/2019</w:t>
            </w:r>
          </w:p>
        </w:tc>
        <w:tc>
          <w:tcPr>
            <w:tcW w:w="300" w:type="dxa"/>
            <w:vAlign w:val="bottom"/>
            <w:shd w:val="clear" w:color="auto" w:fill="CCEEFF"/>
          </w:tcPr>
          <w:p>
            <w:pPr>
              <w:ind w:left="60"/>
              <w:spacing w:after="0"/>
              <w:rPr>
                <w:sz w:val="20"/>
                <w:szCs w:val="20"/>
                <w:color w:val="auto"/>
              </w:rPr>
            </w:pPr>
            <w:r>
              <w:rPr>
                <w:rFonts w:ascii="Arial" w:cs="Arial" w:eastAsia="Arial" w:hAnsi="Arial"/>
                <w:sz w:val="9"/>
                <w:szCs w:val="9"/>
                <w:color w:val="auto"/>
              </w:rPr>
              <w:t>(a),</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Red</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12/31/2018</w:t>
            </w:r>
          </w:p>
        </w:tc>
        <w:tc>
          <w:tcPr>
            <w:tcW w:w="320" w:type="dxa"/>
            <w:vAlign w:val="bottom"/>
            <w:shd w:val="clear" w:color="auto" w:fill="CCEEFF"/>
          </w:tcPr>
          <w:p>
            <w:pPr>
              <w:ind w:left="60"/>
              <w:spacing w:after="0"/>
              <w:rPr>
                <w:sz w:val="20"/>
                <w:szCs w:val="20"/>
                <w:color w:val="auto"/>
              </w:rPr>
            </w:pPr>
            <w:r>
              <w:rPr>
                <w:rFonts w:ascii="Arial" w:cs="Arial" w:eastAsia="Arial" w:hAnsi="Arial"/>
                <w:sz w:val="9"/>
                <w:szCs w:val="9"/>
                <w:color w:val="auto"/>
              </w:rPr>
              <w:t>(a),</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Implemented</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175 &amp; 505 Pension Trust Fund</w:t>
            </w:r>
          </w:p>
        </w:tc>
        <w:tc>
          <w:tcPr>
            <w:tcW w:w="9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9"/>
                <w:szCs w:val="9"/>
                <w:color w:val="auto"/>
              </w:rPr>
              <w:t>(b)</w:t>
            </w:r>
          </w:p>
        </w:tc>
        <w:tc>
          <w:tcPr>
            <w:tcW w:w="58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9"/>
                <w:szCs w:val="9"/>
                <w:color w:val="auto"/>
              </w:rPr>
              <w:t>(b)</w:t>
            </w:r>
          </w:p>
        </w:tc>
        <w:tc>
          <w:tcPr>
            <w:tcW w:w="94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60" w:type="dxa"/>
            <w:vAlign w:val="bottom"/>
          </w:tcPr>
          <w:p>
            <w:pPr>
              <w:ind w:left="20"/>
              <w:spacing w:after="0" w:line="122" w:lineRule="exact"/>
              <w:rPr>
                <w:sz w:val="20"/>
                <w:szCs w:val="20"/>
                <w:color w:val="auto"/>
              </w:rPr>
            </w:pPr>
            <w:r>
              <w:rPr>
                <w:rFonts w:ascii="Arial" w:cs="Arial" w:eastAsia="Arial" w:hAnsi="Arial"/>
                <w:sz w:val="13"/>
                <w:szCs w:val="13"/>
                <w:color w:val="auto"/>
              </w:rPr>
              <w:t>Laborers District Council &amp;</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6"/>
              </w:rPr>
              <w:t>316129964</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vMerge w:val="restart"/>
          </w:tcPr>
          <w:p>
            <w:pPr>
              <w:jc w:val="center"/>
              <w:ind w:left="57"/>
              <w:spacing w:after="0"/>
              <w:rPr>
                <w:sz w:val="20"/>
                <w:szCs w:val="20"/>
                <w:color w:val="auto"/>
              </w:rPr>
            </w:pPr>
            <w:r>
              <w:rPr>
                <w:rFonts w:ascii="Arial" w:cs="Arial" w:eastAsia="Arial" w:hAnsi="Arial"/>
                <w:sz w:val="13"/>
                <w:szCs w:val="13"/>
                <w:color w:val="auto"/>
                <w:w w:val="89"/>
              </w:rPr>
              <w:t>12/31/2019</w:t>
            </w:r>
          </w:p>
        </w:tc>
        <w:tc>
          <w:tcPr>
            <w:tcW w:w="30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12/31/2018</w:t>
            </w:r>
          </w:p>
        </w:tc>
        <w:tc>
          <w:tcPr>
            <w:tcW w:w="3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8"/>
        </w:trPr>
        <w:tc>
          <w:tcPr>
            <w:tcW w:w="1860" w:type="dxa"/>
            <w:vAlign w:val="bottom"/>
            <w:vMerge w:val="restart"/>
          </w:tcPr>
          <w:p>
            <w:pPr>
              <w:ind w:left="20"/>
              <w:spacing w:after="0"/>
              <w:rPr>
                <w:sz w:val="20"/>
                <w:szCs w:val="20"/>
                <w:color w:val="auto"/>
              </w:rPr>
            </w:pPr>
            <w:r>
              <w:rPr>
                <w:rFonts w:ascii="Arial" w:cs="Arial" w:eastAsia="Arial" w:hAnsi="Arial"/>
                <w:sz w:val="13"/>
                <w:szCs w:val="13"/>
                <w:color w:val="auto"/>
                <w:w w:val="92"/>
              </w:rPr>
              <w:t>Contractors Pension Fund of Ohio</w:t>
            </w:r>
          </w:p>
        </w:tc>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Michigan Laborers' Pension Plan</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386233976</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82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9"/>
              </w:rPr>
              <w:t>8/31/2020</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8/31/2019</w:t>
            </w:r>
          </w:p>
        </w:tc>
        <w:tc>
          <w:tcPr>
            <w:tcW w:w="320" w:type="dxa"/>
            <w:vAlign w:val="bottom"/>
            <w:shd w:val="clear" w:color="auto" w:fill="CCEEFF"/>
          </w:tcPr>
          <w:p>
            <w:pPr>
              <w:ind w:left="60"/>
              <w:spacing w:after="0"/>
              <w:rPr>
                <w:sz w:val="20"/>
                <w:szCs w:val="20"/>
                <w:color w:val="auto"/>
              </w:rPr>
            </w:pPr>
            <w:r>
              <w:rPr>
                <w:rFonts w:ascii="Arial" w:cs="Arial" w:eastAsia="Arial" w:hAnsi="Arial"/>
                <w:sz w:val="9"/>
                <w:szCs w:val="9"/>
                <w:color w:val="auto"/>
              </w:rPr>
              <w:t>(b)</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Implemented</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1"/>
        </w:trPr>
        <w:tc>
          <w:tcPr>
            <w:tcW w:w="1860" w:type="dxa"/>
            <w:vAlign w:val="bottom"/>
          </w:tcPr>
          <w:p>
            <w:pPr>
              <w:ind w:left="20"/>
              <w:spacing w:after="0" w:line="122" w:lineRule="exact"/>
              <w:rPr>
                <w:sz w:val="20"/>
                <w:szCs w:val="20"/>
                <w:color w:val="auto"/>
              </w:rPr>
            </w:pPr>
            <w:r>
              <w:rPr>
                <w:rFonts w:ascii="Arial" w:cs="Arial" w:eastAsia="Arial" w:hAnsi="Arial"/>
                <w:sz w:val="13"/>
                <w:szCs w:val="13"/>
                <w:color w:val="auto"/>
              </w:rPr>
              <w:t>Laborers' Pension Fund of</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6"/>
              </w:rPr>
              <w:t>546111015</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6"/>
              </w:rPr>
              <w:t>5/31/2023</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820" w:type="dxa"/>
            <w:vAlign w:val="bottom"/>
            <w:vMerge w:val="restart"/>
          </w:tcPr>
          <w:p>
            <w:pPr>
              <w:jc w:val="center"/>
              <w:ind w:left="37"/>
              <w:spacing w:after="0"/>
              <w:rPr>
                <w:sz w:val="20"/>
                <w:szCs w:val="20"/>
                <w:color w:val="auto"/>
              </w:rPr>
            </w:pPr>
            <w:r>
              <w:rPr>
                <w:rFonts w:ascii="Arial" w:cs="Arial" w:eastAsia="Arial" w:hAnsi="Arial"/>
                <w:sz w:val="13"/>
                <w:szCs w:val="13"/>
                <w:color w:val="auto"/>
                <w:w w:val="89"/>
              </w:rPr>
              <w:t>9/30/2019</w:t>
            </w:r>
          </w:p>
        </w:tc>
        <w:tc>
          <w:tcPr>
            <w:tcW w:w="300" w:type="dxa"/>
            <w:vAlign w:val="bottom"/>
            <w:vMerge w:val="restart"/>
          </w:tcPr>
          <w:p>
            <w:pPr>
              <w:ind w:left="60"/>
              <w:spacing w:after="0"/>
              <w:rPr>
                <w:sz w:val="20"/>
                <w:szCs w:val="20"/>
                <w:color w:val="auto"/>
              </w:rPr>
            </w:pPr>
            <w:r>
              <w:rPr>
                <w:rFonts w:ascii="Arial" w:cs="Arial" w:eastAsia="Arial" w:hAnsi="Arial"/>
                <w:sz w:val="9"/>
                <w:szCs w:val="9"/>
                <w:color w:val="auto"/>
              </w:rPr>
              <w:t>(a)</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9/30/2018</w:t>
            </w:r>
          </w:p>
        </w:tc>
        <w:tc>
          <w:tcPr>
            <w:tcW w:w="320" w:type="dxa"/>
            <w:vAlign w:val="bottom"/>
            <w:vMerge w:val="restart"/>
          </w:tcPr>
          <w:p>
            <w:pPr>
              <w:ind w:left="60"/>
              <w:spacing w:after="0"/>
              <w:rPr>
                <w:sz w:val="20"/>
                <w:szCs w:val="20"/>
                <w:color w:val="auto"/>
              </w:rPr>
            </w:pPr>
            <w:r>
              <w:rPr>
                <w:rFonts w:ascii="Arial" w:cs="Arial" w:eastAsia="Arial" w:hAnsi="Arial"/>
                <w:sz w:val="9"/>
                <w:szCs w:val="9"/>
                <w:color w:val="auto"/>
              </w:rPr>
              <w:t>(a)</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8"/>
        </w:trPr>
        <w:tc>
          <w:tcPr>
            <w:tcW w:w="1860" w:type="dxa"/>
            <w:vAlign w:val="bottom"/>
            <w:vMerge w:val="restart"/>
          </w:tcPr>
          <w:p>
            <w:pPr>
              <w:ind w:left="20"/>
              <w:spacing w:after="0"/>
              <w:rPr>
                <w:sz w:val="20"/>
                <w:szCs w:val="20"/>
                <w:color w:val="auto"/>
              </w:rPr>
            </w:pPr>
            <w:r>
              <w:rPr>
                <w:rFonts w:ascii="Arial" w:cs="Arial" w:eastAsia="Arial" w:hAnsi="Arial"/>
                <w:sz w:val="13"/>
                <w:szCs w:val="13"/>
                <w:color w:val="auto"/>
              </w:rPr>
              <w:t>Roanoke, Virginia</w:t>
            </w:r>
          </w:p>
        </w:tc>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funds</w:t>
            </w: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60" w:type="dxa"/>
            <w:vAlign w:val="bottom"/>
          </w:tcPr>
          <w:p>
            <w:pPr>
              <w:ind w:left="20"/>
              <w:spacing w:after="0" w:line="102" w:lineRule="exact"/>
              <w:rPr>
                <w:sz w:val="20"/>
                <w:szCs w:val="20"/>
                <w:color w:val="auto"/>
              </w:rPr>
            </w:pPr>
            <w:r>
              <w:rPr>
                <w:rFonts w:ascii="Arial" w:cs="Arial" w:eastAsia="Arial" w:hAnsi="Arial"/>
                <w:sz w:val="10"/>
                <w:szCs w:val="10"/>
                <w:color w:val="auto"/>
              </w:rPr>
              <w:t>Total multiemployer pension plan</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30.0</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66.9</w:t>
            </w:r>
          </w:p>
        </w:tc>
        <w:tc>
          <w:tcPr>
            <w:tcW w:w="2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92.4</w:t>
            </w: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60" w:type="dxa"/>
            <w:vAlign w:val="bottom"/>
            <w:vMerge w:val="restart"/>
          </w:tcPr>
          <w:p>
            <w:pPr>
              <w:ind w:left="20"/>
              <w:spacing w:after="0"/>
              <w:rPr>
                <w:sz w:val="20"/>
                <w:szCs w:val="20"/>
                <w:color w:val="auto"/>
              </w:rPr>
            </w:pPr>
            <w:r>
              <w:rPr>
                <w:rFonts w:ascii="Arial" w:cs="Arial" w:eastAsia="Arial" w:hAnsi="Arial"/>
                <w:sz w:val="13"/>
                <w:szCs w:val="13"/>
                <w:color w:val="auto"/>
              </w:rPr>
              <w:t>contributions</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Company’s contributions to this plan represent greater than 5% of the plan’s total contributions.</w:t>
      </w:r>
    </w:p>
    <w:p>
      <w:pPr>
        <w:spacing w:after="0" w:line="55" w:lineRule="exact"/>
        <w:rPr>
          <w:rFonts w:ascii="Arial" w:cs="Arial" w:eastAsia="Arial" w:hAnsi="Arial"/>
          <w:sz w:val="14"/>
          <w:szCs w:val="14"/>
          <w:color w:val="auto"/>
        </w:rPr>
      </w:pPr>
    </w:p>
    <w:p>
      <w:pPr>
        <w:ind w:left="400" w:hanging="392"/>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plan has utilized extended amortization provisions, which provide plans with extensions of time to amortize pension funding shortfalls.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4" w:name="page75"/>
    <w:bookmarkEnd w:id="74"/>
    <w:p>
      <w:pPr>
        <w:jc w:val="both"/>
        <w:ind w:firstLine="648"/>
        <w:spacing w:after="0" w:line="261" w:lineRule="auto"/>
        <w:rPr>
          <w:sz w:val="20"/>
          <w:szCs w:val="20"/>
          <w:color w:val="auto"/>
        </w:rPr>
      </w:pPr>
      <w:r>
        <w:rPr>
          <w:rFonts w:ascii="Arial" w:cs="Arial" w:eastAsia="Arial" w:hAnsi="Arial"/>
          <w:sz w:val="16"/>
          <w:szCs w:val="16"/>
          <w:color w:val="auto"/>
        </w:rPr>
        <w:t>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were as follows: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Multiemployer Plans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2120" w:type="dxa"/>
            <w:vAlign w:val="bottom"/>
            <w:gridSpan w:val="3"/>
            <w:vMerge w:val="restart"/>
          </w:tcPr>
          <w:p>
            <w:pPr>
              <w:jc w:val="right"/>
              <w:ind w:right="279"/>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Contributions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212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11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Low</w:t>
            </w:r>
          </w:p>
        </w:tc>
        <w:tc>
          <w:tcPr>
            <w:tcW w:w="11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High</w:t>
            </w:r>
          </w:p>
        </w:tc>
        <w:tc>
          <w:tcPr>
            <w:tcW w:w="180" w:type="dxa"/>
            <w:vAlign w:val="bottom"/>
          </w:tcPr>
          <w:p>
            <w:pPr>
              <w:spacing w:after="0"/>
              <w:rPr>
                <w:sz w:val="13"/>
                <w:szCs w:val="13"/>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7" w:lineRule="exact"/>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3"/>
                <w:szCs w:val="13"/>
                <w:color w:val="auto"/>
              </w:rPr>
            </w:pPr>
          </w:p>
        </w:tc>
        <w:tc>
          <w:tcPr>
            <w:tcW w:w="104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7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Multiemployer</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2019</w:t>
            </w:r>
          </w:p>
        </w:tc>
        <w:tc>
          <w:tcPr>
            <w:tcW w:w="1000" w:type="dxa"/>
            <w:vAlign w:val="bottom"/>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5,349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Company’s share repurchase programs provide for the repurchase of shares of MasTec common stock from time to time in open market transactions or in privately 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w:t>
      </w:r>
    </w:p>
    <w:p>
      <w:pPr>
        <w:spacing w:after="0" w:line="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For the year ended December 31, 2020, the Company repurchased 3.6 million shares of its common stock, substantially all of which were repurchased in the first quarter, for an aggregate purchase price totaling approximately $120.2 million. Of the total repurchased shares, 0.6 million were repurchased for $28.8 million under a $150 million share repurchase program that was established in September 2018 and completed in the first quarter of 2020, and 3.0 million were repurchased for $91.4 million under the Company’s December 2018 $100 million share repurchase program. For the year ended December 31, 2019, share repurchases, which were completed under the Company’s September 2018 $150 million share repurchase program, totaled approximately $0.6 million. During the year ended December 31, 2018, the Company repurchased approximately 7.2 million shares of its common stock for an aggregate purchase price of $319.0 million. Of the total repurchased shares, 2.9 million were repurchased for $120.6 million under the Company’s September 2018 $150 million share repurchase program, 2.0 million were repurchased for $98.4 million under a $100 million share repurchase program that was established in 2016 and completed in 2018 and 2.3 million were repurchased under the Company’s March 2018 $100 million share repurchase program, which also was completed in 2018.</w:t>
      </w:r>
    </w:p>
    <w:p>
      <w:pPr>
        <w:spacing w:after="0" w:line="76"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4"/>
          <w:szCs w:val="14"/>
          <w:color w:val="auto"/>
        </w:rPr>
        <w:t>As of December 31, 2020, $158.6 million was available for future share repurchases under all of the Company’s open share repurchase programs, which included $8.6 million under the Company’s December 2018 share repurchase program, and the full amount of the Company’s March 2020 $150 million share repurchase program.</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rollforward of activity within accumulated other comprehensive income (loss) for the periods indicated was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9"/>
              </w:rPr>
              <w:t>For the Years Ended December 31,</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3"/>
                <w:szCs w:val="13"/>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6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(10,021)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(75,706)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(65,496)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(60,494)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(63,712)</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Unrealized gains (losses), net of tax</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3"/>
              </w:rPr>
              <w:t>(17,151)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3"/>
              </w:rPr>
              <w:t>(15,738)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3"/>
              </w:rPr>
              <w:t>(15,023)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3"/>
              </w:rPr>
              <w:t>(15,212)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(27,172)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(91,444)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(65,685)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(10,021)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(75,706)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(65,496)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(60,494)</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Unrealized foreign currency translation activity, net, for the three years in the period ended December 31, 2020 relates to the Company’s operations in Canada and Mexico. For the year ended December 31, 2020, unrealized investment activity, net, includes unrealized losses on the Waha JV swaps, offset, in part, by unrealized gains on the AVCT convertible debentures. Unrealized investment activity, net, for the years ended December 31, 2019 and 2018 relates to the Waha JV swaps. See Note 4 - Fair Value of Financial Instruments for additional information pertaining to the Waha JV swaps and AVCT convertible debentures.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Note 12 – Income Taxes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51"/>
        </w:trPr>
        <w:tc>
          <w:tcPr>
            <w:tcW w:w="40" w:type="dxa"/>
            <w:vAlign w:val="bottom"/>
          </w:tcPr>
          <w:p>
            <w:pPr>
              <w:spacing w:after="0"/>
              <w:rPr>
                <w:sz w:val="24"/>
                <w:szCs w:val="24"/>
                <w:color w:val="auto"/>
              </w:rPr>
            </w:pPr>
          </w:p>
        </w:tc>
        <w:tc>
          <w:tcPr>
            <w:tcW w:w="7700" w:type="dxa"/>
            <w:vAlign w:val="bottom"/>
            <w:gridSpan w:val="2"/>
          </w:tcPr>
          <w:p>
            <w:pPr>
              <w:ind w:left="620"/>
              <w:spacing w:after="0"/>
              <w:rPr>
                <w:sz w:val="20"/>
                <w:szCs w:val="20"/>
                <w:color w:val="auto"/>
              </w:rPr>
            </w:pPr>
            <w:r>
              <w:rPr>
                <w:rFonts w:ascii="Arial" w:cs="Arial" w:eastAsia="Arial" w:hAnsi="Arial"/>
                <w:sz w:val="16"/>
                <w:szCs w:val="16"/>
                <w:color w:val="auto"/>
                <w:w w:val="98"/>
              </w:rPr>
              <w:t>The components of income before income taxes for the periods indicated were as follows (in millions):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7"/>
        </w:trPr>
        <w:tc>
          <w:tcPr>
            <w:tcW w:w="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68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2"/>
        </w:trPr>
        <w:tc>
          <w:tcPr>
            <w:tcW w:w="40" w:type="dxa"/>
            <w:vAlign w:val="bottom"/>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Domestic</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435.9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w:t>
            </w:r>
          </w:p>
        </w:tc>
      </w:tr>
      <w:tr>
        <w:trPr>
          <w:trHeight w:val="213"/>
        </w:trPr>
        <w:tc>
          <w:tcPr>
            <w:tcW w:w="40" w:type="dxa"/>
            <w:vAlign w:val="bottom"/>
          </w:tcPr>
          <w:p>
            <w:pPr>
              <w:spacing w:after="0"/>
              <w:rPr>
                <w:sz w:val="18"/>
                <w:szCs w:val="18"/>
                <w:color w:val="auto"/>
              </w:rPr>
            </w:pPr>
          </w:p>
        </w:tc>
        <w:tc>
          <w:tcPr>
            <w:tcW w:w="68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Foreign</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212"/>
        </w:trPr>
        <w:tc>
          <w:tcPr>
            <w:tcW w:w="4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425.2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r>
      <w:tr>
        <w:trPr>
          <w:trHeight w:val="406"/>
        </w:trPr>
        <w:tc>
          <w:tcPr>
            <w:tcW w:w="40" w:type="dxa"/>
            <w:vAlign w:val="bottom"/>
          </w:tcPr>
          <w:p>
            <w:pPr>
              <w:spacing w:after="0"/>
              <w:rPr>
                <w:sz w:val="24"/>
                <w:szCs w:val="24"/>
                <w:color w:val="auto"/>
              </w:rPr>
            </w:pPr>
          </w:p>
        </w:tc>
        <w:tc>
          <w:tcPr>
            <w:tcW w:w="6800" w:type="dxa"/>
            <w:vAlign w:val="bottom"/>
          </w:tcPr>
          <w:p>
            <w:pPr>
              <w:ind w:left="620"/>
              <w:spacing w:after="0"/>
              <w:rPr>
                <w:sz w:val="20"/>
                <w:szCs w:val="20"/>
                <w:color w:val="auto"/>
              </w:rPr>
            </w:pPr>
            <w:r>
              <w:rPr>
                <w:rFonts w:ascii="Arial" w:cs="Arial" w:eastAsia="Arial" w:hAnsi="Arial"/>
                <w:sz w:val="16"/>
                <w:szCs w:val="16"/>
                <w:color w:val="auto"/>
              </w:rPr>
              <w:t>The provision for income taxes for the periods indicated were as follows (in millions):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4"/>
        </w:trPr>
        <w:tc>
          <w:tcPr>
            <w:tcW w:w="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68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199"/>
        </w:trPr>
        <w:tc>
          <w:tcPr>
            <w:tcW w:w="4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6"/>
                <w:szCs w:val="16"/>
                <w:color w:val="auto"/>
              </w:rPr>
              <w:t>Federal</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18"/>
                <w:szCs w:val="18"/>
                <w:color w:val="auto"/>
              </w:rPr>
            </w:pP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460" w:type="dxa"/>
            <w:vAlign w:val="bottom"/>
          </w:tcPr>
          <w:p>
            <w:pPr>
              <w:jc w:val="right"/>
              <w:ind w:right="30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9"/>
        </w:trPr>
        <w:tc>
          <w:tcPr>
            <w:tcW w:w="40" w:type="dxa"/>
            <w:vAlign w:val="bottom"/>
          </w:tcPr>
          <w:p>
            <w:pPr>
              <w:spacing w:after="0"/>
              <w:rPr>
                <w:sz w:val="19"/>
                <w:szCs w:val="19"/>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40" w:type="dxa"/>
            <w:vAlign w:val="bottom"/>
          </w:tcPr>
          <w:p>
            <w:pPr>
              <w:spacing w:after="0"/>
              <w:rPr>
                <w:sz w:val="18"/>
                <w:szCs w:val="18"/>
                <w:color w:val="auto"/>
              </w:rPr>
            </w:pPr>
          </w:p>
        </w:tc>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State and local</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4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193"/>
        </w:trPr>
        <w:tc>
          <w:tcPr>
            <w:tcW w:w="40" w:type="dxa"/>
            <w:vAlign w:val="bottom"/>
          </w:tcPr>
          <w:p>
            <w:pPr>
              <w:spacing w:after="0"/>
              <w:rPr>
                <w:sz w:val="16"/>
                <w:szCs w:val="16"/>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Deferred:</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Federal</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3"/>
        </w:trPr>
        <w:tc>
          <w:tcPr>
            <w:tcW w:w="4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6"/>
                <w:szCs w:val="16"/>
                <w:color w:val="auto"/>
              </w:rPr>
              <w:t>Foreign</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40" w:type="dxa"/>
            <w:vAlign w:val="bottom"/>
          </w:tcPr>
          <w:p>
            <w:pPr>
              <w:spacing w:after="0"/>
              <w:rPr>
                <w:sz w:val="18"/>
                <w:szCs w:val="18"/>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 and local</w:t>
            </w: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9"/>
        </w:trPr>
        <w:tc>
          <w:tcPr>
            <w:tcW w:w="40" w:type="dxa"/>
            <w:vAlign w:val="bottom"/>
          </w:tcPr>
          <w:p>
            <w:pPr>
              <w:spacing w:after="0"/>
              <w:rPr>
                <w:sz w:val="18"/>
                <w:szCs w:val="18"/>
                <w:color w:val="auto"/>
              </w:rPr>
            </w:pPr>
          </w:p>
        </w:tc>
        <w:tc>
          <w:tcPr>
            <w:tcW w:w="68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30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r>
      <w:tr>
        <w:trPr>
          <w:trHeight w:val="209"/>
        </w:trPr>
        <w:tc>
          <w:tcPr>
            <w:tcW w:w="4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102.5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r>
      <w:tr>
        <w:trPr>
          <w:trHeight w:val="355"/>
        </w:trPr>
        <w:tc>
          <w:tcPr>
            <w:tcW w:w="40" w:type="dxa"/>
            <w:vAlign w:val="bottom"/>
          </w:tcPr>
          <w:p>
            <w:pPr>
              <w:spacing w:after="0"/>
              <w:rPr>
                <w:sz w:val="24"/>
                <w:szCs w:val="24"/>
                <w:color w:val="auto"/>
              </w:rPr>
            </w:pPr>
          </w:p>
        </w:tc>
        <w:tc>
          <w:tcPr>
            <w:tcW w:w="9800" w:type="dxa"/>
            <w:vAlign w:val="bottom"/>
            <w:gridSpan w:val="7"/>
          </w:tcPr>
          <w:p>
            <w:pPr>
              <w:ind w:left="620"/>
              <w:spacing w:after="0"/>
              <w:rPr>
                <w:sz w:val="20"/>
                <w:szCs w:val="20"/>
                <w:color w:val="auto"/>
              </w:rPr>
            </w:pPr>
            <w:r>
              <w:rPr>
                <w:rFonts w:ascii="Arial" w:cs="Arial" w:eastAsia="Arial" w:hAnsi="Arial"/>
                <w:sz w:val="16"/>
                <w:szCs w:val="16"/>
                <w:color w:val="auto"/>
                <w:w w:val="93"/>
              </w:rPr>
              <w:t>The tax effects of significant items comprising the Company’s net deferred tax liability as of the dates indicated were as follows (in millions):</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7"/>
        </w:trPr>
        <w:tc>
          <w:tcPr>
            <w:tcW w:w="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68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199"/>
        </w:trPr>
        <w:tc>
          <w:tcPr>
            <w:tcW w:w="40" w:type="dxa"/>
            <w:vAlign w:val="bottom"/>
            <w:tcBorders>
              <w:right w:val="single" w:sz="8" w:color="CCEEFF"/>
            </w:tcBorders>
          </w:tcPr>
          <w:p>
            <w:pPr>
              <w:spacing w:after="0"/>
              <w:rPr>
                <w:sz w:val="17"/>
                <w:szCs w:val="17"/>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6"/>
                <w:szCs w:val="16"/>
                <w:color w:val="auto"/>
              </w:rPr>
              <w:t>Accrued insurance</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9"/>
        </w:trPr>
        <w:tc>
          <w:tcPr>
            <w:tcW w:w="40" w:type="dxa"/>
            <w:vAlign w:val="bottom"/>
            <w:tcBorders>
              <w:right w:val="single" w:sz="8" w:color="CCEEFF"/>
            </w:tcBorders>
          </w:tcPr>
          <w:p>
            <w:pPr>
              <w:spacing w:after="0"/>
              <w:rPr>
                <w:sz w:val="19"/>
                <w:szCs w:val="19"/>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loss carryforwards and tax credits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r>
      <w:tr>
        <w:trPr>
          <w:trHeight w:val="213"/>
        </w:trPr>
        <w:tc>
          <w:tcPr>
            <w:tcW w:w="4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6"/>
                <w:szCs w:val="16"/>
                <w:color w:val="auto"/>
              </w:rPr>
              <w:t>Compensation and benefits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9"/>
        </w:trPr>
        <w:tc>
          <w:tcPr>
            <w:tcW w:w="40" w:type="dxa"/>
            <w:vAlign w:val="bottom"/>
            <w:tcBorders>
              <w:right w:val="single" w:sz="8" w:color="CCEEFF"/>
            </w:tcBorders>
          </w:tcPr>
          <w:p>
            <w:pPr>
              <w:spacing w:after="0"/>
              <w:rPr>
                <w:sz w:val="19"/>
                <w:szCs w:val="19"/>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Bad debt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4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6"/>
                <w:szCs w:val="16"/>
                <w:color w:val="auto"/>
              </w:rPr>
              <w:t>Other</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9"/>
        </w:trPr>
        <w:tc>
          <w:tcPr>
            <w:tcW w:w="40" w:type="dxa"/>
            <w:vAlign w:val="bottom"/>
            <w:tcBorders>
              <w:right w:val="single" w:sz="8" w:color="CCEEFF"/>
            </w:tcBorders>
          </w:tcPr>
          <w:p>
            <w:pPr>
              <w:spacing w:after="0"/>
              <w:rPr>
                <w:sz w:val="19"/>
                <w:szCs w:val="19"/>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Valuation allowance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r>
      <w:tr>
        <w:trPr>
          <w:trHeight w:val="206"/>
        </w:trPr>
        <w:tc>
          <w:tcPr>
            <w:tcW w:w="40" w:type="dxa"/>
            <w:vAlign w:val="bottom"/>
          </w:tcPr>
          <w:p>
            <w:pPr>
              <w:spacing w:after="0"/>
              <w:rPr>
                <w:sz w:val="17"/>
                <w:szCs w:val="17"/>
                <w:color w:val="auto"/>
              </w:rPr>
            </w:pPr>
          </w:p>
        </w:tc>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deferred tax assets</w:t>
            </w:r>
          </w:p>
        </w:tc>
        <w:tc>
          <w:tcPr>
            <w:tcW w:w="9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r>
      <w:tr>
        <w:trPr>
          <w:trHeight w:val="199"/>
        </w:trPr>
        <w:tc>
          <w:tcPr>
            <w:tcW w:w="40" w:type="dxa"/>
            <w:vAlign w:val="bottom"/>
            <w:tcBorders>
              <w:right w:val="single" w:sz="8" w:color="CCEEFF"/>
            </w:tcBorders>
          </w:tcPr>
          <w:p>
            <w:pPr>
              <w:spacing w:after="0"/>
              <w:rPr>
                <w:sz w:val="17"/>
                <w:szCs w:val="17"/>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205.0</w:t>
            </w:r>
          </w:p>
        </w:tc>
        <w:tc>
          <w:tcPr>
            <w:tcW w:w="120" w:type="dxa"/>
            <w:vAlign w:val="bottom"/>
          </w:tcPr>
          <w:p>
            <w:pPr>
              <w:spacing w:after="0"/>
              <w:rPr>
                <w:sz w:val="18"/>
                <w:szCs w:val="18"/>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179.5</w:t>
            </w:r>
          </w:p>
        </w:tc>
      </w:tr>
      <w:tr>
        <w:trPr>
          <w:trHeight w:val="219"/>
        </w:trPr>
        <w:tc>
          <w:tcPr>
            <w:tcW w:w="40" w:type="dxa"/>
            <w:vAlign w:val="bottom"/>
            <w:tcBorders>
              <w:right w:val="single" w:sz="8" w:color="CCEEFF"/>
            </w:tcBorders>
          </w:tcPr>
          <w:p>
            <w:pPr>
              <w:spacing w:after="0"/>
              <w:rPr>
                <w:sz w:val="19"/>
                <w:szCs w:val="19"/>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213"/>
        </w:trPr>
        <w:tc>
          <w:tcPr>
            <w:tcW w:w="4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6"/>
                <w:szCs w:val="16"/>
                <w:color w:val="auto"/>
              </w:rPr>
              <w:t>Other intangible assets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40" w:type="dxa"/>
            <w:vAlign w:val="bottom"/>
            <w:tcBorders>
              <w:right w:val="single" w:sz="8" w:color="CCEEFF"/>
            </w:tcBorders>
          </w:tcPr>
          <w:p>
            <w:pPr>
              <w:spacing w:after="0"/>
              <w:rPr>
                <w:sz w:val="19"/>
                <w:szCs w:val="19"/>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remeasurement of equity investee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4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6"/>
                <w:szCs w:val="16"/>
                <w:color w:val="auto"/>
              </w:rPr>
              <w:t>Revenue recognition</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9"/>
        </w:trPr>
        <w:tc>
          <w:tcPr>
            <w:tcW w:w="40" w:type="dxa"/>
            <w:vAlign w:val="bottom"/>
            <w:tcBorders>
              <w:right w:val="single" w:sz="8" w:color="CCEEFF"/>
            </w:tcBorders>
          </w:tcPr>
          <w:p>
            <w:pPr>
              <w:spacing w:after="0"/>
              <w:rPr>
                <w:sz w:val="19"/>
                <w:szCs w:val="19"/>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Investments in unconsolidated entities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r>
      <w:tr>
        <w:trPr>
          <w:trHeight w:val="213"/>
        </w:trPr>
        <w:tc>
          <w:tcPr>
            <w:tcW w:w="40" w:type="dxa"/>
            <w:vAlign w:val="bottom"/>
          </w:tcPr>
          <w:p>
            <w:pPr>
              <w:spacing w:after="0"/>
              <w:rPr>
                <w:sz w:val="18"/>
                <w:szCs w:val="18"/>
                <w:color w:val="auto"/>
              </w:rPr>
            </w:pPr>
          </w:p>
        </w:tc>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13"/>
        </w:trPr>
        <w:tc>
          <w:tcPr>
            <w:tcW w:w="40" w:type="dxa"/>
            <w:vAlign w:val="bottom"/>
            <w:tcBorders>
              <w:right w:val="single" w:sz="8" w:color="CCEEFF"/>
            </w:tcBorders>
          </w:tcPr>
          <w:p>
            <w:pPr>
              <w:spacing w:after="0"/>
              <w:rPr>
                <w:sz w:val="18"/>
                <w:szCs w:val="18"/>
                <w:color w:val="auto"/>
              </w:rPr>
            </w:pPr>
          </w:p>
        </w:tc>
        <w:tc>
          <w:tcPr>
            <w:tcW w:w="6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deferred tax liabilities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375.8</w:t>
            </w:r>
          </w:p>
        </w:tc>
      </w:tr>
      <w:tr>
        <w:trPr>
          <w:trHeight w:val="207"/>
        </w:trPr>
        <w:tc>
          <w:tcPr>
            <w:tcW w:w="4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Net deferred tax liabilities</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(302.9)</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w:t>
            </w:r>
          </w:p>
        </w:tc>
      </w:tr>
    </w:tbl>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assessing the ability to realize the Company’s deferred tax assets, management considers whether it is more likely than not that some portion, or all, of its deferred tax assets will not be realized. The ultimate realization of deferred tax assets is dependent upon the generation of future taxable income during the periods in which these temporary differences become deductible. Management considers the Company’s projected future taxable income and prudent and feasible tax planning strategies in making this assessment. The Company’s valuation allowances as of December 31, 2020 and 2019 are related primarily to foreign net operating losses and deferred tax assets.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6" w:name="page77"/>
    <w:bookmarkEnd w:id="76"/>
    <w:p>
      <w:pPr>
        <w:jc w:val="both"/>
        <w:ind w:firstLine="648"/>
        <w:spacing w:after="0" w:line="252" w:lineRule="auto"/>
        <w:rPr>
          <w:sz w:val="20"/>
          <w:szCs w:val="20"/>
          <w:color w:val="auto"/>
        </w:rPr>
      </w:pPr>
      <w:r>
        <w:rPr>
          <w:rFonts w:ascii="Arial" w:cs="Arial" w:eastAsia="Arial" w:hAnsi="Arial"/>
          <w:sz w:val="16"/>
          <w:szCs w:val="16"/>
          <w:color w:val="auto"/>
        </w:rPr>
        <w:t>The Company’s deferred tax assets for its state net operating loss carryforwards, which may be carried forward from 5 years to indefinitely depending on the jurisdiction, totaled approximately $15.7 million and $11.5 million as of December 31, 2020 and 2019, respectively. The Company’s deferred tax assets for its foreign net operating loss carryforwards, which are primarily related to the Company’s Canadian operations, totaled approximately $66.0 million and $57.4 million as of December 31, 2020 and 2019, respectively. The Canadian net operating loss carryforwards, which make up the majority of the foreign net operating loss carryforwards, begin to expire in 2030. The Company’s deferred tax assets for its federal net operating loss carryforwards, which begin to expire in 2022, totaled $0.1 million as of both December 31, 2020 and 2019.</w:t>
      </w:r>
    </w:p>
    <w:p>
      <w:pPr>
        <w:spacing w:after="0" w:line="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2017 Tax Act included broad tax reform that was applicable to the Company. The Company recognized a net tax benefit of approximately $16.4 million for the year ended December 31, 2018 related to revisions of its initial estimates under the 2017 Tax Act, primarily from finalization of its 2017 tax return, as well as from certain tax accounting method changes and other adjustments. However, since many provisions of the 2017 Tax Act still do not have final guidance issued, it may be necessary for the Company to make future adjustments based on such new guidance.</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is generally free of additional U.S. federal tax consequences on distributed foreign subsidiary earnings due to a dividends received deduction implemented as part of the move to a territorial tax system in connection with the 2017 Tax Act. The Company has generally not made a provision for income taxes on unremitted foreign earnings because such earnings are insignificant and are intended to be indefinitely reinvested outside the United States. The Company expects that domestic cash resources will be sufficient to fund its domestic operations and cash commitments in the future.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U.S. statutory federal income tax rate related to pretax income to the effective tax rate for the periods indicated is as follows:</w:t>
      </w:r>
    </w:p>
    <w:p>
      <w:pPr>
        <w:spacing w:after="0" w:line="190"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For the Years Ended December 31,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3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212"/>
        </w:trPr>
        <w:tc>
          <w:tcPr>
            <w:tcW w:w="7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U.S. statutory federal rate applied to pretax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340" w:type="dxa"/>
            <w:vAlign w:val="bottom"/>
            <w:gridSpan w:val="2"/>
          </w:tcPr>
          <w:p>
            <w:pPr>
              <w:ind w:left="40"/>
              <w:spacing w:after="0"/>
              <w:rPr>
                <w:sz w:val="20"/>
                <w:szCs w:val="20"/>
                <w:color w:val="auto"/>
              </w:rPr>
            </w:pPr>
            <w:r>
              <w:rPr>
                <w:rFonts w:ascii="Arial" w:cs="Arial" w:eastAsia="Arial" w:hAnsi="Arial"/>
                <w:sz w:val="16"/>
                <w:szCs w:val="16"/>
                <w:color w:val="auto"/>
              </w:rPr>
              <w:t>State and local income taxes, net of federal benefit</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4.2</w:t>
            </w:r>
          </w:p>
        </w:tc>
      </w:tr>
      <w:tr>
        <w:trPr>
          <w:trHeight w:val="219"/>
        </w:trPr>
        <w:tc>
          <w:tcPr>
            <w:tcW w:w="7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tax rate differential</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r>
      <w:tr>
        <w:trPr>
          <w:trHeight w:val="213"/>
        </w:trPr>
        <w:tc>
          <w:tcPr>
            <w:tcW w:w="7340" w:type="dxa"/>
            <w:vAlign w:val="bottom"/>
            <w:gridSpan w:val="2"/>
          </w:tcPr>
          <w:p>
            <w:pPr>
              <w:ind w:left="40"/>
              <w:spacing w:after="0"/>
              <w:rPr>
                <w:sz w:val="20"/>
                <w:szCs w:val="20"/>
                <w:color w:val="auto"/>
              </w:rPr>
            </w:pPr>
            <w:r>
              <w:rPr>
                <w:rFonts w:ascii="Arial" w:cs="Arial" w:eastAsia="Arial" w:hAnsi="Arial"/>
                <w:sz w:val="16"/>
                <w:szCs w:val="16"/>
                <w:color w:val="auto"/>
              </w:rPr>
              <w:t>Non-deductible expenses</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1.7</w:t>
            </w:r>
          </w:p>
        </w:tc>
      </w:tr>
      <w:tr>
        <w:trPr>
          <w:trHeight w:val="219"/>
        </w:trPr>
        <w:tc>
          <w:tcPr>
            <w:tcW w:w="7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 and intangible assets</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r>
      <w:tr>
        <w:trPr>
          <w:trHeight w:val="213"/>
        </w:trPr>
        <w:tc>
          <w:tcPr>
            <w:tcW w:w="7340" w:type="dxa"/>
            <w:vAlign w:val="bottom"/>
            <w:gridSpan w:val="2"/>
          </w:tcPr>
          <w:p>
            <w:pPr>
              <w:ind w:left="40"/>
              <w:spacing w:after="0"/>
              <w:rPr>
                <w:sz w:val="20"/>
                <w:szCs w:val="20"/>
                <w:color w:val="auto"/>
              </w:rPr>
            </w:pPr>
            <w:r>
              <w:rPr>
                <w:rFonts w:ascii="Arial" w:cs="Arial" w:eastAsia="Arial" w:hAnsi="Arial"/>
                <w:sz w:val="16"/>
                <w:szCs w:val="16"/>
                <w:color w:val="auto"/>
              </w:rPr>
              <w:t>Change in tax rate</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(2.8)</w:t>
            </w:r>
          </w:p>
        </w:tc>
      </w:tr>
      <w:tr>
        <w:trPr>
          <w:trHeight w:val="219"/>
        </w:trPr>
        <w:tc>
          <w:tcPr>
            <w:tcW w:w="7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r>
      <w:tr>
        <w:trPr>
          <w:trHeight w:val="213"/>
        </w:trPr>
        <w:tc>
          <w:tcPr>
            <w:tcW w:w="7340" w:type="dxa"/>
            <w:vAlign w:val="bottom"/>
            <w:gridSpan w:val="2"/>
          </w:tcPr>
          <w:p>
            <w:pPr>
              <w:ind w:left="40"/>
              <w:spacing w:after="0"/>
              <w:rPr>
                <w:sz w:val="20"/>
                <w:szCs w:val="20"/>
                <w:color w:val="auto"/>
              </w:rPr>
            </w:pPr>
            <w:r>
              <w:rPr>
                <w:rFonts w:ascii="Arial" w:cs="Arial" w:eastAsia="Arial" w:hAnsi="Arial"/>
                <w:sz w:val="16"/>
                <w:szCs w:val="16"/>
                <w:color w:val="auto"/>
              </w:rPr>
              <w:t>Tax credits</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(0.4)</w:t>
            </w:r>
          </w:p>
        </w:tc>
      </w:tr>
      <w:tr>
        <w:trPr>
          <w:trHeight w:val="219"/>
        </w:trPr>
        <w:tc>
          <w:tcPr>
            <w:tcW w:w="7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 basis adjustment</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w:t>
            </w:r>
          </w:p>
        </w:tc>
      </w:tr>
      <w:tr>
        <w:trPr>
          <w:trHeight w:val="213"/>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Valuation allowance for deferred tax assets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w:t>
            </w:r>
          </w:p>
        </w:tc>
      </w:tr>
      <w:tr>
        <w:trPr>
          <w:trHeight w:val="210"/>
        </w:trPr>
        <w:tc>
          <w:tcPr>
            <w:tcW w:w="6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Effective income tax rate</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22.9 %</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29.0 %</w:t>
            </w:r>
          </w:p>
        </w:tc>
      </w:tr>
    </w:tbl>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beginning and ending amount of uncertain tax positions including interest and penalties is as follows (in millions):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w w:val="94"/>
              </w:rPr>
              <w:t>For the Years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12"/>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Additions based on tax positions related to the current year</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Additions for tax positions of prior years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Reductions for tax positions of prior years</w:t>
            </w:r>
          </w:p>
        </w:tc>
        <w:tc>
          <w:tcPr>
            <w:tcW w:w="9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bl>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classifies interest and penalties on uncertain tax positions as a component of income tax expense in the consolidated statements of operations. For the years ended December 31, 2020, 2019 and 2018, income tax expense included interest and penalties related to uncertain tax positions of $1.4 million, $0.5 million and $0.7 million, respectively. Accrued interest and penalties related to uncertain tax positions were $2.6 million and $1.3 million as of December 31, 2020 and 2019, respectively. The effect on the Company’s tax rate if it were to recognize its gross unrecognized tax benefits as of December 31, 2020 approximates $18.4 million, including interest and penalties.</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IRS is examining the Company’s 2016 and 2017 federal income tax returns. Certain foreign and state taxing authorities are examining various years. The final outcome of these examinations is not yet determinable. With few exceptions, as of December 31, 2020, the Company is no longer subject to state examinations by taxing authorities for years before 2017.</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manages its operations under five operating segments, which represent its five reportable segments: (1) Communications; (2)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7" w:name="page78"/>
    <w:bookmarkEnd w:id="77"/>
    <w:p>
      <w:pPr>
        <w:jc w:val="both"/>
        <w:spacing w:after="0" w:line="261" w:lineRule="auto"/>
        <w:rPr>
          <w:sz w:val="20"/>
          <w:szCs w:val="20"/>
          <w:color w:val="auto"/>
        </w:rPr>
      </w:pPr>
      <w:r>
        <w:rPr>
          <w:rFonts w:ascii="Arial" w:cs="Arial" w:eastAsia="Arial" w:hAnsi="Arial"/>
          <w:sz w:val="16"/>
          <w:szCs w:val="16"/>
          <w:color w:val="auto"/>
        </w:rPr>
        <w:t>Clean Energy and Infrastructure; (3) Oil and Gas; (4) Electrical Transmission and (5) Other. This structure is generally focused on broad end-user markets for the Company’s labor-based construction services. All five reportable segments derive their revenue from the engineering, installation and maintenance of infrastructure, primarily in North America.</w:t>
      </w:r>
    </w:p>
    <w:p>
      <w:pPr>
        <w:spacing w:after="0" w:line="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and other end-markets through the installation and construction of power generation facilities, including from clean energy and renewable sources, such as wind, solar and biomass, as well as various types of heavy civil and industrial infrastructure. The Company performs engineering, construction and maintenance services for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Other segment includes certain equity investees, the services of which vary from those provided by the Company’s primary segments, as well as other small business units that perform construction and other services for a variety of international end-markets.</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accounting policies of the reportable segments are the same as those described in Note 1 - Business, Basis of Presentation and Significant Accounting Policies. Intercompany revenue and costs among the reportable segments are de minimis and accounted for as if the sales were to third parties because these items are based on negotiated fees between the segments involved. All intercompany transactions and balances are eliminated in consolidation. Intercompany revenue and costs between entities within a reportable segment are eliminated to arrive at segment totals. Eliminations between segments are separately presented. Corporate results include amounts related to corporate functions such as administrative costs, professional fees, acquisition-related transaction costs (exclusive of acquisition integration costs, which are included within the segment results of the acquired businesses), and other discrete items, such as goodwill and/or intangible asset impairment</w:t>
      </w:r>
      <w:r>
        <w:rPr>
          <w:rFonts w:ascii="Arial" w:cs="Arial" w:eastAsia="Arial" w:hAnsi="Arial"/>
          <w:sz w:val="16"/>
          <w:szCs w:val="16"/>
          <w:color w:val="auto"/>
        </w:rPr>
        <w:t>.</w:t>
      </w:r>
      <w:r>
        <w:rPr>
          <w:rFonts w:ascii="Arial" w:cs="Arial" w:eastAsia="Arial" w:hAnsi="Arial"/>
          <w:sz w:val="15"/>
          <w:szCs w:val="15"/>
          <w:color w:val="auto"/>
        </w:rPr>
        <w:t xml:space="preserve"> Segment results include certain allocations of centralized costs such as general liability, medical and workers’ compensation insurance and certain information technology costs. Income tax expense, which is recorded within corporate results, is managed on a consolidated basis and is not allocated to the reportable segments.</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2"/>
        </w:trPr>
        <w:tc>
          <w:tcPr>
            <w:tcW w:w="68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2,556.8</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665.0</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3,288.7</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Electrical Transmission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397.3</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6,321.0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7,183.2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6,909.4</w:t>
            </w:r>
          </w:p>
        </w:tc>
      </w:tr>
    </w:tbl>
    <w:p>
      <w:pPr>
        <w:spacing w:after="0" w:line="184" w:lineRule="exact"/>
        <w:rPr>
          <w:sz w:val="20"/>
          <w:szCs w:val="20"/>
          <w:color w:val="auto"/>
        </w:rPr>
      </w:pPr>
    </w:p>
    <w:p>
      <w:pPr>
        <w:ind w:left="340" w:hanging="332"/>
        <w:spacing w:after="0" w:line="273" w:lineRule="auto"/>
        <w:tabs>
          <w:tab w:leader="none" w:pos="368"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15.6%, 15.0% and 14.9% of Communications segment revenue for the years ended December 31, 2020, 2019 and 2018,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EBITDA:</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Electrical Transmission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r>
      <w:tr>
        <w:trPr>
          <w:trHeight w:val="210"/>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660.8</w:t>
            </w:r>
          </w:p>
        </w:tc>
      </w:tr>
    </w:tbl>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December 31, 2020, Corporate EBITDA included $5.6 million of debt extinguishment losses. For the year ended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8" w:name="page79"/>
    <w:bookmarkEnd w:id="78"/>
    <w:p>
      <w:pPr>
        <w:jc w:val="both"/>
        <w:spacing w:after="0" w:line="267" w:lineRule="auto"/>
        <w:rPr>
          <w:sz w:val="20"/>
          <w:szCs w:val="20"/>
          <w:color w:val="auto"/>
        </w:rPr>
      </w:pPr>
      <w:r>
        <w:rPr>
          <w:rFonts w:ascii="Arial" w:cs="Arial" w:eastAsia="Arial" w:hAnsi="Arial"/>
          <w:sz w:val="15"/>
          <w:szCs w:val="15"/>
          <w:color w:val="auto"/>
        </w:rPr>
        <w:t>December 31, 2019, Corporate EBITDA included $3.3 million of indefinite-lived pre-qualification intangible asset impairment charges. For the year ended December 31, 2018, Corporate EBITDA included $47.7 million of goodwill impairment charges and Other segment EBITDA included project gains of $1.0 million from a proportionately consolidated non-controlled Canadian joint venture, which is managed by a third party and for which the Company has minimal direct construction involvement.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Electrical Transmission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0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depreciation and amortization</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212.9</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6"/>
              </w:rPr>
              <w:t>As of December 31,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1,461.7</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358.7</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1,965.3</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Electrical Transmission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423.9</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r>
      <w:tr>
        <w:trPr>
          <w:trHeight w:val="20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segment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5,227.8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4,440.0</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Electrical Transmission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10"/>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capital expenditures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EBITDA Reconciliation: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Plus: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192.3</w:t>
            </w: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06"/>
        </w:trPr>
        <w:tc>
          <w:tcPr>
            <w:tcW w:w="6820" w:type="dxa"/>
            <w:vAlign w:val="bottom"/>
          </w:tcPr>
          <w:p>
            <w:pPr>
              <w:ind w:left="20"/>
              <w:spacing w:after="0"/>
              <w:rPr>
                <w:sz w:val="20"/>
                <w:szCs w:val="20"/>
                <w:color w:val="auto"/>
              </w:rPr>
            </w:pPr>
            <w:r>
              <w:rPr>
                <w:rFonts w:ascii="Arial" w:cs="Arial" w:eastAsia="Arial" w:hAnsi="Arial"/>
                <w:sz w:val="16"/>
                <w:szCs w:val="16"/>
                <w:color w:val="auto"/>
              </w:rPr>
              <w:t>Consolidated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660.8</w:t>
            </w:r>
          </w:p>
        </w:tc>
      </w:tr>
    </w:tbl>
    <w:p>
      <w:pPr>
        <w:spacing w:after="0" w:line="14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b w:val="1"/>
          <w:bCs w:val="1"/>
          <w:color w:val="auto"/>
        </w:rPr>
        <w:t xml:space="preserve">Foreign Operations and Other. </w:t>
      </w:r>
      <w:r>
        <w:rPr>
          <w:rFonts w:ascii="Arial" w:cs="Arial" w:eastAsia="Arial" w:hAnsi="Arial"/>
          <w:sz w:val="15"/>
          <w:szCs w:val="15"/>
          <w:color w:val="auto"/>
        </w:rPr>
        <w:t>MasTec operates in North America, primarily in the United States and Canada, and, to a lesser extent, in Mexico and the Caribbean.</w:t>
      </w:r>
      <w:r>
        <w:rPr>
          <w:rFonts w:ascii="Arial" w:cs="Arial" w:eastAsia="Arial" w:hAnsi="Arial"/>
          <w:sz w:val="15"/>
          <w:szCs w:val="15"/>
          <w:b w:val="1"/>
          <w:bCs w:val="1"/>
          <w:color w:val="auto"/>
        </w:rPr>
        <w:t xml:space="preserve"> </w:t>
      </w:r>
      <w:r>
        <w:rPr>
          <w:rFonts w:ascii="Arial" w:cs="Arial" w:eastAsia="Arial" w:hAnsi="Arial"/>
          <w:sz w:val="15"/>
          <w:szCs w:val="15"/>
          <w:color w:val="auto"/>
        </w:rPr>
        <w:t>Revenue derived from U.S. operations totaled $6.2 billion, $6.9 billion and $6.7 billion for the years ended December 31, 2020, 2019 and 2018, respectively. Revenue derived from foreign operations totaled $133.1 million, $233.5 million and $164.3 million for the years ended December 31, 2020, 2019 and 2018, respectively, the majority of which was derived from the Company’s Canadian operations in its Oil and Gas segment, and, to a lesser extent, from the Company’s operations in Mexico. Long-lived assets held in the U.S. included property and equipment, net, of $959.5 million, $874.7 million and $707.4 million as of December 31, 2020, 2019 and 2018, respectively, and, for the Company’s businesses in foreign countries, totaled $22.8 million, $31.1 million and $40.4 million, respectively. Intangible assets and goodwill, net, related to the Company’s U.S. operations totaled approximately $1.4 billion as of both December 31, 2020 and 2019 and totaled $1.2 billion as of December 31, 2018. For the Company’s businesses in foreign countries, intangible assets and goodwill, net, totaled approximately $50.5 million, $56.4 million and $61.5 million, as of December 31, 2020, 2019 and 2018, respectively. The majority of the Company’s long-lived and intangible assets and goodwill in foreign countries relate to its Canadian operations. As of December 31, 2020, 2019 and 2018, amounts due from customers from which foreign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9" w:name="page80"/>
    <w:bookmarkEnd w:id="79"/>
    <w:p>
      <w:pPr>
        <w:jc w:val="both"/>
        <w:spacing w:after="0" w:line="286" w:lineRule="auto"/>
        <w:rPr>
          <w:sz w:val="20"/>
          <w:szCs w:val="20"/>
          <w:color w:val="auto"/>
        </w:rPr>
      </w:pPr>
      <w:r>
        <w:rPr>
          <w:rFonts w:ascii="Arial" w:cs="Arial" w:eastAsia="Arial" w:hAnsi="Arial"/>
          <w:sz w:val="15"/>
          <w:szCs w:val="15"/>
          <w:color w:val="auto"/>
        </w:rPr>
        <w:t>revenue was derived accounted for approximately 5% of the Company’s consolidated net accounts receivable position for each year, which represents accounts receivable, net, less deferred revenue. Revenue from governmental entities for the year ended December 31, 2020 totaled approximately 2%, and for each of the years ended December 31, 2019 and 2018, was less than 1% of total revenue, substantially all of which was derived from the Company’s U.S. operations.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Significant Customers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concentration information for significant customers as a percentage of total consolidated revenue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3"/>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07"/>
        </w:trPr>
        <w:tc>
          <w:tcPr>
            <w:tcW w:w="6820" w:type="dxa"/>
            <w:vAlign w:val="bottom"/>
          </w:tcPr>
          <w:p>
            <w:pPr>
              <w:spacing w:after="0"/>
              <w:rPr>
                <w:sz w:val="17"/>
                <w:szCs w:val="17"/>
                <w:color w:val="auto"/>
              </w:rPr>
            </w:pPr>
          </w:p>
        </w:tc>
        <w:tc>
          <w:tcPr>
            <w:tcW w:w="920" w:type="dxa"/>
            <w:vAlign w:val="bottom"/>
          </w:tcPr>
          <w:p>
            <w:pPr>
              <w:jc w:val="center"/>
              <w:ind w:left="359"/>
              <w:spacing w:after="0"/>
              <w:rPr>
                <w:sz w:val="20"/>
                <w:szCs w:val="20"/>
                <w:color w:val="auto"/>
              </w:rPr>
            </w:pPr>
            <w:r>
              <w:rPr>
                <w:rFonts w:ascii="Arial" w:cs="Arial" w:eastAsia="Arial" w:hAnsi="Arial"/>
                <w:sz w:val="16"/>
                <w:szCs w:val="16"/>
                <w:b w:val="1"/>
                <w:bCs w:val="1"/>
                <w:color w:val="auto"/>
                <w:w w:val="89"/>
              </w:rPr>
              <w:t>2020</w:t>
            </w:r>
          </w:p>
        </w:tc>
        <w:tc>
          <w:tcPr>
            <w:tcW w:w="196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center"/>
              <w:ind w:right="399"/>
              <w:spacing w:after="0"/>
              <w:rPr>
                <w:sz w:val="20"/>
                <w:szCs w:val="20"/>
                <w:color w:val="auto"/>
              </w:rPr>
            </w:pPr>
            <w:r>
              <w:rPr>
                <w:rFonts w:ascii="Arial" w:cs="Arial" w:eastAsia="Arial" w:hAnsi="Arial"/>
                <w:sz w:val="16"/>
                <w:szCs w:val="16"/>
                <w:b w:val="1"/>
                <w:bCs w:val="1"/>
                <w:color w:val="auto"/>
                <w:w w:val="89"/>
              </w:rPr>
              <w:t>2018</w:t>
            </w:r>
          </w:p>
        </w:tc>
      </w:tr>
      <w:tr>
        <w:trPr>
          <w:trHeight w:val="199"/>
        </w:trPr>
        <w:tc>
          <w:tcPr>
            <w:tcW w:w="6820" w:type="dxa"/>
            <w:vAlign w:val="bottom"/>
          </w:tcPr>
          <w:p>
            <w:pPr>
              <w:ind w:left="60"/>
              <w:spacing w:after="0"/>
              <w:rPr>
                <w:sz w:val="20"/>
                <w:szCs w:val="20"/>
                <w:color w:val="auto"/>
              </w:rPr>
            </w:pPr>
            <w:r>
              <w:rPr>
                <w:rFonts w:ascii="Arial" w:cs="Arial" w:eastAsia="Arial" w:hAnsi="Arial"/>
                <w:sz w:val="16"/>
                <w:szCs w:val="16"/>
                <w:b w:val="1"/>
                <w:bCs w:val="1"/>
                <w:color w:val="auto"/>
              </w:rPr>
              <w:t>Customer:</w:t>
            </w:r>
          </w:p>
        </w:tc>
        <w:tc>
          <w:tcPr>
            <w:tcW w:w="9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9"/>
        </w:trPr>
        <w:tc>
          <w:tcPr>
            <w:tcW w:w="68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AT&amp;T (including DIRECTV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(a)</w:t>
            </w:r>
          </w:p>
        </w:tc>
        <w:tc>
          <w:tcPr>
            <w:tcW w:w="9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3"/>
              </w:rPr>
              <w:t>18%</w:t>
            </w:r>
          </w:p>
        </w:tc>
        <w:tc>
          <w:tcPr>
            <w:tcW w:w="1960" w:type="dxa"/>
            <w:vAlign w:val="bottom"/>
            <w:gridSpan w:val="3"/>
            <w:shd w:val="clear" w:color="auto" w:fill="CCEEFF"/>
          </w:tcPr>
          <w:p>
            <w:pPr>
              <w:jc w:val="center"/>
              <w:ind w:left="499"/>
              <w:spacing w:after="0"/>
              <w:rPr>
                <w:sz w:val="20"/>
                <w:szCs w:val="20"/>
                <w:color w:val="auto"/>
              </w:rPr>
            </w:pPr>
            <w:r>
              <w:rPr>
                <w:rFonts w:ascii="Arial" w:cs="Arial" w:eastAsia="Arial" w:hAnsi="Arial"/>
                <w:sz w:val="16"/>
                <w:szCs w:val="16"/>
                <w:color w:val="auto"/>
                <w:w w:val="93"/>
              </w:rPr>
              <w:t>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379"/>
              <w:spacing w:after="0"/>
              <w:rPr>
                <w:sz w:val="20"/>
                <w:szCs w:val="20"/>
                <w:color w:val="auto"/>
              </w:rPr>
            </w:pPr>
            <w:r>
              <w:rPr>
                <w:rFonts w:ascii="Arial" w:cs="Arial" w:eastAsia="Arial" w:hAnsi="Arial"/>
                <w:sz w:val="16"/>
                <w:szCs w:val="16"/>
                <w:color w:val="auto"/>
                <w:w w:val="93"/>
              </w:rPr>
              <w:t>23%</w:t>
            </w:r>
          </w:p>
        </w:tc>
      </w:tr>
      <w:tr>
        <w:trPr>
          <w:trHeight w:val="216"/>
        </w:trPr>
        <w:tc>
          <w:tcPr>
            <w:tcW w:w="68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Energy Transfer affiliates </w:t>
            </w:r>
            <w:r>
              <w:rPr>
                <w:rFonts w:ascii="Arial" w:cs="Arial" w:eastAsia="Arial" w:hAnsi="Arial"/>
                <w:sz w:val="21"/>
                <w:szCs w:val="21"/>
                <w:color w:val="auto"/>
                <w:vertAlign w:val="superscript"/>
              </w:rPr>
              <w:t>(b)</w:t>
            </w:r>
          </w:p>
        </w:tc>
        <w:tc>
          <w:tcPr>
            <w:tcW w:w="920" w:type="dxa"/>
            <w:vAlign w:val="bottom"/>
          </w:tcPr>
          <w:p>
            <w:pPr>
              <w:jc w:val="center"/>
              <w:ind w:left="379"/>
              <w:spacing w:after="0"/>
              <w:rPr>
                <w:sz w:val="20"/>
                <w:szCs w:val="20"/>
                <w:color w:val="auto"/>
              </w:rPr>
            </w:pPr>
            <w:r>
              <w:rPr>
                <w:rFonts w:ascii="Arial" w:cs="Arial" w:eastAsia="Arial" w:hAnsi="Arial"/>
                <w:sz w:val="16"/>
                <w:szCs w:val="16"/>
                <w:color w:val="auto"/>
                <w:w w:val="94"/>
              </w:rPr>
              <w:t>5%</w:t>
            </w:r>
          </w:p>
        </w:tc>
        <w:tc>
          <w:tcPr>
            <w:tcW w:w="1960" w:type="dxa"/>
            <w:vAlign w:val="bottom"/>
            <w:gridSpan w:val="3"/>
          </w:tcPr>
          <w:p>
            <w:pPr>
              <w:jc w:val="center"/>
              <w:ind w:left="499"/>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center"/>
              <w:ind w:right="379"/>
              <w:spacing w:after="0"/>
              <w:rPr>
                <w:sz w:val="20"/>
                <w:szCs w:val="20"/>
                <w:color w:val="auto"/>
              </w:rPr>
            </w:pPr>
            <w:r>
              <w:rPr>
                <w:rFonts w:ascii="Arial" w:cs="Arial" w:eastAsia="Arial" w:hAnsi="Arial"/>
                <w:sz w:val="16"/>
                <w:szCs w:val="16"/>
                <w:color w:val="auto"/>
                <w:w w:val="93"/>
              </w:rPr>
              <w:t>14%</w:t>
            </w:r>
          </w:p>
        </w:tc>
      </w:tr>
      <w:tr>
        <w:trPr>
          <w:trHeight w:val="216"/>
        </w:trPr>
        <w:tc>
          <w:tcPr>
            <w:tcW w:w="6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Equitrans Midstream Corporation </w:t>
            </w:r>
            <w:r>
              <w:rPr>
                <w:rFonts w:ascii="Arial" w:cs="Arial" w:eastAsia="Arial" w:hAnsi="Arial"/>
                <w:sz w:val="21"/>
                <w:szCs w:val="21"/>
                <w:color w:val="auto"/>
                <w:vertAlign w:val="superscript"/>
              </w:rPr>
              <w:t>(c)</w:t>
            </w:r>
          </w:p>
        </w:tc>
        <w:tc>
          <w:tcPr>
            <w:tcW w:w="9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4"/>
              </w:rPr>
              <w:t>3%</w:t>
            </w:r>
          </w:p>
        </w:tc>
        <w:tc>
          <w:tcPr>
            <w:tcW w:w="1960" w:type="dxa"/>
            <w:vAlign w:val="bottom"/>
            <w:gridSpan w:val="3"/>
            <w:shd w:val="clear" w:color="auto" w:fill="CCEEFF"/>
          </w:tcPr>
          <w:p>
            <w:pPr>
              <w:jc w:val="center"/>
              <w:ind w:left="499"/>
              <w:spacing w:after="0"/>
              <w:rPr>
                <w:sz w:val="20"/>
                <w:szCs w:val="20"/>
                <w:color w:val="auto"/>
              </w:rPr>
            </w:pPr>
            <w:r>
              <w:rPr>
                <w:rFonts w:ascii="Arial" w:cs="Arial" w:eastAsia="Arial" w:hAnsi="Arial"/>
                <w:sz w:val="16"/>
                <w:szCs w:val="16"/>
                <w:color w:val="auto"/>
                <w:w w:val="93"/>
              </w:rPr>
              <w:t>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79"/>
              <w:spacing w:after="0"/>
              <w:rPr>
                <w:sz w:val="20"/>
                <w:szCs w:val="20"/>
                <w:color w:val="auto"/>
              </w:rPr>
            </w:pPr>
            <w:r>
              <w:rPr>
                <w:rFonts w:ascii="Arial" w:cs="Arial" w:eastAsia="Arial" w:hAnsi="Arial"/>
                <w:sz w:val="16"/>
                <w:szCs w:val="16"/>
                <w:color w:val="auto"/>
                <w:w w:val="93"/>
              </w:rPr>
              <w:t>20%</w:t>
            </w:r>
          </w:p>
        </w:tc>
      </w:tr>
    </w:tbl>
    <w:p>
      <w:pPr>
        <w:spacing w:after="0" w:line="116" w:lineRule="exact"/>
        <w:rPr>
          <w:sz w:val="20"/>
          <w:szCs w:val="20"/>
          <w:color w:val="auto"/>
        </w:rPr>
      </w:pPr>
    </w:p>
    <w:p>
      <w:pPr>
        <w:jc w:val="both"/>
        <w:ind w:left="340" w:hanging="332"/>
        <w:spacing w:after="0" w:line="215" w:lineRule="auto"/>
        <w:tabs>
          <w:tab w:leader="none" w:pos="394"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(ii) wireline/fiber; and (iii) various install-to-the-home businesses, including DIRECTV</w:t>
      </w:r>
      <w:r>
        <w:rPr>
          <w:rFonts w:ascii="Arial" w:cs="Arial" w:eastAsia="Arial" w:hAnsi="Arial"/>
          <w:sz w:val="21"/>
          <w:szCs w:val="21"/>
          <w:color w:val="auto"/>
          <w:vertAlign w:val="superscript"/>
        </w:rPr>
        <w:t>®</w:t>
      </w:r>
      <w:r>
        <w:rPr>
          <w:rFonts w:ascii="Arial" w:cs="Arial" w:eastAsia="Arial" w:hAnsi="Arial"/>
          <w:sz w:val="14"/>
          <w:szCs w:val="14"/>
          <w:color w:val="auto"/>
        </w:rPr>
        <w:t>. Revenue from AT&amp;T is included within the Communications segment.</w:t>
      </w:r>
    </w:p>
    <w:p>
      <w:pPr>
        <w:spacing w:after="0" w:line="35" w:lineRule="exact"/>
        <w:rPr>
          <w:rFonts w:ascii="Arial" w:cs="Arial" w:eastAsia="Arial" w:hAnsi="Arial"/>
          <w:sz w:val="14"/>
          <w:szCs w:val="14"/>
          <w:color w:val="auto"/>
        </w:rPr>
      </w:pPr>
    </w:p>
    <w:p>
      <w:pPr>
        <w:ind w:left="340" w:hanging="332"/>
        <w:spacing w:after="0" w:line="273" w:lineRule="auto"/>
        <w:tabs>
          <w:tab w:leader="none" w:pos="339"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Company's relationship with Energy Transfer affiliates is based upon various construction contracts for pipeline activities with Energy Transfer Operating, L.P., and its subsidiaries and affiliates, for which the related revenue is included within the Oil and Gas segment.</w:t>
      </w:r>
    </w:p>
    <w:p>
      <w:pPr>
        <w:spacing w:after="0" w:line="11" w:lineRule="exact"/>
        <w:rPr>
          <w:rFonts w:ascii="Arial" w:cs="Arial" w:eastAsia="Arial" w:hAnsi="Arial"/>
          <w:sz w:val="14"/>
          <w:szCs w:val="14"/>
          <w:color w:val="auto"/>
        </w:rPr>
      </w:pPr>
    </w:p>
    <w:p>
      <w:pPr>
        <w:ind w:left="340" w:hanging="332"/>
        <w:spacing w:after="0" w:line="273" w:lineRule="auto"/>
        <w:tabs>
          <w:tab w:leader="none" w:pos="369"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Company's relationship with Equitrans Midstream Corporation and its affiliates is based upon various construction contracts for pipeline activities, for which the related revenue is included within the Oil and Gas segment.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related party leases. See Note 8 - Lease Obligations and Note 15 - Related Party Transactions.</w:t>
      </w:r>
    </w:p>
    <w:p>
      <w:pPr>
        <w:spacing w:after="0" w:line="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Letters of Credit. </w:t>
      </w:r>
      <w:r>
        <w:rPr>
          <w:rFonts w:ascii="Arial" w:cs="Arial" w:eastAsia="Arial" w:hAnsi="Arial"/>
          <w:sz w:val="16"/>
          <w:szCs w:val="16"/>
          <w:color w:val="auto"/>
        </w:rPr>
        <w:t>In the ordinary course of business, the Company is required to post letters of credit for its insurance carriers and surety bond providers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December 31, 2020 and 2019, there were $151.8 million and $115.1 million, respectively, of letters of credit issued under the Company’s credit facilities. The Company is not aware of any material claims relating to its outstanding letters of credit as of December 31, 2020 or 2019.</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Performance and Payment Bonds. </w:t>
      </w:r>
      <w:r>
        <w:rPr>
          <w:rFonts w:ascii="Arial" w:cs="Arial" w:eastAsia="Arial" w:hAnsi="Arial"/>
          <w:sz w:val="15"/>
          <w:szCs w:val="15"/>
          <w:color w:val="auto"/>
        </w:rPr>
        <w:t>In the ordinary course of business, MasTec is required by certain customers to provide performance and payment bonds for</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December 31, 2020 and 2019, outstanding performance and payment bonds approximated $764.8 million and $551.4 million, respectively, and estimated costs to complete projects secured by these bonds totaled $263.2 million and $194.7 million as of December 31, 2020 and 2019, respectively.</w:t>
      </w:r>
    </w:p>
    <w:p>
      <w:pPr>
        <w:spacing w:after="0" w:line="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5"/>
          <w:szCs w:val="15"/>
          <w:b w:val="1"/>
          <w:bCs w:val="1"/>
          <w:color w:val="auto"/>
        </w:rPr>
        <w:t xml:space="preserve">Investment and Strategic Arrangements. </w:t>
      </w:r>
      <w:r>
        <w:rPr>
          <w:rFonts w:ascii="Arial" w:cs="Arial" w:eastAsia="Arial" w:hAnsi="Arial"/>
          <w:sz w:val="15"/>
          <w:szCs w:val="15"/>
          <w:color w:val="auto"/>
        </w:rPr>
        <w:t>The Company holds undivided interests, ranging from 85% to 90%, in multiple proportionately consolidated non-controlled contractual joint ventures that provide infrastructure construction services for electrical transmission projects, as well as a 50% undivided interest in a civil construction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December 31, 2020, the Company was not aware of material future claims against it in connection with these arrangements.</w:t>
      </w:r>
    </w:p>
    <w:p>
      <w:pPr>
        <w:spacing w:after="0" w:line="7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Company has other investment and strategic arrangements, under which it may incur costs or provide financing, performance, financial and/or other guarantees. See Note 4 - Fair Value of Financial Instruments and Note 15 - Related Party Transactions regarding the Company’s investment and strategic arrangements.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Self-Insurance. </w:t>
      </w:r>
      <w:r>
        <w:rPr>
          <w:rFonts w:ascii="Arial" w:cs="Arial" w:eastAsia="Arial" w:hAnsi="Arial"/>
          <w:sz w:val="16"/>
          <w:szCs w:val="16"/>
          <w:color w:val="auto"/>
        </w:rPr>
        <w:t>MasTec maintains insurance policies for workers’ compensation, general liability and automobile liability, which are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80" w:name="page81"/>
    <w:bookmarkEnd w:id="80"/>
    <w:p>
      <w:pPr>
        <w:jc w:val="both"/>
        <w:spacing w:after="0" w:line="274" w:lineRule="auto"/>
        <w:rPr>
          <w:sz w:val="20"/>
          <w:szCs w:val="20"/>
          <w:color w:val="auto"/>
        </w:rPr>
      </w:pPr>
      <w:r>
        <w:rPr>
          <w:rFonts w:ascii="Arial" w:cs="Arial" w:eastAsia="Arial" w:hAnsi="Arial"/>
          <w:sz w:val="15"/>
          <w:szCs w:val="15"/>
          <w:color w:val="auto"/>
        </w:rPr>
        <w:t>subject to per claim deductibles. The Company is self-insured up to the amount of the deductible. The Company also maintains excess umbrella coverage. As of December 31, 2020 and 2019, MasTec’s estimated liability for unpaid claims and associated expenses, including incurred but not reported losses related to these policies, totaled $129.6 million and $123.4 million, respectively, of which $86.1 million and $87.3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$4.3 million and $4.2 million as of December 31, 2020 and 2019, respectively.</w:t>
      </w:r>
    </w:p>
    <w:p>
      <w:pPr>
        <w:spacing w:after="0" w:line="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$59.3 million and $64.0 million as of December 31, 2020 and 2019, respectively. Outstanding surety bonds related to self-insurance programs amounted to $37.4 million and $38.5 million as of December 31, 2020 and 2019, respectively.</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The Company has employment agreements with certain executives and other employees, which provide for compensation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related employees, which vary with the level of the employees’ respective responsibility.</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Collective Bargaining Agreements and Multiemployer Plans. </w:t>
      </w:r>
      <w:r>
        <w:rPr>
          <w:rFonts w:ascii="Arial" w:cs="Arial" w:eastAsia="Arial" w:hAnsi="Arial"/>
          <w:sz w:val="16"/>
          <w:szCs w:val="16"/>
          <w:color w:val="auto"/>
        </w:rPr>
        <w:t>As discussed in Note 1 - Business, Basis of Presentation and Significant Accounting Policies,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Company currently contributes, and in the past, has contributed, to plans that are underfunded, and, therefore, could have potential liability associated with a voluntary or involuntary withdrawal from, or termination of, these plans. As of December 31, 2020,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w:t>
      </w:r>
    </w:p>
    <w:p>
      <w:pPr>
        <w:spacing w:after="0" w:line="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December 31, 2020 and 2019, the Company was not aware of any material asserted or unasserted claims in connection with these indemnity obligations.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From time to time, in the ordinary course of its business,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6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b w:val="1"/>
          <w:bCs w:val="1"/>
          <w:color w:val="auto"/>
        </w:rPr>
        <w:t xml:space="preserve">Concentrations of Risk. </w:t>
      </w:r>
      <w:r>
        <w:rPr>
          <w:rFonts w:ascii="Arial" w:cs="Arial" w:eastAsia="Arial" w:hAnsi="Arial"/>
          <w:sz w:val="15"/>
          <w:szCs w:val="15"/>
          <w:color w:val="auto"/>
        </w:rPr>
        <w:t>The Company is subject to certain risk factors, including, but not limited to: governmental and/or regulatory changes,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governmental permitting, or other factors affecting the industries in which the Company operates; changes in customers’ capital spending plans; risks related to market conditions, market uncertainty, including from health outbreaks such as the COVID-19 pandemic and/or economic downturns; risks related to rapid technological changes or customer consolidation; competition; the ability to manage projects effectively and in accordance with management’s estimates; the nature of its contracts, which do not obligate MasTec’s customers to undertake any infrastructure projects and may be canceled on short notice; customer disputes related to the performance of services; seasonality, adverse weather conditions and fluctuations in operational factors; potential exposure to environmental liabilities; risks related to the Company’s acquisitions and strategic investment arrangements, including acquisition integration and financing; exposure from system or information technology interruptions; recoverability of goodwill; collectibility of receivables and resolution of unapproved change orders; availability of qualified employees; the adequacy of our reserves; exposure to litigation; exposure related to foreign operations; and exposure to multiemployer pension plan liabilities. The Company grants credit, generally without collateral, to its customers. Consequently, the Company is subject to potential credit risk related to changes in business and economic factors, including from current economic uncertainty. However, MasTec generally has certain lien rights on that work and maintains a diverse customer base. The Company believes its billing and collection policies are adequate to minimize potential credit risk. MasTec’s customers include: public and private energy providers; pipeline operators; wireless and wireline/fiber service providers; broadband operators; install-to-the-home service providers; and government entities. The industries served by MasTec’s customers include the communications and utilities industries, among others. The Company had approximately 475 customers for the year ended December 31, 2020. As of December 31, 2020, two customers each accounted for approximately, 15% and 12%, respectively, of the Company’s consolidated net accounts receivable position, which represents accounts receivable, net, less deferred revenue. As of December 31, 2019, three customers each accounted for approximately 17%</w:t>
      </w:r>
      <w:r>
        <w:rPr>
          <w:rFonts w:ascii="Arial" w:cs="Arial" w:eastAsia="Arial" w:hAnsi="Arial"/>
          <w:sz w:val="16"/>
          <w:szCs w:val="16"/>
          <w:color w:val="auto"/>
        </w:rPr>
        <w:t>,</w:t>
      </w:r>
      <w:r>
        <w:rPr>
          <w:rFonts w:ascii="Arial" w:cs="Arial" w:eastAsia="Arial" w:hAnsi="Arial"/>
          <w:sz w:val="15"/>
          <w:szCs w:val="15"/>
          <w:color w:val="auto"/>
        </w:rPr>
        <w:t xml:space="preserve"> 13% and 11%, respectively, of the Company’s consolidated net accounts receivable position. In addition, the Company derived 58%, 64% and 72%, of its revenue from its top ten customers for the years ended December 31, 2020, 2019 and 2018,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81" w:name="page82"/>
    <w:bookmarkEnd w:id="81"/>
    <w:p>
      <w:pPr>
        <w:jc w:val="both"/>
        <w:ind w:firstLine="648"/>
        <w:spacing w:after="0" w:line="270" w:lineRule="auto"/>
        <w:rPr>
          <w:sz w:val="20"/>
          <w:szCs w:val="20"/>
          <w:color w:val="auto"/>
        </w:rPr>
      </w:pPr>
      <w:r>
        <w:rPr>
          <w:rFonts w:ascii="Arial" w:cs="Arial" w:eastAsia="Arial" w:hAnsi="Arial"/>
          <w:sz w:val="15"/>
          <w:szCs w:val="15"/>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years ended December 31, 2020, 2019 and 2018, such payments to related party entities totaled approximately $80.9 million, $108.0 million and $134.4 million, respectively. Payables associated with such arrangements totaled approximately $8.9 million and $14.7 million as of December 31, 2020 and 2019, respectively. Revenue from such related party arrangements totaled approximately $4.1 million, $2.3 million and $10.3 million for the years ended December 31, 2020, 2019 and 2018. Related amounts receivable, net, as of December 31, 2020 totaled approximately $0.5 million, and as of December 31, 2019, were de minimis.</w:t>
      </w:r>
    </w:p>
    <w:p>
      <w:pPr>
        <w:spacing w:after="0" w:line="5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In 2018, MasTec acquired a construction management firm specializing in steel building systems, of which Juan Carlos Mas, who is the brother of Jorge Mas, Chairman of MasTec’s Board of Directors, and José R. Mas, MasTec’s Chief Executive Officer, was a minority owner, for approximately $6.1 million in cash and an estimated earn-out liability of approximately $1.4 million, net, as adjusted. Amounts outstanding for advances made by the Company on behalf of this entity, net, totaled approximately $0.1 million and $0.5 million as of December 31, 2020 and 2019, respectively, which are expected to be settled under customary terms associated with the related purchase agreement.</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rents and leases equipment and purchases equipment supplies and servicing from CCI. Juan Carlos Mas serves as the chairman of CCI, and a member of management of a MasTec subsidiary and an entity that is owned by the Mas family are minority owners. For the years ended December 31, 2020, 2019 and 2018, MasTec paid CCI $6.8 million, $41.7 million and $57.6 million, net of rebates, respectively, related to this activity. Amounts payable to CCI, net of rebates receivable, totaled approximately $4.2 million and $0.2 million as of December 31, 2020 and 2019, respectively. The Company has also rented equipment to CCI. Revenue from equipment rentals to CCI totaled approximately $0.9 million for the year ended December 31, 2020, for which the related receivables were de minimis as of December 31, 2020.</w:t>
      </w:r>
    </w:p>
    <w:p>
      <w:pPr>
        <w:spacing w:after="0" w:line="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years ended December 31, 2020, 2019 and 2018, MasTec incurred subcontracting expenses of approximately $1.9 million, $10.3 million and $9.9 million, respectively, under these arrangements. As of December 31, 2020 and 2019, related amounts payable totaled approximately $1.4 million and $0.2 million, respectively.</w:t>
      </w:r>
    </w:p>
    <w:p>
      <w:pPr>
        <w:spacing w:after="0" w:line="79"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MasTec has a leasing arrangement for an aircraft that is owned by an entity that Jorge Mas owns. For the years ended December 31, 2020, 2019 and 2018, MasTec paid approximately $2.6 million, $2.4 million and $2.7 million, respectively, related to this leasing arrangement.</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performs construction services on behalf of a professional Miami soccer franchise (the “Franchise”) in which Jorge Mas and José R. Mas are minority owners. Services provided by MasTec include the construction of a soccer facility and stadium as well as wireless infrastructure services. For the years ended December 31, 2020 and 2019, MasTec charged approximately $7.1 million and $12.6 million under these arrangements, respectively. Amounts outstanding as of December 31, 2020 were de minimis, and as of December 31, 2019, totaled approximately $3.9 million. Payments for other expenses related to the Franchise totaled $0.3 million for the year ended December 31, 2020, and as of December 31, 2020, there were no amounts outstanding.</w:t>
      </w:r>
    </w:p>
    <w:p>
      <w:pPr>
        <w:spacing w:after="0" w:line="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MasTec leases employees and provides satellite communications services to a customer in which Jorge Mas and José R. Mas own a majority interest. For the years ended December 31, 2020, 2019 and 2018, charges to this customer totaled approximately $1.3 million, $1.4 million and $1.7 million, respectively, related to these arrangements. As of December 31, 2020 and 2019, outstanding receivables totaled approximately $0.9 million and $0.8 million, respectively.</w:t>
      </w:r>
    </w:p>
    <w:p>
      <w:pPr>
        <w:spacing w:after="0" w:line="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has a 25% interest in an entity associated with an acquisition, under which the acquired business and the entity have a subcontracting arrangement. The Company’s interest in this entity is accounted for as an equity method investment. For the year ended December 31, 2020, MasTec received payments totaling approximately $0.4 million from this investee, and as of December 31, 2020, the Company’s net investment in this entity was a liability of approximately $2.0 million, which net amount includes approximately $1.9 million of accounts receivable, net, less deferred revenue, related to the subcontracting arrangement. Additionally, the Company has a strategic arrangement with an entity associated with a separate acquisition, in which members of management of the acquired business have an ownership interest. For the year ended December 31, 2020, approximately $0.9 million of income and recovery of costs was recognized in connection with this arrangement, and as of December 31, 2020, amounts receivable totaled $0.4 million. In addition, for the year ended December 31, 2020, the Company advanced $1.2 million on behalf of this entity, which amount was collected as of December 31, 2020.</w:t>
      </w:r>
    </w:p>
    <w:p>
      <w:pPr>
        <w:spacing w:after="0" w:line="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One of the Company’s subsidiaries has a subcontracting arrangement with a contractual joint venture in which it holds a 35% undivided interest, for which the related project was complete as of December 31, 2020. Outstanding performance guarantees on behalf of this contractual joint venture totaled Canadian $26.4 million as of both December 31, 2020 and 2019, or approximately $20.7 million and $20.3 million, respectively.</w:t>
      </w:r>
    </w:p>
    <w:p>
      <w:pPr>
        <w:spacing w:after="0" w:line="61"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members of management of certain of the Company’s subsidiaries, primarily in the Company’s Oil and Gas segment.</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MasTec has an amended and restated split dollar life insurance agreement with (i) Jorge Mas, and José R. Mas and Juan Carlos Mas, as trustees of the Jorge Mas Irrevocable Trust (the “Jorge Mas trust”); and (ii) José R. Mas, and Jorge Mas, Juan Carlos Mas and Patricia Mas, as trustees of the José Ramon Mas Irrevocable Trust (the “José R. Mas trust”). The Company is the sole owner of each of the policies and is designated as the named fiduciary under each split dollar agreement, and the policies subject to the split dollar agreement may not be surrendered without the express written consent of the applicable trust. The total maximum face amount of the insurance policies subject to the split dollar agreements is capped at $200 million in the case of Jorge Mas and $75 million in the case of José R. Mas. Upon the death of the applicable executive or the survivor of the applicable executive and his wife, the Company is entitled to receive a portion of the death benefit under the policy equal to the greater of (i) premiums paid by the Company on the policy and (ii) the then cash value of the policy (excluding surrender charges or other similar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82" w:name="page83"/>
    <w:bookmarkEnd w:id="82"/>
    <w:p>
      <w:pPr>
        <w:jc w:val="both"/>
        <w:spacing w:after="0" w:line="275" w:lineRule="auto"/>
        <w:rPr>
          <w:sz w:val="20"/>
          <w:szCs w:val="20"/>
          <w:color w:val="auto"/>
        </w:rPr>
      </w:pPr>
      <w:r>
        <w:rPr>
          <w:rFonts w:ascii="Arial" w:cs="Arial" w:eastAsia="Arial" w:hAnsi="Arial"/>
          <w:sz w:val="16"/>
          <w:szCs w:val="16"/>
          <w:color w:val="auto"/>
        </w:rPr>
        <w:t>charges or reductions) immediately before the triggering death. In addition, each executive is entitled to purchase the applicable policy under certain events, including a change in control of the Company.</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paid approximately $1.1 million in each of the years ended December 31, 2020, 2019 and 2018 in connection with the split dollar agreements for Jorge Mas, and paid approximately $0.7 million in each of the years ended December 31, 2020, 2019 and 2018 in connection with the split dollar agreements for José R. Mas. Life insurance assets associated with these agreements, which amounts are included within other long-term assets, totaled approximately $22.2 million and $20.3 million as of December 31, 2020 and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Quarterly Information (Unaudited)</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following table presents selected unaudited quarterly operating results for the years ended December 31, 2020 and 2019 (in millions, except per share data). The Company believes that all necessary adjustments have been included in the amounts stated below to present fairly the quarterly results when read in conjunction with the consolidated financial statements and notes thereto. The sum of the individual quarterly amounts to the full year amounts as disclosed below may contain slight summation differences due to rounding.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2020 Quarters Ended</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2019 Quarters Ended</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December 31</w:t>
            </w:r>
          </w:p>
        </w:tc>
      </w:tr>
      <w:tr>
        <w:trPr>
          <w:trHeight w:val="184"/>
        </w:trPr>
        <w:tc>
          <w:tcPr>
            <w:tcW w:w="21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1,518.3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2,016.6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1,709.3</w:t>
            </w: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5"/>
                <w:szCs w:val="15"/>
                <w:color w:val="auto"/>
              </w:rPr>
              <w:t>Costs of revenue, excluding</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8"/>
        </w:trPr>
        <w:tc>
          <w:tcPr>
            <w:tcW w:w="212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1,226.3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1,341.8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1,380.5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1,322.2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1,312.0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1,633.4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1,690.6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1,434.2</w:t>
            </w:r>
          </w:p>
        </w:tc>
      </w:tr>
      <w:tr>
        <w:trPr>
          <w:trHeight w:val="207"/>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5"/>
                <w:szCs w:val="15"/>
                <w:color w:val="auto"/>
              </w:rPr>
              <w:t>Net income attributable to</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8"/>
        </w:trPr>
        <w:tc>
          <w:tcPr>
            <w:tcW w:w="2120" w:type="dxa"/>
            <w:vAlign w:val="bottom"/>
          </w:tcPr>
          <w:p>
            <w:pPr>
              <w:ind w:left="20"/>
              <w:spacing w:after="0"/>
              <w:rPr>
                <w:sz w:val="20"/>
                <w:szCs w:val="20"/>
                <w:color w:val="auto"/>
              </w:rPr>
            </w:pPr>
            <w:r>
              <w:rPr>
                <w:rFonts w:ascii="Arial" w:cs="Arial" w:eastAsia="Arial" w:hAnsi="Arial"/>
                <w:sz w:val="15"/>
                <w:szCs w:val="15"/>
                <w:color w:val="auto"/>
              </w:rPr>
              <w:t>MasTec, Inc.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100.9</w:t>
            </w:r>
          </w:p>
        </w:tc>
      </w:tr>
      <w:tr>
        <w:trPr>
          <w:trHeight w:val="206"/>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per share: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9"/>
        </w:trPr>
        <w:tc>
          <w:tcPr>
            <w:tcW w:w="2120" w:type="dxa"/>
            <w:vAlign w:val="bottom"/>
          </w:tcPr>
          <w:p>
            <w:pPr>
              <w:ind w:left="220"/>
              <w:spacing w:after="0"/>
              <w:rPr>
                <w:sz w:val="20"/>
                <w:szCs w:val="20"/>
                <w:color w:val="auto"/>
              </w:rPr>
            </w:pPr>
            <w:r>
              <w:rPr>
                <w:rFonts w:ascii="Arial" w:cs="Arial" w:eastAsia="Arial" w:hAnsi="Arial"/>
                <w:sz w:val="15"/>
                <w:szCs w:val="15"/>
                <w:color w:val="auto"/>
              </w:rPr>
              <w:t>Basic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06"/>
        </w:trPr>
        <w:tc>
          <w:tcPr>
            <w:tcW w:w="2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r>
    </w:tbl>
    <w:p>
      <w:pPr>
        <w:spacing w:after="0" w:line="1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Certain transactions affecting comparisons of the Company’s quarterly results, which may not represent the amounts recognized for the full year for such transactions, include the following:</w:t>
      </w:r>
    </w:p>
    <w:p>
      <w:pPr>
        <w:spacing w:after="0" w:line="64"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 on extinguishment of debt totaling $5.6 million in the third quarter of 2020;</w:t>
      </w:r>
    </w:p>
    <w:p>
      <w:pPr>
        <w:spacing w:after="0" w:line="59" w:lineRule="exact"/>
        <w:rPr>
          <w:rFonts w:ascii="Arial" w:cs="Arial" w:eastAsia="Arial" w:hAnsi="Arial"/>
          <w:sz w:val="16"/>
          <w:szCs w:val="16"/>
          <w:color w:val="auto"/>
        </w:rPr>
      </w:pPr>
    </w:p>
    <w:p>
      <w:pPr>
        <w:ind w:left="360" w:hanging="352"/>
        <w:spacing w:after="0"/>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Indefinite-lived pre-qualification intangible asset impairment charges, pretax, totaling $3.3 million in the fourth quarter of 2019;</w:t>
      </w:r>
    </w:p>
    <w:p>
      <w:pPr>
        <w:spacing w:after="0" w:line="59" w:lineRule="exact"/>
        <w:rPr>
          <w:rFonts w:ascii="Arial" w:cs="Arial" w:eastAsia="Arial" w:hAnsi="Arial"/>
          <w:sz w:val="16"/>
          <w:szCs w:val="16"/>
          <w:color w:val="auto"/>
        </w:rPr>
      </w:pPr>
    </w:p>
    <w:p>
      <w:pPr>
        <w:jc w:val="both"/>
        <w:ind w:left="420" w:right="160" w:hanging="412"/>
        <w:spacing w:after="0" w:line="261" w:lineRule="auto"/>
        <w:tabs>
          <w:tab w:leader="none" w:pos="45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tax deficiencies from the vesting of share-based payment awards of $0.1 million in the first quarter of 2020, and net tax benefits of $0.6 million in the fourth quarter of 2020. Net tax benefits from the vesting of share-based payment awards of $2.3 million and $1.6 million in the first and fourth quarters of 2019, respectively.</w:t>
      </w:r>
    </w:p>
    <w:p>
      <w:pPr>
        <w:spacing w:after="0" w:line="20" w:lineRule="exact"/>
        <w:rPr>
          <w:rFonts w:ascii="Arial" w:cs="Arial" w:eastAsia="Arial" w:hAnsi="Arial"/>
          <w:sz w:val="16"/>
          <w:szCs w:val="16"/>
          <w:color w:val="auto"/>
        </w:rPr>
      </w:pPr>
    </w:p>
    <w:p>
      <w:pPr>
        <w:jc w:val="both"/>
        <w:ind w:left="420" w:right="160" w:hanging="412"/>
        <w:spacing w:after="0" w:line="261" w:lineRule="auto"/>
        <w:tabs>
          <w:tab w:leader="none" w:pos="413"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Income tax effects from changes in state tax rates totaling an expense of $2.5 million in the fourth quarter of 2020; and income tax effects from changes in Canadian provincial statutory tax rates as well as changes in state tax rates totaling benefits of $1.4 million, $0.5 million and $5.9 million in the second, third and fourth quarters of 2019,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83" w:name="page84"/>
    <w:bookmarkEnd w:id="83"/>
    <w:p>
      <w:pPr>
        <w:spacing w:after="0"/>
        <w:tabs>
          <w:tab w:leader="none" w:pos="680" w:val="left"/>
        </w:tabs>
        <w:rPr>
          <w:sz w:val="20"/>
          <w:szCs w:val="20"/>
          <w:color w:val="auto"/>
        </w:rPr>
      </w:pPr>
      <w:r>
        <w:rPr>
          <w:rFonts w:ascii="Arial" w:cs="Arial" w:eastAsia="Arial" w:hAnsi="Arial"/>
          <w:sz w:val="16"/>
          <w:szCs w:val="16"/>
          <w:b w:val="1"/>
          <w:bCs w:val="1"/>
          <w:color w:val="auto"/>
        </w:rPr>
        <w:t>Item 9.</w:t>
        <w:tab/>
        <w:t>CHANGES IN AND DISAGREEMENTS WITH ACCOUNTANTS ON ACCOUNTING AND FINANCIAL DISCLOSURE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109"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Form 10-K, our management, with the participation of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December 31, 2020.</w:t>
      </w:r>
    </w:p>
    <w:p>
      <w:pPr>
        <w:spacing w:after="0" w:line="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Management’s Report on Internal Control Over Financial Reporting. </w:t>
      </w:r>
      <w:r>
        <w:rPr>
          <w:rFonts w:ascii="Arial" w:cs="Arial" w:eastAsia="Arial" w:hAnsi="Arial"/>
          <w:sz w:val="15"/>
          <w:szCs w:val="15"/>
          <w:color w:val="auto"/>
        </w:rPr>
        <w:t>Our management is responsible for establishing and maintaining adequate internal control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over financial reporting, as such term is defined in Exchange Act Rule 13a-15(f). Management, including our Chief Executive Officer and Chief Financial Officer, evaluated the effectiveness of our internal control over financial reporting as of the end of the period covered by this report. In making its assessment of the effectiveness of internal control, management used the criteria set forth by the Committee of Sponsoring Organizations of the Treadway Commission (“COSO criteria”) in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 Our internal control over financial reporting is designed to provide reasonable assurance to management and to our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the reliability of financial reporting and the preparation and fair presentation of financial statements for external purposes in accordance with generally accepted accounting principles. Our internal control over financial reporting includes those policies and procedures that:</w:t>
      </w:r>
    </w:p>
    <w:p>
      <w:pPr>
        <w:spacing w:after="0" w:line="73" w:lineRule="exact"/>
        <w:rPr>
          <w:sz w:val="20"/>
          <w:szCs w:val="20"/>
          <w:color w:val="auto"/>
        </w:rPr>
      </w:pPr>
    </w:p>
    <w:p>
      <w:pPr>
        <w:ind w:left="840" w:hanging="184"/>
        <w:spacing w:after="0"/>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firstLine="656"/>
        <w:spacing w:after="0" w:line="310" w:lineRule="auto"/>
        <w:tabs>
          <w:tab w:leader="none" w:pos="898"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w:t>
      </w:r>
    </w:p>
    <w:p>
      <w:pPr>
        <w:spacing w:after="0" w:line="40" w:lineRule="exact"/>
        <w:rPr>
          <w:rFonts w:ascii="Arial" w:cs="Arial" w:eastAsia="Arial" w:hAnsi="Arial"/>
          <w:sz w:val="15"/>
          <w:szCs w:val="15"/>
          <w:color w:val="auto"/>
        </w:rPr>
      </w:pPr>
    </w:p>
    <w:p>
      <w:pPr>
        <w:ind w:firstLine="656"/>
        <w:spacing w:after="0" w:line="275" w:lineRule="auto"/>
        <w:tabs>
          <w:tab w:leader="none" w:pos="938"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financial statements.</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Management’s assessment of the effectiveness of internal control over financial reporting did not include the internal controls over financial reporting of Condotte America, Inc. and Wyco Field Services, LLC, which were effectively acquired in the second quarter of 2020 and DirectSAT USA, LLC, which was effectively acquired in the fourth quarter of 2020. All of these acquisitions are included in the 2020 consolidated financial statements in this Form 10-K. These acquisitions’ total assets constituted approximately 2% of the Company’s total assets as of December 31, 2020, and represented approximately 1% and less than 1% of the Company’s revenues and net income, respectively, for the year then ended.</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this assessment, management has concluded that our internal control over financial reporting was effective as of December 31, 2020.</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BDO USA, LLP, the independent registered public accounting firm which audits our financial statements, has audited our internal control over financial reporting as of December 31, 2020 and has expressed an unqualified opinion thereon as stated in their report that is included in Item 8. “Financial Statements and Supplementary Data,” of this Form 10-K.</w:t>
      </w:r>
    </w:p>
    <w:p>
      <w:pPr>
        <w:spacing w:after="0" w:line="7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b w:val="1"/>
          <w:bCs w:val="1"/>
          <w:i w:val="1"/>
          <w:iCs w:val="1"/>
          <w:color w:val="auto"/>
        </w:rPr>
        <w:t xml:space="preserve">Changes in Internal Control Over Financial Reporting. </w:t>
      </w:r>
      <w:r>
        <w:rPr>
          <w:rFonts w:ascii="Arial" w:cs="Arial" w:eastAsia="Arial" w:hAnsi="Arial"/>
          <w:sz w:val="15"/>
          <w:szCs w:val="15"/>
          <w:color w:val="auto"/>
        </w:rPr>
        <w:t>There have been no changes in the Company’s internal control over financial reporting during the fourth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quarter ended December 31,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 xml:space="preserve">We have audited MasTec, Inc. and subsidiaries’ (the “Company’s”) internal control over financial reporting as of December 31, 2020, based on criteria established in </w:t>
      </w:r>
      <w:r>
        <w:rPr>
          <w:rFonts w:ascii="Arial" w:cs="Arial" w:eastAsia="Arial" w:hAnsi="Arial"/>
          <w:sz w:val="15"/>
          <w:szCs w:val="15"/>
          <w:i w:val="1"/>
          <w:iCs w:val="1"/>
          <w:color w:val="auto"/>
        </w:rPr>
        <w:t xml:space="preserve">Internal Control - Integrated Framework (2013) </w:t>
      </w:r>
      <w:r>
        <w:rPr>
          <w:rFonts w:ascii="Arial" w:cs="Arial" w:eastAsia="Arial" w:hAnsi="Arial"/>
          <w:sz w:val="15"/>
          <w:szCs w:val="15"/>
          <w:color w:val="auto"/>
        </w:rPr>
        <w:t>issued by the Committee of Sponsoring Organizations of the Treadway Commission (the “COSO criteria”). In our opinion,</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maintained, in all material respects, effective internal control over financial reporting as of December 31, 2020, based on the COSO criteria.</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equity, and cash flows for each of the three years in the period ended December 31, 2020, and the related notes and financial schedule listed in the accompanying index (collectively referred to as the “consolidated financial statements”) and our report dated February 25, 2021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As indicated in the accompanying “Item 9A, Management’s Report on Internal Control over Financial Reporting”, management’s assessment of and conclusion on the effectiveness of internal control over financial reporting did not include the internal controls of Condotte America, Inc. (“Condotte”), Wyco Field Services, LLC (“Wyco”) and DirectSAT USA, LLC (“DirectSAT”). Condotte and Wyco were acquired during the second quarter of 2020 and DirectSAT during the fourth quarter of 2020, all of which are included in the consolidated balance sheet of the Company as of December 31, 2020, and the related consolidated statements of operations, comprehensive income, equity, and cash flows for the year then ended. These acquisitions constituted approximately 2% of total assets as of December 31, 2020, and approximately 1% and less than 1% of revenues and net income, respectively, for the year then ended. Management did not assess the effectiveness of internal control over financial reporting of Condotte, Wyco and DirectSAT because of the timing of their acquisitions. Our audit of internal control over financial reporting of the Company also did not include an evaluation of the internal control over financial reporting of Condotte, Wyco and DirectSAT.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Miami, Florida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5" w:name="page86"/>
    <w:bookmarkEnd w:id="85"/>
    <w:p>
      <w:pPr>
        <w:spacing w:after="0"/>
        <w:tabs>
          <w:tab w:leader="none" w:pos="860" w:val="left"/>
        </w:tabs>
        <w:rPr>
          <w:sz w:val="20"/>
          <w:szCs w:val="20"/>
          <w:color w:val="auto"/>
        </w:rPr>
      </w:pPr>
      <w:r>
        <w:rPr>
          <w:rFonts w:ascii="Arial" w:cs="Arial" w:eastAsia="Arial" w:hAnsi="Arial"/>
          <w:sz w:val="16"/>
          <w:szCs w:val="16"/>
          <w:b w:val="1"/>
          <w:bCs w:val="1"/>
          <w:color w:val="auto"/>
        </w:rPr>
        <w:t>ITEM 9B.</w:t>
        <w:tab/>
        <w:t>OTHER INFORMATION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10.</w:t>
        <w:tab/>
        <w:t>DIRECTORS, EXECUTIVE OFFICERS AND CORPORATE GOVERNANCE</w:t>
      </w:r>
    </w:p>
    <w:p>
      <w:pPr>
        <w:spacing w:after="0" w:line="17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information about directors required for this item is incorporated by reference from our Proxy Statement to be filed in connection with our 2021 Annual Meeting of Shareholders.</w:t>
      </w:r>
    </w:p>
    <w:p>
      <w:pPr>
        <w:spacing w:after="0" w:line="11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We have adopted a code of business conduct and ethics, called the Code of Business Conduct and Ethics, that applies to all of our directors, officers, including our principal executive, financial and accounting officers, and employees and includes additional criteria that are applicable to our Chief Executive Officer and senior financial officers. The full text of the Code of Business Conduct and Ethics is available in the Investor section of MasTec’s website at </w:t>
      </w:r>
      <w:r>
        <w:rPr>
          <w:rFonts w:ascii="Arial" w:cs="Arial" w:eastAsia="Arial" w:hAnsi="Arial"/>
          <w:sz w:val="16"/>
          <w:szCs w:val="16"/>
          <w:u w:val="single" w:color="auto"/>
          <w:color w:val="auto"/>
        </w:rPr>
        <w:t>www.mastec.com</w:t>
      </w:r>
      <w:r>
        <w:rPr>
          <w:rFonts w:ascii="Arial" w:cs="Arial" w:eastAsia="Arial" w:hAnsi="Arial"/>
          <w:sz w:val="16"/>
          <w:szCs w:val="16"/>
          <w:color w:val="auto"/>
        </w:rPr>
        <w:t xml:space="preserve"> under the tab “Corporate Governance” and is available in print to any shareholder who requests it. See also Item 1. “Business - Available Information.” We intend to provide amendments or waivers to our Code of Business Conduct and Ethics for any of our directors and principal officers on our website within four business days after such amendment or waiver. The reference to our website address does not constitute incorporation by reference of any of the information contained on the website, and such information is not a part of this Annual Report.</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2021 Annual Meeting of Shareholders.</w:t>
      </w:r>
    </w:p>
    <w:p>
      <w:pPr>
        <w:spacing w:after="0" w:line="168" w:lineRule="exact"/>
        <w:rPr>
          <w:sz w:val="20"/>
          <w:szCs w:val="20"/>
          <w:color w:val="auto"/>
        </w:rPr>
      </w:pPr>
    </w:p>
    <w:p>
      <w:pPr>
        <w:ind w:right="680"/>
        <w:spacing w:after="0" w:line="390" w:lineRule="auto"/>
        <w:rPr>
          <w:sz w:val="20"/>
          <w:szCs w:val="20"/>
          <w:color w:val="auto"/>
        </w:rPr>
      </w:pPr>
      <w:r>
        <w:rPr>
          <w:rFonts w:ascii="Arial" w:cs="Arial" w:eastAsia="Arial" w:hAnsi="Arial"/>
          <w:sz w:val="16"/>
          <w:szCs w:val="16"/>
          <w:b w:val="1"/>
          <w:bCs w:val="1"/>
          <w:color w:val="auto"/>
        </w:rPr>
        <w:t xml:space="preserve">ITEM 12. SECURITY OWNERSHIP OF CERTAIN BENEFICIAL OWNERS AND MANAGEMENT AND RELATED SHAREHOLDER MATTERS </w:t>
      </w:r>
      <w:r>
        <w:rPr>
          <w:rFonts w:ascii="Arial" w:cs="Arial" w:eastAsia="Arial" w:hAnsi="Arial"/>
          <w:sz w:val="16"/>
          <w:szCs w:val="16"/>
          <w:b w:val="1"/>
          <w:bCs w:val="1"/>
          <w:i w:val="1"/>
          <w:iCs w:val="1"/>
          <w:color w:val="auto"/>
        </w:rPr>
        <w:t>Equity Compensation Plans</w:t>
      </w:r>
    </w:p>
    <w:p>
      <w:pPr>
        <w:jc w:val="both"/>
        <w:ind w:firstLine="648"/>
        <w:spacing w:after="0" w:line="275" w:lineRule="auto"/>
        <w:rPr>
          <w:sz w:val="20"/>
          <w:szCs w:val="20"/>
          <w:color w:val="auto"/>
        </w:rPr>
      </w:pPr>
      <w:r>
        <w:rPr>
          <w:rFonts w:ascii="Arial" w:cs="Arial" w:eastAsia="Arial" w:hAnsi="Arial"/>
          <w:sz w:val="16"/>
          <w:szCs w:val="16"/>
          <w:color w:val="auto"/>
        </w:rPr>
        <w:t>The following table sets forth information about our common stock that may be issued under all of our equity compensation plans as of December 31, 2020, which included: the 2013 Incentive Plan; the 2011 ESPP; and the 2013 Bargaining Units ESPP.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4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91"/>
              </w:rPr>
              <w:t>(a)</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7"/>
              </w:rPr>
              <w:t>(b)</w:t>
            </w:r>
          </w:p>
        </w:tc>
        <w:tc>
          <w:tcPr>
            <w:tcW w:w="23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Future Issuance Under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Number of Securities to</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3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0"/>
              </w:rPr>
              <w:t>Equity Compensation Plans</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4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w w:val="88"/>
              </w:rPr>
              <w:t>be Issued Upon Exercise of</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w w:val="89"/>
              </w:rPr>
              <w:t>Weighted Average Exercise</w:t>
            </w:r>
          </w:p>
        </w:tc>
        <w:tc>
          <w:tcPr>
            <w:tcW w:w="23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(Excluding</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4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w w:val="91"/>
              </w:rPr>
              <w:t>Outstanding Options,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w w:val="91"/>
              </w:rPr>
              <w:t>Price of Outstanding Options,</w:t>
            </w:r>
          </w:p>
        </w:tc>
        <w:tc>
          <w:tcPr>
            <w:tcW w:w="23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Securities Reflected in</w:t>
            </w:r>
          </w:p>
        </w:tc>
        <w:tc>
          <w:tcPr>
            <w:tcW w:w="0" w:type="dxa"/>
            <w:vAlign w:val="bottom"/>
          </w:tcPr>
          <w:p>
            <w:pPr>
              <w:spacing w:after="0"/>
              <w:rPr>
                <w:sz w:val="1"/>
                <w:szCs w:val="1"/>
                <w:color w:val="auto"/>
              </w:rPr>
            </w:pPr>
          </w:p>
        </w:tc>
      </w:tr>
      <w:tr>
        <w:trPr>
          <w:trHeight w:val="24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Plan Category</w:t>
            </w:r>
          </w:p>
        </w:tc>
        <w:tc>
          <w:tcPr>
            <w:tcW w:w="20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3"/>
              </w:rPr>
              <w:t>Warrants and Rights</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Warrants and Rights</w:t>
            </w:r>
          </w:p>
        </w:tc>
        <w:tc>
          <w:tcPr>
            <w:tcW w:w="36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Column (a))</w:t>
            </w:r>
          </w:p>
        </w:tc>
        <w:tc>
          <w:tcPr>
            <w:tcW w:w="3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Equity compensation plans approved by security holders</w:t>
            </w:r>
          </w:p>
        </w:tc>
        <w:tc>
          <w:tcPr>
            <w:tcW w:w="204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1700"/>
              <w:spacing w:after="0"/>
              <w:rPr>
                <w:sz w:val="20"/>
                <w:szCs w:val="20"/>
                <w:color w:val="auto"/>
              </w:rPr>
            </w:pPr>
            <w:r>
              <w:rPr>
                <w:rFonts w:ascii="Arial" w:cs="Arial" w:eastAsia="Arial" w:hAnsi="Arial"/>
                <w:sz w:val="16"/>
                <w:szCs w:val="16"/>
                <w:color w:val="auto"/>
              </w:rPr>
              <w:t>N/A</w:t>
            </w:r>
          </w:p>
        </w:tc>
        <w:tc>
          <w:tcPr>
            <w:tcW w:w="2380" w:type="dxa"/>
            <w:vAlign w:val="bottom"/>
            <w:gridSpan w:val="2"/>
            <w:shd w:val="clear" w:color="auto" w:fill="CCEEFF"/>
          </w:tcPr>
          <w:p>
            <w:pPr>
              <w:ind w:left="1380"/>
              <w:spacing w:after="0"/>
              <w:rPr>
                <w:sz w:val="20"/>
                <w:szCs w:val="20"/>
                <w:color w:val="auto"/>
              </w:rPr>
            </w:pPr>
            <w:r>
              <w:rPr>
                <w:rFonts w:ascii="Arial" w:cs="Arial" w:eastAsia="Arial" w:hAnsi="Arial"/>
                <w:sz w:val="16"/>
                <w:szCs w:val="16"/>
                <w:color w:val="auto"/>
              </w:rPr>
              <w:t xml:space="preserve">2,664,548 </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line="166" w:lineRule="exact"/>
              <w:rPr>
                <w:sz w:val="20"/>
                <w:szCs w:val="20"/>
                <w:color w:val="auto"/>
              </w:rPr>
            </w:pPr>
            <w:r>
              <w:rPr>
                <w:rFonts w:ascii="Arial" w:cs="Arial" w:eastAsia="Arial" w:hAnsi="Arial"/>
                <w:sz w:val="16"/>
                <w:szCs w:val="16"/>
                <w:color w:val="auto"/>
              </w:rPr>
              <w:t>Equity compensation plans not approved by security</w:t>
            </w:r>
          </w:p>
        </w:tc>
        <w:tc>
          <w:tcPr>
            <w:tcW w:w="2040" w:type="dxa"/>
            <w:vAlign w:val="bottom"/>
            <w:vMerge w:val="restart"/>
          </w:tcPr>
          <w:p>
            <w:pPr>
              <w:ind w:left="174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restart"/>
          </w:tcPr>
          <w:p>
            <w:pPr>
              <w:ind w:left="1700"/>
              <w:spacing w:after="0"/>
              <w:rPr>
                <w:sz w:val="20"/>
                <w:szCs w:val="20"/>
                <w:color w:val="auto"/>
              </w:rPr>
            </w:pPr>
            <w:r>
              <w:rPr>
                <w:rFonts w:ascii="Arial" w:cs="Arial" w:eastAsia="Arial" w:hAnsi="Arial"/>
                <w:sz w:val="16"/>
                <w:szCs w:val="16"/>
                <w:color w:val="auto"/>
              </w:rPr>
              <w:t>N/A</w:t>
            </w:r>
          </w:p>
        </w:tc>
        <w:tc>
          <w:tcPr>
            <w:tcW w:w="2380" w:type="dxa"/>
            <w:vAlign w:val="bottom"/>
            <w:gridSpan w:val="2"/>
            <w:vMerge w:val="restart"/>
          </w:tcPr>
          <w:p>
            <w:pPr>
              <w:ind w:left="18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6"/>
                <w:szCs w:val="16"/>
                <w:color w:val="auto"/>
              </w:rPr>
              <w:t>holders</w:t>
            </w:r>
          </w:p>
        </w:tc>
        <w:tc>
          <w:tcPr>
            <w:tcW w:w="2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40" w:type="dxa"/>
            <w:vAlign w:val="bottom"/>
            <w:tcBorders>
              <w:top w:val="single" w:sz="8" w:color="auto"/>
              <w:bottom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Arial" w:cs="Arial" w:eastAsia="Arial" w:hAnsi="Arial"/>
                <w:sz w:val="16"/>
                <w:szCs w:val="16"/>
                <w:color w:val="auto"/>
                <w:w w:val="95"/>
              </w:rPr>
              <w:t>2,664,548</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20" w:hanging="332"/>
        <w:spacing w:after="0" w:line="273"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Under the 2013 Incentive Plan, 1,167,860 shares were available for issuance as of December 31, 2020. Under the 2011 ESPP and 2013 Bargaining Units ESPP, 561,666 shares and 935,022 shares, respectively, were available for issuance as of December 31, 2020.</w:t>
      </w:r>
    </w:p>
    <w:p>
      <w:pPr>
        <w:spacing w:after="0" w:line="1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The other information required by this item is incorporated by reference from our Proxy Statement to be filed in connection with our 2021 Annual Meeting of Shareholders.</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13.</w:t>
        <w:tab/>
        <w:t>CERTAIN RELATIONSHIPS AND RELATED TRANSACTIONS, AND DIRECTOR INDEPENDENCE</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2021 Annual Meeting of Shareholders.</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14.</w:t>
        <w:tab/>
        <w:t>PRINCIPAL ACCOUNTING FEES AND SERVICES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2021 Annual Meeting of Shareholders.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15.</w:t>
        <w:tab/>
        <w:t>EXHIBITS AND FINANCIAL STATEMENT SCHEDULES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schedules and exhibits are filed as part of this Form 10-K:</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86" w:name="page87"/>
    <w:bookmarkEnd w:id="86"/>
    <w:p>
      <w:pPr>
        <w:ind w:left="1300" w:hanging="644"/>
        <w:spacing w:after="0" w:line="275" w:lineRule="auto"/>
        <w:tabs>
          <w:tab w:leader="none" w:pos="1014"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 the consolidated financial statements and the reports of the Independent Registered Public Accounting firms are listed on pages 44 through 83.</w:t>
      </w:r>
    </w:p>
    <w:p>
      <w:pPr>
        <w:spacing w:after="0" w:line="10" w:lineRule="exact"/>
        <w:rPr>
          <w:rFonts w:ascii="Arial" w:cs="Arial" w:eastAsia="Arial" w:hAnsi="Arial"/>
          <w:sz w:val="16"/>
          <w:szCs w:val="16"/>
          <w:color w:val="auto"/>
        </w:rPr>
      </w:pPr>
    </w:p>
    <w:p>
      <w:pPr>
        <w:ind w:left="1260" w:hanging="280"/>
        <w:spacing w:after="0"/>
        <w:tabs>
          <w:tab w:leader="none" w:pos="126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r>
        <w:rPr>
          <w:rFonts w:ascii="Arial" w:cs="Arial" w:eastAsia="Arial" w:hAnsi="Arial"/>
          <w:sz w:val="16"/>
          <w:szCs w:val="16"/>
          <w:color w:val="auto"/>
        </w:rPr>
        <w:t>– Schedule II - Valuation and Qualifying Accounts.</w:t>
      </w:r>
    </w:p>
    <w:p>
      <w:pPr>
        <w:spacing w:after="0" w:line="59" w:lineRule="exact"/>
        <w:rPr>
          <w:rFonts w:ascii="Arial" w:cs="Arial" w:eastAsia="Arial" w:hAnsi="Arial"/>
          <w:sz w:val="16"/>
          <w:szCs w:val="16"/>
          <w:color w:val="auto"/>
        </w:rPr>
      </w:pPr>
    </w:p>
    <w:p>
      <w:pPr>
        <w:ind w:left="1260" w:hanging="280"/>
        <w:spacing w:after="0"/>
        <w:tabs>
          <w:tab w:leader="none" w:pos="12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Exhibits </w:t>
      </w:r>
      <w:r>
        <w:rPr>
          <w:rFonts w:ascii="Arial" w:cs="Arial" w:eastAsia="Arial" w:hAnsi="Arial"/>
          <w:sz w:val="16"/>
          <w:szCs w:val="16"/>
          <w:i w:val="1"/>
          <w:iCs w:val="1"/>
          <w:color w:val="auto"/>
        </w:rPr>
        <w:t>including those incorporated by reference</w:t>
      </w:r>
      <w:r>
        <w:rPr>
          <w:rFonts w:ascii="Arial" w:cs="Arial" w:eastAsia="Arial" w:hAnsi="Arial"/>
          <w:sz w:val="16"/>
          <w:szCs w:val="16"/>
          <w:color w:val="auto"/>
        </w:rPr>
        <w:t xml:space="preserve"> – The Exhibit Index below contains a list of exhibits filed or furnished with this Form 10-K.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Exhibit Index</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920" w:type="dxa"/>
            <w:vAlign w:val="bottom"/>
            <w:gridSpan w:val="2"/>
          </w:tcPr>
          <w:p>
            <w:pPr>
              <w:spacing w:after="0"/>
              <w:rPr>
                <w:sz w:val="20"/>
                <w:szCs w:val="20"/>
                <w:color w:val="auto"/>
              </w:rPr>
            </w:pPr>
            <w:r>
              <w:rPr>
                <w:rFonts w:ascii="Arial" w:cs="Arial" w:eastAsia="Arial" w:hAnsi="Arial"/>
                <w:sz w:val="16"/>
                <w:szCs w:val="16"/>
                <w:color w:val="auto"/>
              </w:rPr>
              <w:t>Exhibits</w:t>
            </w:r>
          </w:p>
        </w:tc>
        <w:tc>
          <w:tcPr>
            <w:tcW w:w="40" w:type="dxa"/>
            <w:vAlign w:val="bottom"/>
          </w:tcPr>
          <w:p>
            <w:pPr>
              <w:spacing w:after="0"/>
              <w:rPr>
                <w:sz w:val="16"/>
                <w:szCs w:val="16"/>
                <w:color w:val="auto"/>
              </w:rPr>
            </w:pPr>
          </w:p>
        </w:tc>
        <w:tc>
          <w:tcPr>
            <w:tcW w:w="8880" w:type="dxa"/>
            <w:vAlign w:val="bottom"/>
            <w:gridSpan w:val="10"/>
          </w:tcPr>
          <w:p>
            <w:pPr>
              <w:spacing w:after="0"/>
              <w:rPr>
                <w:sz w:val="20"/>
                <w:szCs w:val="20"/>
                <w:color w:val="auto"/>
              </w:rPr>
            </w:pPr>
            <w:r>
              <w:rPr>
                <w:rFonts w:ascii="Arial" w:cs="Arial" w:eastAsia="Arial" w:hAnsi="Arial"/>
                <w:sz w:val="16"/>
                <w:szCs w:val="16"/>
                <w:color w:val="auto"/>
              </w:rPr>
              <w:t>Description (1)</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540" w:type="dxa"/>
            <w:vAlign w:val="bottom"/>
          </w:tcPr>
          <w:p>
            <w:pPr>
              <w:spacing w:after="0"/>
              <w:rPr>
                <w:sz w:val="20"/>
                <w:szCs w:val="20"/>
                <w:color w:val="auto"/>
              </w:rPr>
            </w:pPr>
            <w:r>
              <w:rPr>
                <w:rFonts w:ascii="Arial" w:cs="Arial" w:eastAsia="Arial" w:hAnsi="Arial"/>
                <w:sz w:val="16"/>
                <w:szCs w:val="16"/>
                <w:color w:val="auto"/>
              </w:rPr>
              <w:t>3.1</w:t>
            </w:r>
          </w:p>
        </w:tc>
        <w:tc>
          <w:tcPr>
            <w:tcW w:w="380" w:type="dxa"/>
            <w:vAlign w:val="bottom"/>
          </w:tcPr>
          <w:p>
            <w:pPr>
              <w:spacing w:after="0"/>
              <w:rPr>
                <w:sz w:val="16"/>
                <w:szCs w:val="16"/>
                <w:color w:val="auto"/>
              </w:rPr>
            </w:pPr>
          </w:p>
        </w:tc>
        <w:tc>
          <w:tcPr>
            <w:tcW w:w="8920" w:type="dxa"/>
            <w:vAlign w:val="bottom"/>
            <w:gridSpan w:val="11"/>
          </w:tcPr>
          <w:p>
            <w:pPr>
              <w:spacing w:after="0"/>
              <w:rPr>
                <w:rFonts w:ascii="Arial" w:cs="Arial" w:eastAsia="Arial" w:hAnsi="Arial"/>
                <w:sz w:val="16"/>
                <w:szCs w:val="16"/>
                <w:color w:val="0000FF"/>
                <w:w w:val="97"/>
              </w:rPr>
            </w:pPr>
            <w:hyperlink r:id="rId97">
              <w:r>
                <w:rPr>
                  <w:rFonts w:ascii="Arial" w:cs="Arial" w:eastAsia="Arial" w:hAnsi="Arial"/>
                  <w:sz w:val="16"/>
                  <w:szCs w:val="16"/>
                  <w:u w:val="single" w:color="auto"/>
                  <w:color w:val="0000FF"/>
                  <w:w w:val="97"/>
                </w:rPr>
                <w:t>Composite Articles of Incorporation of MasTec, Inc.</w:t>
              </w:r>
            </w:hyperlink>
            <w:r>
              <w:rPr>
                <w:rFonts w:ascii="Arial" w:cs="Arial" w:eastAsia="Arial" w:hAnsi="Arial"/>
                <w:sz w:val="16"/>
                <w:szCs w:val="16"/>
                <w:color w:val="000000"/>
                <w:w w:val="97"/>
              </w:rPr>
              <w:t>,</w:t>
            </w:r>
            <w:r>
              <w:rPr>
                <w:rFonts w:ascii="Arial" w:cs="Arial" w:eastAsia="Arial" w:hAnsi="Arial"/>
                <w:sz w:val="16"/>
                <w:szCs w:val="16"/>
                <w:color w:val="0000FF"/>
                <w:w w:val="97"/>
              </w:rPr>
              <w:t xml:space="preserve"> </w:t>
            </w:r>
            <w:r>
              <w:rPr>
                <w:rFonts w:ascii="Arial" w:cs="Arial" w:eastAsia="Arial" w:hAnsi="Arial"/>
                <w:sz w:val="16"/>
                <w:szCs w:val="16"/>
                <w:color w:val="000000"/>
                <w:w w:val="97"/>
              </w:rPr>
              <w:t>filed as Exhibit 3.1 to our Annual Report on Form 10-K filed with the SEC on</w:t>
            </w:r>
          </w:p>
        </w:tc>
      </w:tr>
      <w:tr>
        <w:trPr>
          <w:trHeight w:val="20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11"/>
          </w:tcPr>
          <w:p>
            <w:pPr>
              <w:spacing w:after="0"/>
              <w:rPr>
                <w:sz w:val="20"/>
                <w:szCs w:val="20"/>
                <w:color w:val="auto"/>
              </w:rPr>
            </w:pPr>
            <w:r>
              <w:rPr>
                <w:rFonts w:ascii="Arial" w:cs="Arial" w:eastAsia="Arial" w:hAnsi="Arial"/>
                <w:sz w:val="16"/>
                <w:szCs w:val="16"/>
                <w:color w:val="auto"/>
              </w:rPr>
              <w:t>February 25, 2010 and incorporated by reference herein.</w:t>
            </w:r>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3.2</w:t>
            </w:r>
          </w:p>
        </w:tc>
        <w:tc>
          <w:tcPr>
            <w:tcW w:w="380" w:type="dxa"/>
            <w:vAlign w:val="bottom"/>
          </w:tcPr>
          <w:p>
            <w:pPr>
              <w:spacing w:after="0"/>
              <w:rPr>
                <w:sz w:val="14"/>
                <w:szCs w:val="14"/>
                <w:color w:val="auto"/>
              </w:rPr>
            </w:pPr>
          </w:p>
        </w:tc>
        <w:tc>
          <w:tcPr>
            <w:tcW w:w="8920" w:type="dxa"/>
            <w:vAlign w:val="bottom"/>
            <w:gridSpan w:val="11"/>
          </w:tcPr>
          <w:p>
            <w:pPr>
              <w:spacing w:after="0" w:line="171" w:lineRule="exact"/>
              <w:rPr>
                <w:rFonts w:ascii="Arial" w:cs="Arial" w:eastAsia="Arial" w:hAnsi="Arial"/>
                <w:sz w:val="16"/>
                <w:szCs w:val="16"/>
                <w:color w:val="0000FF"/>
                <w:w w:val="96"/>
              </w:rPr>
            </w:pPr>
            <w:hyperlink r:id="rId98">
              <w:r>
                <w:rPr>
                  <w:rFonts w:ascii="Arial" w:cs="Arial" w:eastAsia="Arial" w:hAnsi="Arial"/>
                  <w:sz w:val="16"/>
                  <w:szCs w:val="16"/>
                  <w:u w:val="single" w:color="auto"/>
                  <w:color w:val="0000FF"/>
                  <w:w w:val="96"/>
                </w:rPr>
                <w:t>Amended and Restated By-laws of MasTec, Inc., amended and restated as of January 22, 2010</w:t>
              </w:r>
            </w:hyperlink>
            <w:r>
              <w:rPr>
                <w:rFonts w:ascii="Arial" w:cs="Arial" w:eastAsia="Arial" w:hAnsi="Arial"/>
                <w:sz w:val="16"/>
                <w:szCs w:val="16"/>
                <w:color w:val="000000"/>
                <w:w w:val="96"/>
              </w:rPr>
              <w:t>,</w:t>
            </w:r>
            <w:r>
              <w:rPr>
                <w:rFonts w:ascii="Arial" w:cs="Arial" w:eastAsia="Arial" w:hAnsi="Arial"/>
                <w:sz w:val="16"/>
                <w:szCs w:val="16"/>
                <w:color w:val="0000FF"/>
                <w:w w:val="96"/>
              </w:rPr>
              <w:t xml:space="preserve"> </w:t>
            </w:r>
            <w:r>
              <w:rPr>
                <w:rFonts w:ascii="Arial" w:cs="Arial" w:eastAsia="Arial" w:hAnsi="Arial"/>
                <w:sz w:val="16"/>
                <w:szCs w:val="16"/>
                <w:color w:val="000000"/>
                <w:w w:val="96"/>
              </w:rPr>
              <w:t>filed as Exhibit 3.1 to our Current</w:t>
            </w:r>
          </w:p>
        </w:tc>
      </w:tr>
      <w:tr>
        <w:trPr>
          <w:trHeight w:val="20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11"/>
          </w:tcPr>
          <w:p>
            <w:pPr>
              <w:spacing w:after="0"/>
              <w:rPr>
                <w:sz w:val="20"/>
                <w:szCs w:val="20"/>
                <w:color w:val="auto"/>
              </w:rPr>
            </w:pPr>
            <w:r>
              <w:rPr>
                <w:rFonts w:ascii="Arial" w:cs="Arial" w:eastAsia="Arial" w:hAnsi="Arial"/>
                <w:sz w:val="16"/>
                <w:szCs w:val="16"/>
                <w:color w:val="auto"/>
              </w:rPr>
              <w:t>Report on Form 8-K filed with the SEC on January 28, 2010 and incorporated by reference herein.</w:t>
            </w:r>
          </w:p>
        </w:tc>
      </w:tr>
      <w:tr>
        <w:trPr>
          <w:trHeight w:val="181"/>
        </w:trPr>
        <w:tc>
          <w:tcPr>
            <w:tcW w:w="540" w:type="dxa"/>
            <w:vAlign w:val="bottom"/>
          </w:tcPr>
          <w:p>
            <w:pPr>
              <w:spacing w:after="0" w:line="181" w:lineRule="exact"/>
              <w:rPr>
                <w:sz w:val="20"/>
                <w:szCs w:val="20"/>
                <w:color w:val="auto"/>
              </w:rPr>
            </w:pPr>
            <w:r>
              <w:rPr>
                <w:rFonts w:ascii="Arial" w:cs="Arial" w:eastAsia="Arial" w:hAnsi="Arial"/>
                <w:sz w:val="16"/>
                <w:szCs w:val="16"/>
                <w:color w:val="auto"/>
              </w:rPr>
              <w:t>4.1</w:t>
            </w:r>
          </w:p>
        </w:tc>
        <w:tc>
          <w:tcPr>
            <w:tcW w:w="380" w:type="dxa"/>
            <w:vAlign w:val="bottom"/>
          </w:tcPr>
          <w:p>
            <w:pPr>
              <w:spacing w:after="0"/>
              <w:rPr>
                <w:sz w:val="15"/>
                <w:szCs w:val="15"/>
                <w:color w:val="auto"/>
              </w:rPr>
            </w:pPr>
          </w:p>
        </w:tc>
        <w:tc>
          <w:tcPr>
            <w:tcW w:w="8920" w:type="dxa"/>
            <w:vAlign w:val="bottom"/>
            <w:gridSpan w:val="11"/>
          </w:tcPr>
          <w:p>
            <w:pPr>
              <w:spacing w:after="0" w:line="181" w:lineRule="exact"/>
              <w:rPr>
                <w:rFonts w:ascii="Arial" w:cs="Arial" w:eastAsia="Arial" w:hAnsi="Arial"/>
                <w:sz w:val="16"/>
                <w:szCs w:val="16"/>
                <w:color w:val="0000FF"/>
                <w:w w:val="95"/>
              </w:rPr>
            </w:pPr>
            <w:hyperlink r:id="rId99">
              <w:r>
                <w:rPr>
                  <w:rFonts w:ascii="Arial" w:cs="Arial" w:eastAsia="Arial" w:hAnsi="Arial"/>
                  <w:sz w:val="16"/>
                  <w:szCs w:val="16"/>
                  <w:color w:val="0000FF"/>
                  <w:w w:val="95"/>
                </w:rPr>
                <w:t>Indenture, dated June 5, 2009, by and among MasTec, Inc., MasTec Inc.’s subsidiaries party thereto, as guarantors, and U.S. Bank</w:t>
              </w:r>
            </w:hyperlink>
          </w:p>
        </w:tc>
      </w:tr>
      <w:tr>
        <w:trPr>
          <w:trHeight w:val="142"/>
        </w:trPr>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780" w:type="dxa"/>
            <w:vAlign w:val="bottom"/>
            <w:tcBorders>
              <w:top w:val="single" w:sz="8" w:color="0000FF"/>
            </w:tcBorders>
            <w:gridSpan w:val="7"/>
          </w:tcPr>
          <w:p>
            <w:pPr>
              <w:spacing w:after="0" w:line="142" w:lineRule="exact"/>
              <w:rPr>
                <w:rFonts w:ascii="Arial" w:cs="Arial" w:eastAsia="Arial" w:hAnsi="Arial"/>
                <w:sz w:val="16"/>
                <w:szCs w:val="16"/>
                <w:color w:val="0000FF"/>
                <w:w w:val="98"/>
              </w:rPr>
            </w:pPr>
            <w:hyperlink r:id="rId99">
              <w:r>
                <w:rPr>
                  <w:rFonts w:ascii="Arial" w:cs="Arial" w:eastAsia="Arial" w:hAnsi="Arial"/>
                  <w:sz w:val="16"/>
                  <w:szCs w:val="16"/>
                  <w:color w:val="0000FF"/>
                  <w:w w:val="98"/>
                </w:rPr>
                <w:t>National Association, as trustee</w:t>
              </w:r>
              <w:r>
                <w:rPr>
                  <w:rFonts w:ascii="Arial" w:cs="Arial" w:eastAsia="Arial" w:hAnsi="Arial"/>
                  <w:sz w:val="16"/>
                  <w:szCs w:val="16"/>
                  <w:color w:val="000000"/>
                  <w:w w:val="98"/>
                </w:rPr>
                <w:t>, filed as Exhibit 4.2 to our Current Report on Form 8-K filed with the SEC on June 5, 2009 and</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auto"/>
                <w:w w:val="89"/>
              </w:rPr>
              <w:t>incorporated by reference herein.</w:t>
            </w:r>
          </w:p>
        </w:tc>
        <w:tc>
          <w:tcPr>
            <w:tcW w:w="25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9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540" w:type="dxa"/>
            <w:vAlign w:val="bottom"/>
          </w:tcPr>
          <w:p>
            <w:pPr>
              <w:spacing w:after="0" w:line="175" w:lineRule="exact"/>
              <w:rPr>
                <w:sz w:val="20"/>
                <w:szCs w:val="20"/>
                <w:color w:val="auto"/>
              </w:rPr>
            </w:pPr>
            <w:r>
              <w:rPr>
                <w:rFonts w:ascii="Arial" w:cs="Arial" w:eastAsia="Arial" w:hAnsi="Arial"/>
                <w:sz w:val="16"/>
                <w:szCs w:val="16"/>
                <w:color w:val="auto"/>
              </w:rPr>
              <w:t>4.2</w:t>
            </w:r>
          </w:p>
        </w:tc>
        <w:tc>
          <w:tcPr>
            <w:tcW w:w="380" w:type="dxa"/>
            <w:vAlign w:val="bottom"/>
          </w:tcPr>
          <w:p>
            <w:pPr>
              <w:spacing w:after="0"/>
              <w:rPr>
                <w:sz w:val="15"/>
                <w:szCs w:val="15"/>
                <w:color w:val="auto"/>
              </w:rPr>
            </w:pPr>
          </w:p>
        </w:tc>
        <w:tc>
          <w:tcPr>
            <w:tcW w:w="8920" w:type="dxa"/>
            <w:vAlign w:val="bottom"/>
            <w:gridSpan w:val="11"/>
          </w:tcPr>
          <w:p>
            <w:pPr>
              <w:spacing w:after="0" w:line="175" w:lineRule="exact"/>
              <w:rPr>
                <w:rFonts w:ascii="Arial" w:cs="Arial" w:eastAsia="Arial" w:hAnsi="Arial"/>
                <w:sz w:val="16"/>
                <w:szCs w:val="16"/>
                <w:color w:val="0000FF"/>
                <w:w w:val="98"/>
              </w:rPr>
            </w:pPr>
            <w:hyperlink r:id="rId100">
              <w:r>
                <w:rPr>
                  <w:rFonts w:ascii="Arial" w:cs="Arial" w:eastAsia="Arial" w:hAnsi="Arial"/>
                  <w:sz w:val="16"/>
                  <w:szCs w:val="16"/>
                  <w:u w:val="single" w:color="auto"/>
                  <w:color w:val="0000FF"/>
                  <w:w w:val="98"/>
                </w:rPr>
                <w:t>Form of 4.50% Senior Note due 2028</w:t>
              </w:r>
            </w:hyperlink>
            <w:r>
              <w:rPr>
                <w:rFonts w:ascii="Arial" w:cs="Arial" w:eastAsia="Arial" w:hAnsi="Arial"/>
                <w:sz w:val="16"/>
                <w:szCs w:val="16"/>
                <w:color w:val="000000"/>
                <w:w w:val="98"/>
              </w:rPr>
              <w:t>,</w:t>
            </w:r>
            <w:r>
              <w:rPr>
                <w:rFonts w:ascii="Arial" w:cs="Arial" w:eastAsia="Arial" w:hAnsi="Arial"/>
                <w:sz w:val="16"/>
                <w:szCs w:val="16"/>
                <w:color w:val="0000FF"/>
                <w:w w:val="98"/>
              </w:rPr>
              <w:t xml:space="preserve"> </w:t>
            </w:r>
            <w:r>
              <w:rPr>
                <w:rFonts w:ascii="Arial" w:cs="Arial" w:eastAsia="Arial" w:hAnsi="Arial"/>
                <w:sz w:val="16"/>
                <w:szCs w:val="16"/>
                <w:color w:val="000000"/>
                <w:w w:val="98"/>
              </w:rPr>
              <w:t>incorporated by reference to Exhibit A of Exhibit 4.3 and filed as Exhibit 4.1 to our Current</w:t>
            </w:r>
          </w:p>
        </w:tc>
      </w:tr>
      <w:tr>
        <w:trPr>
          <w:trHeight w:val="20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11"/>
          </w:tcPr>
          <w:p>
            <w:pPr>
              <w:spacing w:after="0"/>
              <w:rPr>
                <w:sz w:val="20"/>
                <w:szCs w:val="20"/>
                <w:color w:val="auto"/>
              </w:rPr>
            </w:pPr>
            <w:r>
              <w:rPr>
                <w:rFonts w:ascii="Arial" w:cs="Arial" w:eastAsia="Arial" w:hAnsi="Arial"/>
                <w:sz w:val="16"/>
                <w:szCs w:val="16"/>
                <w:color w:val="auto"/>
              </w:rPr>
              <w:t>Report on Form 8-K filed with the SEC on August 4, 2020.</w:t>
            </w:r>
          </w:p>
        </w:tc>
      </w:tr>
      <w:tr>
        <w:trPr>
          <w:trHeight w:val="195"/>
        </w:trPr>
        <w:tc>
          <w:tcPr>
            <w:tcW w:w="540" w:type="dxa"/>
            <w:vAlign w:val="bottom"/>
          </w:tcPr>
          <w:p>
            <w:pPr>
              <w:spacing w:after="0"/>
              <w:rPr>
                <w:sz w:val="20"/>
                <w:szCs w:val="20"/>
                <w:color w:val="auto"/>
              </w:rPr>
            </w:pPr>
            <w:r>
              <w:rPr>
                <w:rFonts w:ascii="Arial" w:cs="Arial" w:eastAsia="Arial" w:hAnsi="Arial"/>
                <w:sz w:val="16"/>
                <w:szCs w:val="16"/>
                <w:color w:val="auto"/>
              </w:rPr>
              <w:t>4.3</w:t>
            </w:r>
          </w:p>
        </w:tc>
        <w:tc>
          <w:tcPr>
            <w:tcW w:w="380" w:type="dxa"/>
            <w:vAlign w:val="bottom"/>
          </w:tcPr>
          <w:p>
            <w:pPr>
              <w:spacing w:after="0"/>
              <w:rPr>
                <w:sz w:val="16"/>
                <w:szCs w:val="16"/>
                <w:color w:val="auto"/>
              </w:rPr>
            </w:pPr>
          </w:p>
        </w:tc>
        <w:tc>
          <w:tcPr>
            <w:tcW w:w="8920" w:type="dxa"/>
            <w:vAlign w:val="bottom"/>
            <w:gridSpan w:val="11"/>
          </w:tcPr>
          <w:p>
            <w:pPr>
              <w:spacing w:after="0"/>
              <w:rPr>
                <w:rFonts w:ascii="Arial" w:cs="Arial" w:eastAsia="Arial" w:hAnsi="Arial"/>
                <w:sz w:val="16"/>
                <w:szCs w:val="16"/>
                <w:color w:val="0000FF"/>
              </w:rPr>
            </w:pPr>
            <w:hyperlink r:id="rId100">
              <w:r>
                <w:rPr>
                  <w:rFonts w:ascii="Arial" w:cs="Arial" w:eastAsia="Arial" w:hAnsi="Arial"/>
                  <w:sz w:val="16"/>
                  <w:szCs w:val="16"/>
                  <w:color w:val="0000FF"/>
                </w:rPr>
                <w:t>Indenture, dated August 4, 2020, by and among the Company, certain of the Company’s subsidiaries and U.S. Bank National</w:t>
              </w:r>
            </w:hyperlink>
          </w:p>
        </w:tc>
      </w:tr>
      <w:tr>
        <w:trPr>
          <w:trHeight w:val="142"/>
        </w:trPr>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900" w:type="dxa"/>
            <w:vAlign w:val="bottom"/>
            <w:tcBorders>
              <w:top w:val="single" w:sz="8" w:color="0000FF"/>
            </w:tcBorders>
            <w:gridSpan w:val="10"/>
          </w:tcPr>
          <w:p>
            <w:pPr>
              <w:spacing w:after="0" w:line="142" w:lineRule="exact"/>
              <w:rPr>
                <w:rFonts w:ascii="Arial" w:cs="Arial" w:eastAsia="Arial" w:hAnsi="Arial"/>
                <w:sz w:val="16"/>
                <w:szCs w:val="16"/>
                <w:color w:val="0000FF"/>
                <w:w w:val="93"/>
              </w:rPr>
            </w:pPr>
            <w:hyperlink r:id="rId100">
              <w:r>
                <w:rPr>
                  <w:rFonts w:ascii="Arial" w:cs="Arial" w:eastAsia="Arial" w:hAnsi="Arial"/>
                  <w:sz w:val="16"/>
                  <w:szCs w:val="16"/>
                  <w:color w:val="0000FF"/>
                  <w:w w:val="93"/>
                </w:rPr>
                <w:t>Association, as trustee</w:t>
              </w:r>
              <w:r>
                <w:rPr>
                  <w:rFonts w:ascii="Arial" w:cs="Arial" w:eastAsia="Arial" w:hAnsi="Arial"/>
                  <w:sz w:val="16"/>
                  <w:szCs w:val="16"/>
                  <w:color w:val="000000"/>
                  <w:w w:val="93"/>
                </w:rPr>
                <w:t>, filed as Exhibit 4.2 to our Current Report on Form 10-Q filed with the SEC on August 4, 2020 and incorporated</w:t>
              </w:r>
            </w:hyperlink>
          </w:p>
        </w:tc>
        <w:tc>
          <w:tcPr>
            <w:tcW w:w="20" w:type="dxa"/>
            <w:vAlign w:val="bottom"/>
          </w:tcPr>
          <w:p>
            <w:pPr>
              <w:spacing w:after="0"/>
              <w:rPr>
                <w:sz w:val="12"/>
                <w:szCs w:val="12"/>
                <w:color w:val="auto"/>
              </w:rPr>
            </w:pPr>
          </w:p>
        </w:tc>
      </w:tr>
      <w:tr>
        <w:trPr>
          <w:trHeight w:val="186"/>
        </w:trPr>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by reference herein.</w:t>
            </w:r>
          </w:p>
        </w:tc>
        <w:tc>
          <w:tcPr>
            <w:tcW w:w="3240" w:type="dxa"/>
            <w:vAlign w:val="bottom"/>
            <w:gridSpan w:val="2"/>
          </w:tcPr>
          <w:p>
            <w:pPr>
              <w:spacing w:after="0"/>
              <w:rPr>
                <w:sz w:val="16"/>
                <w:szCs w:val="16"/>
                <w:color w:val="auto"/>
              </w:rPr>
            </w:pPr>
          </w:p>
        </w:tc>
        <w:tc>
          <w:tcPr>
            <w:tcW w:w="2200" w:type="dxa"/>
            <w:vAlign w:val="bottom"/>
          </w:tcPr>
          <w:p>
            <w:pPr>
              <w:spacing w:after="0"/>
              <w:rPr>
                <w:sz w:val="16"/>
                <w:szCs w:val="16"/>
                <w:color w:val="auto"/>
              </w:rPr>
            </w:pPr>
          </w:p>
        </w:tc>
        <w:tc>
          <w:tcPr>
            <w:tcW w:w="19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62"/>
        </w:trPr>
        <w:tc>
          <w:tcPr>
            <w:tcW w:w="540" w:type="dxa"/>
            <w:vAlign w:val="bottom"/>
          </w:tcPr>
          <w:p>
            <w:pPr>
              <w:spacing w:after="0" w:line="162" w:lineRule="exact"/>
              <w:rPr>
                <w:sz w:val="20"/>
                <w:szCs w:val="20"/>
                <w:color w:val="auto"/>
              </w:rPr>
            </w:pPr>
            <w:r>
              <w:rPr>
                <w:rFonts w:ascii="Arial" w:cs="Arial" w:eastAsia="Arial" w:hAnsi="Arial"/>
                <w:sz w:val="16"/>
                <w:szCs w:val="16"/>
                <w:color w:val="auto"/>
              </w:rPr>
              <w:t>4.4</w:t>
            </w:r>
          </w:p>
        </w:tc>
        <w:tc>
          <w:tcPr>
            <w:tcW w:w="380" w:type="dxa"/>
            <w:vAlign w:val="bottom"/>
          </w:tcPr>
          <w:p>
            <w:pPr>
              <w:spacing w:after="0"/>
              <w:rPr>
                <w:sz w:val="14"/>
                <w:szCs w:val="14"/>
                <w:color w:val="auto"/>
              </w:rPr>
            </w:pPr>
          </w:p>
        </w:tc>
        <w:tc>
          <w:tcPr>
            <w:tcW w:w="8920" w:type="dxa"/>
            <w:vAlign w:val="bottom"/>
            <w:gridSpan w:val="11"/>
          </w:tcPr>
          <w:p>
            <w:pPr>
              <w:spacing w:after="0" w:line="162" w:lineRule="exact"/>
              <w:rPr>
                <w:rFonts w:ascii="Arial" w:cs="Arial" w:eastAsia="Arial" w:hAnsi="Arial"/>
                <w:sz w:val="16"/>
                <w:szCs w:val="16"/>
                <w:color w:val="0000FF"/>
                <w:w w:val="96"/>
              </w:rPr>
            </w:pPr>
            <w:hyperlink r:id="rId101">
              <w:r>
                <w:rPr>
                  <w:rFonts w:ascii="Arial" w:cs="Arial" w:eastAsia="Arial" w:hAnsi="Arial"/>
                  <w:sz w:val="16"/>
                  <w:szCs w:val="16"/>
                  <w:u w:val="single" w:color="auto"/>
                  <w:color w:val="0000FF"/>
                  <w:w w:val="96"/>
                </w:rPr>
                <w:t>Description of Capital Stock</w:t>
              </w:r>
            </w:hyperlink>
            <w:r>
              <w:rPr>
                <w:rFonts w:ascii="Arial" w:cs="Arial" w:eastAsia="Arial" w:hAnsi="Arial"/>
                <w:sz w:val="16"/>
                <w:szCs w:val="16"/>
                <w:color w:val="000000"/>
                <w:w w:val="96"/>
              </w:rPr>
              <w:t>,</w:t>
            </w:r>
            <w:r>
              <w:rPr>
                <w:rFonts w:ascii="Arial" w:cs="Arial" w:eastAsia="Arial" w:hAnsi="Arial"/>
                <w:sz w:val="16"/>
                <w:szCs w:val="16"/>
                <w:color w:val="0000FF"/>
                <w:w w:val="96"/>
              </w:rPr>
              <w:t xml:space="preserve"> </w:t>
            </w:r>
            <w:r>
              <w:rPr>
                <w:rFonts w:ascii="Arial" w:cs="Arial" w:eastAsia="Arial" w:hAnsi="Arial"/>
                <w:sz w:val="16"/>
                <w:szCs w:val="16"/>
                <w:color w:val="000000"/>
                <w:w w:val="96"/>
              </w:rPr>
              <w:t>filed as Exhibit 4.17 to our Annual Report on Form 10-K filed with the SEC on February 27, 2020 and</w:t>
            </w:r>
          </w:p>
        </w:tc>
      </w:tr>
      <w:tr>
        <w:trPr>
          <w:trHeight w:val="20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11"/>
          </w:tcPr>
          <w:p>
            <w:pPr>
              <w:spacing w:after="0"/>
              <w:rPr>
                <w:sz w:val="20"/>
                <w:szCs w:val="20"/>
                <w:color w:val="auto"/>
              </w:rPr>
            </w:pPr>
            <w:r>
              <w:rPr>
                <w:rFonts w:ascii="Arial" w:cs="Arial" w:eastAsia="Arial" w:hAnsi="Arial"/>
                <w:sz w:val="16"/>
                <w:szCs w:val="16"/>
                <w:color w:val="auto"/>
              </w:rPr>
              <w:t>incorporated by reference herein.</w:t>
            </w:r>
          </w:p>
        </w:tc>
      </w:tr>
      <w:tr>
        <w:trPr>
          <w:trHeight w:val="181"/>
        </w:trPr>
        <w:tc>
          <w:tcPr>
            <w:tcW w:w="540" w:type="dxa"/>
            <w:vAlign w:val="bottom"/>
          </w:tcPr>
          <w:p>
            <w:pPr>
              <w:spacing w:after="0" w:line="181" w:lineRule="exact"/>
              <w:rPr>
                <w:sz w:val="20"/>
                <w:szCs w:val="20"/>
                <w:color w:val="auto"/>
              </w:rPr>
            </w:pPr>
            <w:r>
              <w:rPr>
                <w:rFonts w:ascii="Arial" w:cs="Arial" w:eastAsia="Arial" w:hAnsi="Arial"/>
                <w:sz w:val="16"/>
                <w:szCs w:val="16"/>
                <w:color w:val="auto"/>
              </w:rPr>
              <w:t>10.1+</w:t>
            </w:r>
          </w:p>
        </w:tc>
        <w:tc>
          <w:tcPr>
            <w:tcW w:w="380" w:type="dxa"/>
            <w:vAlign w:val="bottom"/>
          </w:tcPr>
          <w:p>
            <w:pPr>
              <w:spacing w:after="0"/>
              <w:rPr>
                <w:sz w:val="15"/>
                <w:szCs w:val="15"/>
                <w:color w:val="auto"/>
              </w:rPr>
            </w:pPr>
          </w:p>
        </w:tc>
        <w:tc>
          <w:tcPr>
            <w:tcW w:w="8920" w:type="dxa"/>
            <w:vAlign w:val="bottom"/>
            <w:gridSpan w:val="11"/>
          </w:tcPr>
          <w:p>
            <w:pPr>
              <w:spacing w:after="0" w:line="181" w:lineRule="exact"/>
              <w:rPr>
                <w:rFonts w:ascii="Arial" w:cs="Arial" w:eastAsia="Arial" w:hAnsi="Arial"/>
                <w:sz w:val="16"/>
                <w:szCs w:val="16"/>
                <w:color w:val="0000FF"/>
                <w:w w:val="91"/>
              </w:rPr>
            </w:pPr>
            <w:hyperlink r:id="rId102">
              <w:r>
                <w:rPr>
                  <w:rFonts w:ascii="Arial" w:cs="Arial" w:eastAsia="Arial" w:hAnsi="Arial"/>
                  <w:sz w:val="16"/>
                  <w:szCs w:val="16"/>
                  <w:color w:val="0000FF"/>
                  <w:w w:val="91"/>
                </w:rPr>
                <w:t>Split Dollar Agreement, dated as of February 26, 2018, by and between MasTec, Inc., Jorge Mas, and José Ramon Mas and Juan Carlos</w:t>
              </w:r>
            </w:hyperlink>
          </w:p>
        </w:tc>
      </w:tr>
      <w:tr>
        <w:trPr>
          <w:trHeight w:val="142"/>
        </w:trPr>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80" w:type="dxa"/>
            <w:vAlign w:val="bottom"/>
            <w:tcBorders>
              <w:top w:val="single" w:sz="8" w:color="0000FF"/>
            </w:tcBorders>
            <w:gridSpan w:val="9"/>
          </w:tcPr>
          <w:p>
            <w:pPr>
              <w:spacing w:after="0" w:line="142" w:lineRule="exact"/>
              <w:rPr>
                <w:rFonts w:ascii="Arial" w:cs="Arial" w:eastAsia="Arial" w:hAnsi="Arial"/>
                <w:sz w:val="16"/>
                <w:szCs w:val="16"/>
                <w:color w:val="0000FF"/>
                <w:w w:val="93"/>
              </w:rPr>
            </w:pPr>
            <w:hyperlink r:id="rId102">
              <w:r>
                <w:rPr>
                  <w:rFonts w:ascii="Arial" w:cs="Arial" w:eastAsia="Arial" w:hAnsi="Arial"/>
                  <w:sz w:val="16"/>
                  <w:szCs w:val="16"/>
                  <w:color w:val="0000FF"/>
                  <w:w w:val="93"/>
                </w:rPr>
                <w:t>Mas, as Trustees of the Jorge Mas Irrevocable Trust, dated June 1, 2012</w:t>
              </w:r>
              <w:r>
                <w:rPr>
                  <w:rFonts w:ascii="Arial" w:cs="Arial" w:eastAsia="Arial" w:hAnsi="Arial"/>
                  <w:sz w:val="16"/>
                  <w:szCs w:val="16"/>
                  <w:color w:val="000000"/>
                  <w:w w:val="93"/>
                </w:rPr>
                <w:t>, filed as Exhibit 10.1 to our Annual Report on Form 10-K filed</w:t>
              </w:r>
            </w:hyperlink>
          </w:p>
        </w:tc>
        <w:tc>
          <w:tcPr>
            <w:tcW w:w="40" w:type="dxa"/>
            <w:vAlign w:val="bottom"/>
            <w:gridSpan w:val="2"/>
          </w:tcPr>
          <w:p>
            <w:pPr>
              <w:spacing w:after="0"/>
              <w:rPr>
                <w:sz w:val="12"/>
                <w:szCs w:val="12"/>
                <w:color w:val="auto"/>
              </w:rPr>
            </w:pPr>
          </w:p>
        </w:tc>
      </w:tr>
      <w:tr>
        <w:trPr>
          <w:trHeight w:val="186"/>
        </w:trPr>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70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w w:val="89"/>
              </w:rPr>
              <w:t>with the SEC on February 27, 2018 and incorporated by reference herein.</w:t>
            </w:r>
          </w:p>
        </w:tc>
        <w:tc>
          <w:tcPr>
            <w:tcW w:w="2200" w:type="dxa"/>
            <w:vAlign w:val="bottom"/>
          </w:tcPr>
          <w:p>
            <w:pPr>
              <w:spacing w:after="0"/>
              <w:rPr>
                <w:sz w:val="16"/>
                <w:szCs w:val="16"/>
                <w:color w:val="auto"/>
              </w:rPr>
            </w:pPr>
          </w:p>
        </w:tc>
        <w:tc>
          <w:tcPr>
            <w:tcW w:w="196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rPr>
              <w:t>10.2+</w:t>
            </w:r>
          </w:p>
        </w:tc>
        <w:tc>
          <w:tcPr>
            <w:tcW w:w="380" w:type="dxa"/>
            <w:vAlign w:val="bottom"/>
          </w:tcPr>
          <w:p>
            <w:pPr>
              <w:spacing w:after="0"/>
              <w:rPr>
                <w:sz w:val="14"/>
                <w:szCs w:val="14"/>
                <w:color w:val="auto"/>
              </w:rPr>
            </w:pPr>
          </w:p>
        </w:tc>
        <w:tc>
          <w:tcPr>
            <w:tcW w:w="8920" w:type="dxa"/>
            <w:vAlign w:val="bottom"/>
            <w:gridSpan w:val="11"/>
          </w:tcPr>
          <w:p>
            <w:pPr>
              <w:spacing w:after="0" w:line="172" w:lineRule="exact"/>
              <w:rPr>
                <w:rFonts w:ascii="Arial" w:cs="Arial" w:eastAsia="Arial" w:hAnsi="Arial"/>
                <w:sz w:val="16"/>
                <w:szCs w:val="16"/>
                <w:color w:val="0000FF"/>
                <w:w w:val="92"/>
              </w:rPr>
            </w:pPr>
            <w:hyperlink r:id="rId103">
              <w:r>
                <w:rPr>
                  <w:rFonts w:ascii="Arial" w:cs="Arial" w:eastAsia="Arial" w:hAnsi="Arial"/>
                  <w:sz w:val="16"/>
                  <w:szCs w:val="16"/>
                  <w:color w:val="0000FF"/>
                  <w:w w:val="92"/>
                </w:rPr>
                <w:t>Split Dollar Agreement, dated as of February 26, 2018, by and between MasTec, Inc., José Ramon Mas, and Patricia C. Mas, Jorge Mas</w:t>
              </w:r>
            </w:hyperlink>
          </w:p>
        </w:tc>
      </w:tr>
      <w:tr>
        <w:trPr>
          <w:trHeight w:val="142"/>
        </w:trPr>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60" w:type="dxa"/>
            <w:vAlign w:val="bottom"/>
            <w:tcBorders>
              <w:top w:val="single" w:sz="8" w:color="0000FF"/>
            </w:tcBorders>
            <w:gridSpan w:val="8"/>
          </w:tcPr>
          <w:p>
            <w:pPr>
              <w:spacing w:after="0" w:line="142" w:lineRule="exact"/>
              <w:rPr>
                <w:rFonts w:ascii="Arial" w:cs="Arial" w:eastAsia="Arial" w:hAnsi="Arial"/>
                <w:sz w:val="16"/>
                <w:szCs w:val="16"/>
                <w:color w:val="0000FF"/>
                <w:w w:val="96"/>
              </w:rPr>
            </w:pPr>
            <w:hyperlink r:id="rId103">
              <w:r>
                <w:rPr>
                  <w:rFonts w:ascii="Arial" w:cs="Arial" w:eastAsia="Arial" w:hAnsi="Arial"/>
                  <w:sz w:val="16"/>
                  <w:szCs w:val="16"/>
                  <w:color w:val="0000FF"/>
                  <w:w w:val="96"/>
                </w:rPr>
                <w:t>and Juan Carlos Mas, as Trustees of the José Ramon Mas Irrevocable Trust, dated December 7, 2012</w:t>
              </w:r>
              <w:r>
                <w:rPr>
                  <w:rFonts w:ascii="Arial" w:cs="Arial" w:eastAsia="Arial" w:hAnsi="Arial"/>
                  <w:sz w:val="16"/>
                  <w:szCs w:val="16"/>
                  <w:color w:val="000000"/>
                  <w:w w:val="96"/>
                </w:rPr>
                <w:t>, filed as Exhibit 10.2 to our</w:t>
              </w:r>
            </w:hyperlink>
          </w:p>
        </w:tc>
        <w:tc>
          <w:tcPr>
            <w:tcW w:w="60" w:type="dxa"/>
            <w:vAlign w:val="bottom"/>
            <w:gridSpan w:val="3"/>
          </w:tcPr>
          <w:p>
            <w:pPr>
              <w:spacing w:after="0"/>
              <w:rPr>
                <w:sz w:val="12"/>
                <w:szCs w:val="12"/>
                <w:color w:val="auto"/>
              </w:rPr>
            </w:pP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900" w:type="dxa"/>
            <w:vAlign w:val="bottom"/>
            <w:gridSpan w:val="6"/>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r>
      <w:tr>
        <w:trPr>
          <w:trHeight w:val="186"/>
        </w:trPr>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20" w:type="dxa"/>
            <w:vAlign w:val="bottom"/>
            <w:gridSpan w:val="11"/>
          </w:tcPr>
          <w:p>
            <w:pPr>
              <w:spacing w:after="0"/>
              <w:rPr>
                <w:sz w:val="20"/>
                <w:szCs w:val="20"/>
                <w:color w:val="auto"/>
              </w:rPr>
            </w:pPr>
            <w:r>
              <w:rPr>
                <w:rFonts w:ascii="Arial" w:cs="Arial" w:eastAsia="Arial" w:hAnsi="Arial"/>
                <w:sz w:val="16"/>
                <w:szCs w:val="16"/>
                <w:color w:val="auto"/>
              </w:rPr>
              <w:t>Annual Report on Form 10-K filed with the SEC on February 27, 2018 and incorporated by reference herein.</w:t>
            </w:r>
          </w:p>
        </w:tc>
      </w:tr>
      <w:tr>
        <w:trPr>
          <w:trHeight w:val="206"/>
        </w:trPr>
        <w:tc>
          <w:tcPr>
            <w:tcW w:w="540" w:type="dxa"/>
            <w:vAlign w:val="bottom"/>
          </w:tcPr>
          <w:p>
            <w:pPr>
              <w:spacing w:after="0"/>
              <w:rPr>
                <w:sz w:val="20"/>
                <w:szCs w:val="20"/>
                <w:color w:val="auto"/>
              </w:rPr>
            </w:pPr>
            <w:r>
              <w:rPr>
                <w:rFonts w:ascii="Arial" w:cs="Arial" w:eastAsia="Arial" w:hAnsi="Arial"/>
                <w:sz w:val="16"/>
                <w:szCs w:val="16"/>
                <w:color w:val="auto"/>
              </w:rPr>
              <w:t>10.3*+</w:t>
            </w:r>
          </w:p>
        </w:tc>
        <w:tc>
          <w:tcPr>
            <w:tcW w:w="380" w:type="dxa"/>
            <w:vAlign w:val="bottom"/>
          </w:tcPr>
          <w:p>
            <w:pPr>
              <w:spacing w:after="0"/>
              <w:rPr>
                <w:sz w:val="17"/>
                <w:szCs w:val="17"/>
                <w:color w:val="auto"/>
              </w:rPr>
            </w:pPr>
          </w:p>
        </w:tc>
        <w:tc>
          <w:tcPr>
            <w:tcW w:w="8920" w:type="dxa"/>
            <w:vAlign w:val="bottom"/>
            <w:gridSpan w:val="11"/>
          </w:tcPr>
          <w:p>
            <w:pPr>
              <w:spacing w:after="0"/>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MasTec, Inc. Amended and Restated Deferred Compensation Plan.</w:t>
              </w:r>
            </w:hyperlink>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10.4+</w:t>
            </w:r>
          </w:p>
        </w:tc>
        <w:tc>
          <w:tcPr>
            <w:tcW w:w="380" w:type="dxa"/>
            <w:vAlign w:val="bottom"/>
          </w:tcPr>
          <w:p>
            <w:pPr>
              <w:spacing w:after="0"/>
              <w:rPr>
                <w:sz w:val="14"/>
                <w:szCs w:val="14"/>
                <w:color w:val="auto"/>
              </w:rPr>
            </w:pPr>
          </w:p>
        </w:tc>
        <w:tc>
          <w:tcPr>
            <w:tcW w:w="8920" w:type="dxa"/>
            <w:vAlign w:val="bottom"/>
            <w:gridSpan w:val="11"/>
          </w:tcPr>
          <w:p>
            <w:pPr>
              <w:spacing w:after="0" w:line="171" w:lineRule="exact"/>
              <w:rPr>
                <w:rFonts w:ascii="Arial" w:cs="Arial" w:eastAsia="Arial" w:hAnsi="Arial"/>
                <w:sz w:val="16"/>
                <w:szCs w:val="16"/>
                <w:color w:val="0000FF"/>
                <w:w w:val="94"/>
              </w:rPr>
            </w:pPr>
            <w:hyperlink r:id="rId104">
              <w:r>
                <w:rPr>
                  <w:rFonts w:ascii="Arial" w:cs="Arial" w:eastAsia="Arial" w:hAnsi="Arial"/>
                  <w:sz w:val="16"/>
                  <w:szCs w:val="16"/>
                  <w:u w:val="single" w:color="auto"/>
                  <w:color w:val="0000FF"/>
                  <w:w w:val="94"/>
                </w:rPr>
                <w:t>Employment Agreement, effective as of January 1, 2010, between MasTec, Inc. and Robert Apple</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Exhibit 10.2 to our Current</w:t>
            </w:r>
          </w:p>
        </w:tc>
      </w:tr>
      <w:tr>
        <w:trPr>
          <w:trHeight w:val="20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11"/>
          </w:tcPr>
          <w:p>
            <w:pPr>
              <w:spacing w:after="0"/>
              <w:rPr>
                <w:sz w:val="20"/>
                <w:szCs w:val="20"/>
                <w:color w:val="auto"/>
              </w:rPr>
            </w:pPr>
            <w:r>
              <w:rPr>
                <w:rFonts w:ascii="Arial" w:cs="Arial" w:eastAsia="Arial" w:hAnsi="Arial"/>
                <w:sz w:val="16"/>
                <w:szCs w:val="16"/>
                <w:color w:val="auto"/>
              </w:rPr>
              <w:t>Report on Form 8-K filed with the SEC on January 28, 2010 and incorporated by reference herein.</w:t>
            </w:r>
          </w:p>
        </w:tc>
      </w:tr>
    </w:tbl>
    <w:p>
      <w:pPr>
        <w:spacing w:after="0" w:line="10" w:lineRule="exact"/>
        <w:rPr>
          <w:sz w:val="20"/>
          <w:szCs w:val="20"/>
          <w:color w:val="auto"/>
        </w:rPr>
      </w:pPr>
    </w:p>
    <w:p>
      <w:pPr>
        <w:sectPr>
          <w:pgSz w:w="11900" w:h="16838" w:orient="portrait"/>
          <w:cols w:equalWidth="0" w:num="1">
            <w:col w:w="11240"/>
          </w:cols>
          <w:pgMar w:left="320" w:top="953" w:right="339" w:bottom="1440" w:gutter="0" w:footer="0" w:header="0"/>
        </w:sectPr>
      </w:pPr>
    </w:p>
    <w:p>
      <w:pPr>
        <w:ind w:left="60"/>
        <w:spacing w:after="0"/>
        <w:rPr>
          <w:sz w:val="20"/>
          <w:szCs w:val="20"/>
          <w:color w:val="auto"/>
        </w:rPr>
      </w:pPr>
      <w:r>
        <w:rPr>
          <w:rFonts w:ascii="Arial" w:cs="Arial" w:eastAsia="Arial" w:hAnsi="Arial"/>
          <w:sz w:val="15"/>
          <w:szCs w:val="15"/>
          <w:color w:val="auto"/>
        </w:rPr>
        <w:t>10.5*+</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rFonts w:ascii="Arial" w:cs="Arial" w:eastAsia="Arial" w:hAnsi="Arial"/>
          <w:sz w:val="16"/>
          <w:szCs w:val="16"/>
          <w:u w:val="single" w:color="auto"/>
          <w:color w:val="0000FF"/>
        </w:rPr>
      </w:pPr>
      <w:hyperlink w:anchor="page112">
        <w:r>
          <w:rPr>
            <w:rFonts w:ascii="Arial" w:cs="Arial" w:eastAsia="Arial" w:hAnsi="Arial"/>
            <w:sz w:val="16"/>
            <w:szCs w:val="16"/>
            <w:u w:val="single" w:color="auto"/>
            <w:color w:val="0000FF"/>
          </w:rPr>
          <w:t>MasTec, Inc. Amended and Restated 2011 Employee Stock Purchase Plan.</w:t>
        </w:r>
      </w:hyperlink>
    </w:p>
    <w:p>
      <w:pPr>
        <w:spacing w:after="0" w:line="32" w:lineRule="exact"/>
        <w:rPr>
          <w:sz w:val="20"/>
          <w:szCs w:val="20"/>
          <w:color w:val="auto"/>
        </w:rPr>
      </w:pPr>
    </w:p>
    <w:p>
      <w:pPr>
        <w:jc w:val="both"/>
        <w:ind w:right="1480"/>
        <w:spacing w:after="0" w:line="225" w:lineRule="auto"/>
        <w:rPr>
          <w:rFonts w:ascii="Arial" w:cs="Arial" w:eastAsia="Arial" w:hAnsi="Arial"/>
          <w:sz w:val="16"/>
          <w:szCs w:val="16"/>
          <w:color w:val="0000FF"/>
        </w:rPr>
      </w:pPr>
      <w:hyperlink r:id="rId105">
        <w:r>
          <w:rPr>
            <w:rFonts w:ascii="Arial" w:cs="Arial" w:eastAsia="Arial" w:hAnsi="Arial"/>
            <w:sz w:val="16"/>
            <w:szCs w:val="16"/>
            <w:u w:val="single" w:color="auto"/>
            <w:color w:val="0000FF"/>
          </w:rPr>
          <w:t>Fifth Amended and Restated Credit Agreement, dated as of September 19, 2019, by and among MasTec, Inc. and MasTec North</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America, Inc. as Borrowers, Bank of America, N.A., as Administrative Agent, Swing Line Lender and an L/C Issuer, and the other</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lenders party thereto</w:t>
        </w:r>
        <w:r>
          <w:rPr>
            <w:rFonts w:ascii="Arial" w:cs="Arial" w:eastAsia="Arial" w:hAnsi="Arial"/>
            <w:sz w:val="16"/>
            <w:szCs w:val="16"/>
            <w:color w:val="000000"/>
          </w:rPr>
          <w:t>, filed as Exhibit 10.1 to our Quarterly Report on Form 10-Q filed with the SEC on October 31, 2019 and</w:t>
        </w:r>
      </w:hyperlink>
      <w:r>
        <w:rPr>
          <w:rFonts w:ascii="Arial" w:cs="Arial" w:eastAsia="Arial" w:hAnsi="Arial"/>
          <w:sz w:val="16"/>
          <w:szCs w:val="16"/>
          <w:color w:val="0000FF"/>
        </w:rPr>
        <w:t xml:space="preserve"> </w:t>
      </w:r>
      <w:r>
        <w:rPr>
          <w:rFonts w:ascii="Arial" w:cs="Arial" w:eastAsia="Arial" w:hAnsi="Arial"/>
          <w:sz w:val="16"/>
          <w:szCs w:val="16"/>
          <w:color w:val="000000"/>
        </w:rPr>
        <w:t>incorporated by reference herein.</w:t>
      </w:r>
    </w:p>
    <w:p>
      <w:pPr>
        <w:spacing w:after="0" w:line="1" w:lineRule="exact"/>
        <w:rPr>
          <w:rFonts w:ascii="Arial" w:cs="Arial" w:eastAsia="Arial" w:hAnsi="Arial"/>
          <w:sz w:val="16"/>
          <w:szCs w:val="16"/>
          <w:u w:val="single" w:color="auto"/>
          <w:color w:val="0000FF"/>
        </w:rPr>
      </w:pPr>
    </w:p>
    <w:p>
      <w:pPr>
        <w:sectPr>
          <w:pgSz w:w="11900" w:h="16838" w:orient="portrait"/>
          <w:cols w:equalWidth="0" w:num="2">
            <w:col w:w="520" w:space="460"/>
            <w:col w:w="10260"/>
          </w:cols>
          <w:pgMar w:left="320" w:top="953"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980" w:type="dxa"/>
            <w:vAlign w:val="bottom"/>
          </w:tcPr>
          <w:p>
            <w:pPr>
              <w:ind w:left="60"/>
              <w:spacing w:after="0"/>
              <w:rPr>
                <w:sz w:val="20"/>
                <w:szCs w:val="20"/>
                <w:color w:val="auto"/>
              </w:rPr>
            </w:pPr>
            <w:r>
              <w:rPr>
                <w:rFonts w:ascii="Arial" w:cs="Arial" w:eastAsia="Arial" w:hAnsi="Arial"/>
                <w:sz w:val="16"/>
                <w:szCs w:val="16"/>
                <w:color w:val="auto"/>
              </w:rPr>
              <w:t>10.7</w:t>
            </w:r>
          </w:p>
        </w:tc>
        <w:tc>
          <w:tcPr>
            <w:tcW w:w="10260" w:type="dxa"/>
            <w:vAlign w:val="bottom"/>
            <w:gridSpan w:val="8"/>
          </w:tcPr>
          <w:p>
            <w:pPr>
              <w:spacing w:after="0"/>
              <w:rPr>
                <w:rFonts w:ascii="Arial" w:cs="Arial" w:eastAsia="Arial" w:hAnsi="Arial"/>
                <w:sz w:val="16"/>
                <w:szCs w:val="16"/>
                <w:color w:val="0000FF"/>
              </w:rPr>
            </w:pPr>
            <w:hyperlink r:id="rId106">
              <w:r>
                <w:rPr>
                  <w:rFonts w:ascii="Arial" w:cs="Arial" w:eastAsia="Arial" w:hAnsi="Arial"/>
                  <w:sz w:val="16"/>
                  <w:szCs w:val="16"/>
                  <w:color w:val="0000FF"/>
                </w:rPr>
                <w:t>Second Amended and Restated Subsidiary Guaranty Agreement, dated as of February 22, 2017, by and among the Guarantors party</w:t>
              </w:r>
            </w:hyperlink>
          </w:p>
        </w:tc>
      </w:tr>
      <w:tr>
        <w:trPr>
          <w:trHeight w:val="142"/>
        </w:trPr>
        <w:tc>
          <w:tcPr>
            <w:tcW w:w="980" w:type="dxa"/>
            <w:vAlign w:val="bottom"/>
          </w:tcPr>
          <w:p>
            <w:pPr>
              <w:spacing w:after="0"/>
              <w:rPr>
                <w:sz w:val="12"/>
                <w:szCs w:val="12"/>
                <w:color w:val="auto"/>
              </w:rPr>
            </w:pPr>
          </w:p>
        </w:tc>
        <w:tc>
          <w:tcPr>
            <w:tcW w:w="8880" w:type="dxa"/>
            <w:vAlign w:val="bottom"/>
            <w:tcBorders>
              <w:top w:val="single" w:sz="8" w:color="0000FF"/>
            </w:tcBorders>
            <w:gridSpan w:val="6"/>
          </w:tcPr>
          <w:p>
            <w:pPr>
              <w:spacing w:after="0" w:line="142" w:lineRule="exact"/>
              <w:rPr>
                <w:rFonts w:ascii="Arial" w:cs="Arial" w:eastAsia="Arial" w:hAnsi="Arial"/>
                <w:sz w:val="16"/>
                <w:szCs w:val="16"/>
                <w:color w:val="0000FF"/>
                <w:w w:val="96"/>
              </w:rPr>
            </w:pPr>
            <w:hyperlink r:id="rId106">
              <w:r>
                <w:rPr>
                  <w:rFonts w:ascii="Arial" w:cs="Arial" w:eastAsia="Arial" w:hAnsi="Arial"/>
                  <w:sz w:val="16"/>
                  <w:szCs w:val="16"/>
                  <w:color w:val="0000FF"/>
                  <w:w w:val="96"/>
                </w:rPr>
                <w:t>thereto and Bank of America, N.A., as Administrative Agent</w:t>
              </w:r>
              <w:r>
                <w:rPr>
                  <w:rFonts w:ascii="Arial" w:cs="Arial" w:eastAsia="Arial" w:hAnsi="Arial"/>
                  <w:sz w:val="16"/>
                  <w:szCs w:val="16"/>
                  <w:color w:val="000000"/>
                  <w:w w:val="96"/>
                </w:rPr>
                <w:t>, filed as Exhibit 10.7 to our Annual Report on Form 10-K filed with the</w:t>
              </w:r>
            </w:hyperlink>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980" w:type="dxa"/>
            <w:vAlign w:val="bottom"/>
          </w:tcPr>
          <w:p>
            <w:pPr>
              <w:spacing w:after="0"/>
              <w:rPr>
                <w:sz w:val="16"/>
                <w:szCs w:val="16"/>
                <w:color w:val="auto"/>
              </w:rPr>
            </w:pPr>
          </w:p>
        </w:tc>
        <w:tc>
          <w:tcPr>
            <w:tcW w:w="10260" w:type="dxa"/>
            <w:vAlign w:val="bottom"/>
            <w:gridSpan w:val="8"/>
          </w:tcPr>
          <w:p>
            <w:pPr>
              <w:spacing w:after="0"/>
              <w:rPr>
                <w:sz w:val="20"/>
                <w:szCs w:val="20"/>
                <w:color w:val="auto"/>
              </w:rPr>
            </w:pPr>
            <w:r>
              <w:rPr>
                <w:rFonts w:ascii="Arial" w:cs="Arial" w:eastAsia="Arial" w:hAnsi="Arial"/>
                <w:sz w:val="16"/>
                <w:szCs w:val="16"/>
                <w:color w:val="auto"/>
              </w:rPr>
              <w:t>SEC on February 27, 2020 and incorporated by reference herein.</w:t>
            </w:r>
          </w:p>
        </w:tc>
      </w:tr>
      <w:tr>
        <w:trPr>
          <w:trHeight w:val="172"/>
        </w:trPr>
        <w:tc>
          <w:tcPr>
            <w:tcW w:w="980" w:type="dxa"/>
            <w:vAlign w:val="bottom"/>
          </w:tcPr>
          <w:p>
            <w:pPr>
              <w:ind w:left="60"/>
              <w:spacing w:after="0" w:line="172" w:lineRule="exact"/>
              <w:rPr>
                <w:sz w:val="20"/>
                <w:szCs w:val="20"/>
                <w:color w:val="auto"/>
              </w:rPr>
            </w:pPr>
            <w:r>
              <w:rPr>
                <w:rFonts w:ascii="Arial" w:cs="Arial" w:eastAsia="Arial" w:hAnsi="Arial"/>
                <w:sz w:val="16"/>
                <w:szCs w:val="16"/>
                <w:color w:val="auto"/>
              </w:rPr>
              <w:t>10.8</w:t>
            </w:r>
          </w:p>
        </w:tc>
        <w:tc>
          <w:tcPr>
            <w:tcW w:w="10260" w:type="dxa"/>
            <w:vAlign w:val="bottom"/>
            <w:gridSpan w:val="8"/>
          </w:tcPr>
          <w:p>
            <w:pPr>
              <w:spacing w:after="0" w:line="172" w:lineRule="exact"/>
              <w:rPr>
                <w:rFonts w:ascii="Arial" w:cs="Arial" w:eastAsia="Arial" w:hAnsi="Arial"/>
                <w:sz w:val="16"/>
                <w:szCs w:val="16"/>
                <w:color w:val="0000FF"/>
              </w:rPr>
            </w:pPr>
            <w:hyperlink r:id="rId107">
              <w:r>
                <w:rPr>
                  <w:rFonts w:ascii="Arial" w:cs="Arial" w:eastAsia="Arial" w:hAnsi="Arial"/>
                  <w:sz w:val="16"/>
                  <w:szCs w:val="16"/>
                  <w:color w:val="0000FF"/>
                </w:rPr>
                <w:t>Amended and Restated Security Agreement, dated as of February 22, 2017, by and among MasTec, Inc., certain of its subsidiaries and</w:t>
              </w:r>
            </w:hyperlink>
          </w:p>
        </w:tc>
      </w:tr>
      <w:tr>
        <w:trPr>
          <w:trHeight w:val="142"/>
        </w:trPr>
        <w:tc>
          <w:tcPr>
            <w:tcW w:w="980" w:type="dxa"/>
            <w:vAlign w:val="bottom"/>
          </w:tcPr>
          <w:p>
            <w:pPr>
              <w:spacing w:after="0"/>
              <w:rPr>
                <w:sz w:val="12"/>
                <w:szCs w:val="12"/>
                <w:color w:val="auto"/>
              </w:rPr>
            </w:pPr>
          </w:p>
        </w:tc>
        <w:tc>
          <w:tcPr>
            <w:tcW w:w="8900" w:type="dxa"/>
            <w:vAlign w:val="bottom"/>
            <w:tcBorders>
              <w:top w:val="single" w:sz="8" w:color="0000FF"/>
            </w:tcBorders>
            <w:gridSpan w:val="7"/>
          </w:tcPr>
          <w:p>
            <w:pPr>
              <w:spacing w:after="0" w:line="142" w:lineRule="exact"/>
              <w:rPr>
                <w:rFonts w:ascii="Arial" w:cs="Arial" w:eastAsia="Arial" w:hAnsi="Arial"/>
                <w:sz w:val="16"/>
                <w:szCs w:val="16"/>
                <w:color w:val="0000FF"/>
                <w:w w:val="99"/>
              </w:rPr>
            </w:pPr>
            <w:hyperlink r:id="rId107">
              <w:r>
                <w:rPr>
                  <w:rFonts w:ascii="Arial" w:cs="Arial" w:eastAsia="Arial" w:hAnsi="Arial"/>
                  <w:sz w:val="16"/>
                  <w:szCs w:val="16"/>
                  <w:color w:val="0000FF"/>
                  <w:w w:val="99"/>
                </w:rPr>
                <w:t>Bank of America, N.A., as Administrative Agent</w:t>
              </w:r>
              <w:r>
                <w:rPr>
                  <w:rFonts w:ascii="Arial" w:cs="Arial" w:eastAsia="Arial" w:hAnsi="Arial"/>
                  <w:sz w:val="16"/>
                  <w:szCs w:val="16"/>
                  <w:color w:val="000000"/>
                  <w:w w:val="99"/>
                </w:rPr>
                <w:t>, filed as Exhibit 10.8 to our Annual Report on Form 10-K filed with the SEC on</w:t>
              </w:r>
            </w:hyperlink>
          </w:p>
        </w:tc>
        <w:tc>
          <w:tcPr>
            <w:tcW w:w="1360" w:type="dxa"/>
            <w:vAlign w:val="bottom"/>
          </w:tcPr>
          <w:p>
            <w:pPr>
              <w:spacing w:after="0"/>
              <w:rPr>
                <w:sz w:val="12"/>
                <w:szCs w:val="12"/>
                <w:color w:val="auto"/>
              </w:rPr>
            </w:pPr>
          </w:p>
        </w:tc>
      </w:tr>
      <w:tr>
        <w:trPr>
          <w:trHeight w:val="186"/>
        </w:trPr>
        <w:tc>
          <w:tcPr>
            <w:tcW w:w="980" w:type="dxa"/>
            <w:vAlign w:val="bottom"/>
          </w:tcPr>
          <w:p>
            <w:pPr>
              <w:spacing w:after="0"/>
              <w:rPr>
                <w:sz w:val="16"/>
                <w:szCs w:val="16"/>
                <w:color w:val="auto"/>
              </w:rPr>
            </w:pPr>
          </w:p>
        </w:tc>
        <w:tc>
          <w:tcPr>
            <w:tcW w:w="330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w w:val="94"/>
              </w:rPr>
              <w:t>February 27, 2020 and incorporated by reference</w:t>
            </w:r>
          </w:p>
        </w:tc>
        <w:tc>
          <w:tcPr>
            <w:tcW w:w="6960" w:type="dxa"/>
            <w:vAlign w:val="bottom"/>
            <w:gridSpan w:val="6"/>
          </w:tcPr>
          <w:p>
            <w:pPr>
              <w:spacing w:after="0"/>
              <w:rPr>
                <w:sz w:val="20"/>
                <w:szCs w:val="20"/>
                <w:color w:val="auto"/>
              </w:rPr>
            </w:pPr>
            <w:r>
              <w:rPr>
                <w:rFonts w:ascii="Arial" w:cs="Arial" w:eastAsia="Arial" w:hAnsi="Arial"/>
                <w:sz w:val="16"/>
                <w:szCs w:val="16"/>
                <w:color w:val="auto"/>
              </w:rPr>
              <w:t>herein.</w:t>
            </w:r>
          </w:p>
        </w:tc>
      </w:tr>
      <w:tr>
        <w:trPr>
          <w:trHeight w:val="172"/>
        </w:trPr>
        <w:tc>
          <w:tcPr>
            <w:tcW w:w="980" w:type="dxa"/>
            <w:vAlign w:val="bottom"/>
          </w:tcPr>
          <w:p>
            <w:pPr>
              <w:ind w:left="60"/>
              <w:spacing w:after="0" w:line="172" w:lineRule="exact"/>
              <w:rPr>
                <w:sz w:val="20"/>
                <w:szCs w:val="20"/>
                <w:color w:val="auto"/>
              </w:rPr>
            </w:pPr>
            <w:r>
              <w:rPr>
                <w:rFonts w:ascii="Arial" w:cs="Arial" w:eastAsia="Arial" w:hAnsi="Arial"/>
                <w:sz w:val="16"/>
                <w:szCs w:val="16"/>
                <w:color w:val="auto"/>
              </w:rPr>
              <w:t>10.9</w:t>
            </w:r>
          </w:p>
        </w:tc>
        <w:tc>
          <w:tcPr>
            <w:tcW w:w="10260" w:type="dxa"/>
            <w:vAlign w:val="bottom"/>
            <w:gridSpan w:val="8"/>
          </w:tcPr>
          <w:p>
            <w:pPr>
              <w:spacing w:after="0" w:line="172" w:lineRule="exact"/>
              <w:rPr>
                <w:rFonts w:ascii="Arial" w:cs="Arial" w:eastAsia="Arial" w:hAnsi="Arial"/>
                <w:sz w:val="16"/>
                <w:szCs w:val="16"/>
                <w:color w:val="0000FF"/>
              </w:rPr>
            </w:pPr>
            <w:hyperlink r:id="rId108">
              <w:r>
                <w:rPr>
                  <w:rFonts w:ascii="Arial" w:cs="Arial" w:eastAsia="Arial" w:hAnsi="Arial"/>
                  <w:sz w:val="16"/>
                  <w:szCs w:val="16"/>
                  <w:color w:val="0000FF"/>
                </w:rPr>
                <w:t>Fifth Amended and Restated Pledge Agreement, dated as of February 22, 2017, by and among MasTec, Inc., certain of its subsidiaries</w:t>
              </w:r>
            </w:hyperlink>
          </w:p>
        </w:tc>
      </w:tr>
      <w:tr>
        <w:trPr>
          <w:trHeight w:val="142"/>
        </w:trPr>
        <w:tc>
          <w:tcPr>
            <w:tcW w:w="980" w:type="dxa"/>
            <w:vAlign w:val="bottom"/>
          </w:tcPr>
          <w:p>
            <w:pPr>
              <w:spacing w:after="0"/>
              <w:rPr>
                <w:sz w:val="12"/>
                <w:szCs w:val="12"/>
                <w:color w:val="auto"/>
              </w:rPr>
            </w:pPr>
          </w:p>
        </w:tc>
        <w:tc>
          <w:tcPr>
            <w:tcW w:w="8860" w:type="dxa"/>
            <w:vAlign w:val="bottom"/>
            <w:tcBorders>
              <w:top w:val="single" w:sz="8" w:color="0000FF"/>
            </w:tcBorders>
            <w:gridSpan w:val="5"/>
          </w:tcPr>
          <w:p>
            <w:pPr>
              <w:spacing w:after="0" w:line="142" w:lineRule="exact"/>
              <w:rPr>
                <w:rFonts w:ascii="Arial" w:cs="Arial" w:eastAsia="Arial" w:hAnsi="Arial"/>
                <w:sz w:val="16"/>
                <w:szCs w:val="16"/>
                <w:color w:val="0000FF"/>
                <w:w w:val="96"/>
              </w:rPr>
            </w:pPr>
            <w:hyperlink r:id="rId108">
              <w:r>
                <w:rPr>
                  <w:rFonts w:ascii="Arial" w:cs="Arial" w:eastAsia="Arial" w:hAnsi="Arial"/>
                  <w:sz w:val="16"/>
                  <w:szCs w:val="16"/>
                  <w:color w:val="0000FF"/>
                  <w:w w:val="96"/>
                </w:rPr>
                <w:t>and Bank of America, N.A., as Administrative Agent</w:t>
              </w:r>
              <w:r>
                <w:rPr>
                  <w:rFonts w:ascii="Arial" w:cs="Arial" w:eastAsia="Arial" w:hAnsi="Arial"/>
                  <w:sz w:val="16"/>
                  <w:szCs w:val="16"/>
                  <w:color w:val="000000"/>
                  <w:w w:val="96"/>
                </w:rPr>
                <w:t>, filed as Exhibit 10.9 to our Annual Report on Form 10-K filed with the SEC on</w:t>
              </w:r>
            </w:hyperlink>
          </w:p>
        </w:tc>
        <w:tc>
          <w:tcPr>
            <w:tcW w:w="1400" w:type="dxa"/>
            <w:vAlign w:val="bottom"/>
            <w:gridSpan w:val="3"/>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r>
      <w:tr>
        <w:trPr>
          <w:trHeight w:val="186"/>
        </w:trPr>
        <w:tc>
          <w:tcPr>
            <w:tcW w:w="980" w:type="dxa"/>
            <w:vAlign w:val="bottom"/>
          </w:tcPr>
          <w:p>
            <w:pPr>
              <w:spacing w:after="0"/>
              <w:rPr>
                <w:sz w:val="16"/>
                <w:szCs w:val="16"/>
                <w:color w:val="auto"/>
              </w:rPr>
            </w:pPr>
          </w:p>
        </w:tc>
        <w:tc>
          <w:tcPr>
            <w:tcW w:w="10260" w:type="dxa"/>
            <w:vAlign w:val="bottom"/>
            <w:gridSpan w:val="8"/>
          </w:tcPr>
          <w:p>
            <w:pPr>
              <w:spacing w:after="0"/>
              <w:rPr>
                <w:sz w:val="20"/>
                <w:szCs w:val="20"/>
                <w:color w:val="auto"/>
              </w:rPr>
            </w:pPr>
            <w:r>
              <w:rPr>
                <w:rFonts w:ascii="Arial" w:cs="Arial" w:eastAsia="Arial" w:hAnsi="Arial"/>
                <w:sz w:val="16"/>
                <w:szCs w:val="16"/>
                <w:color w:val="auto"/>
              </w:rPr>
              <w:t>February 27, 2020 and incorporated by reference herein.</w:t>
            </w:r>
          </w:p>
        </w:tc>
      </w:tr>
      <w:tr>
        <w:trPr>
          <w:trHeight w:val="162"/>
        </w:trPr>
        <w:tc>
          <w:tcPr>
            <w:tcW w:w="980" w:type="dxa"/>
            <w:vAlign w:val="bottom"/>
          </w:tcPr>
          <w:p>
            <w:pPr>
              <w:ind w:left="60"/>
              <w:spacing w:after="0" w:line="162" w:lineRule="exact"/>
              <w:rPr>
                <w:sz w:val="20"/>
                <w:szCs w:val="20"/>
                <w:color w:val="auto"/>
              </w:rPr>
            </w:pPr>
            <w:r>
              <w:rPr>
                <w:rFonts w:ascii="Arial" w:cs="Arial" w:eastAsia="Arial" w:hAnsi="Arial"/>
                <w:sz w:val="16"/>
                <w:szCs w:val="16"/>
                <w:color w:val="auto"/>
              </w:rPr>
              <w:t>10.10+</w:t>
            </w:r>
          </w:p>
        </w:tc>
        <w:tc>
          <w:tcPr>
            <w:tcW w:w="10260" w:type="dxa"/>
            <w:vAlign w:val="bottom"/>
            <w:gridSpan w:val="8"/>
          </w:tcPr>
          <w:p>
            <w:pPr>
              <w:spacing w:after="0" w:line="162" w:lineRule="exact"/>
              <w:rPr>
                <w:rFonts w:ascii="Arial" w:cs="Arial" w:eastAsia="Arial" w:hAnsi="Arial"/>
                <w:sz w:val="16"/>
                <w:szCs w:val="16"/>
                <w:color w:val="0000FF"/>
              </w:rPr>
            </w:pPr>
            <w:hyperlink r:id="rId109">
              <w:r>
                <w:rPr>
                  <w:rFonts w:ascii="Arial" w:cs="Arial" w:eastAsia="Arial" w:hAnsi="Arial"/>
                  <w:sz w:val="16"/>
                  <w:szCs w:val="16"/>
                  <w:u w:val="single" w:color="auto"/>
                  <w:color w:val="0000FF"/>
                </w:rPr>
                <w:t>Employment Agreement, dated April 18, 2007, by and between MasTec, Inc. and José R. Mas</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filed as Exhibit 10.1 to our Current</w:t>
            </w:r>
          </w:p>
        </w:tc>
      </w:tr>
      <w:tr>
        <w:trPr>
          <w:trHeight w:val="206"/>
        </w:trPr>
        <w:tc>
          <w:tcPr>
            <w:tcW w:w="980" w:type="dxa"/>
            <w:vAlign w:val="bottom"/>
          </w:tcPr>
          <w:p>
            <w:pPr>
              <w:spacing w:after="0"/>
              <w:rPr>
                <w:sz w:val="17"/>
                <w:szCs w:val="17"/>
                <w:color w:val="auto"/>
              </w:rPr>
            </w:pPr>
          </w:p>
        </w:tc>
        <w:tc>
          <w:tcPr>
            <w:tcW w:w="10260" w:type="dxa"/>
            <w:vAlign w:val="bottom"/>
            <w:gridSpan w:val="8"/>
          </w:tcPr>
          <w:p>
            <w:pPr>
              <w:spacing w:after="0"/>
              <w:rPr>
                <w:sz w:val="20"/>
                <w:szCs w:val="20"/>
                <w:color w:val="auto"/>
              </w:rPr>
            </w:pPr>
            <w:r>
              <w:rPr>
                <w:rFonts w:ascii="Arial" w:cs="Arial" w:eastAsia="Arial" w:hAnsi="Arial"/>
                <w:sz w:val="16"/>
                <w:szCs w:val="16"/>
                <w:color w:val="auto"/>
              </w:rPr>
              <w:t>Report on Form 8-K filed with the SEC on April 20, 2007 and incorporated by reference herein.</w:t>
            </w:r>
          </w:p>
        </w:tc>
      </w:tr>
      <w:tr>
        <w:trPr>
          <w:trHeight w:val="172"/>
        </w:trPr>
        <w:tc>
          <w:tcPr>
            <w:tcW w:w="980" w:type="dxa"/>
            <w:vAlign w:val="bottom"/>
          </w:tcPr>
          <w:p>
            <w:pPr>
              <w:ind w:left="60"/>
              <w:spacing w:after="0" w:line="171" w:lineRule="exact"/>
              <w:rPr>
                <w:sz w:val="20"/>
                <w:szCs w:val="20"/>
                <w:color w:val="auto"/>
              </w:rPr>
            </w:pPr>
            <w:r>
              <w:rPr>
                <w:rFonts w:ascii="Arial" w:cs="Arial" w:eastAsia="Arial" w:hAnsi="Arial"/>
                <w:sz w:val="16"/>
                <w:szCs w:val="16"/>
                <w:color w:val="auto"/>
              </w:rPr>
              <w:t>10.11+</w:t>
            </w:r>
          </w:p>
        </w:tc>
        <w:tc>
          <w:tcPr>
            <w:tcW w:w="10260" w:type="dxa"/>
            <w:vAlign w:val="bottom"/>
            <w:gridSpan w:val="8"/>
          </w:tcPr>
          <w:p>
            <w:pPr>
              <w:spacing w:after="0" w:line="171" w:lineRule="exact"/>
              <w:rPr>
                <w:rFonts w:ascii="Arial" w:cs="Arial" w:eastAsia="Arial" w:hAnsi="Arial"/>
                <w:sz w:val="16"/>
                <w:szCs w:val="16"/>
                <w:color w:val="0000FF"/>
              </w:rPr>
            </w:pPr>
            <w:hyperlink r:id="rId110">
              <w:r>
                <w:rPr>
                  <w:rFonts w:ascii="Arial" w:cs="Arial" w:eastAsia="Arial" w:hAnsi="Arial"/>
                  <w:sz w:val="16"/>
                  <w:szCs w:val="16"/>
                  <w:u w:val="single" w:color="auto"/>
                  <w:color w:val="0000FF"/>
                </w:rPr>
                <w:t>Employment Agreement, dated as of January 1, 2008, by and between MasTec, Inc. and Alberto de Cardenas</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filed as Exhibit 10.53 to</w:t>
            </w:r>
          </w:p>
        </w:tc>
      </w:tr>
      <w:tr>
        <w:trPr>
          <w:trHeight w:val="206"/>
        </w:trPr>
        <w:tc>
          <w:tcPr>
            <w:tcW w:w="980" w:type="dxa"/>
            <w:vAlign w:val="bottom"/>
          </w:tcPr>
          <w:p>
            <w:pPr>
              <w:spacing w:after="0"/>
              <w:rPr>
                <w:sz w:val="17"/>
                <w:szCs w:val="17"/>
                <w:color w:val="auto"/>
              </w:rPr>
            </w:pPr>
          </w:p>
        </w:tc>
        <w:tc>
          <w:tcPr>
            <w:tcW w:w="10260" w:type="dxa"/>
            <w:vAlign w:val="bottom"/>
            <w:gridSpan w:val="8"/>
          </w:tcPr>
          <w:p>
            <w:pPr>
              <w:spacing w:after="0"/>
              <w:rPr>
                <w:sz w:val="20"/>
                <w:szCs w:val="20"/>
                <w:color w:val="auto"/>
              </w:rPr>
            </w:pPr>
            <w:r>
              <w:rPr>
                <w:rFonts w:ascii="Arial" w:cs="Arial" w:eastAsia="Arial" w:hAnsi="Arial"/>
                <w:sz w:val="16"/>
                <w:szCs w:val="16"/>
                <w:color w:val="auto"/>
              </w:rPr>
              <w:t>our Annual Report on Form 10-K filed with the SEC on February 28, 2008 and incorporated by reference herein.</w:t>
            </w:r>
          </w:p>
        </w:tc>
      </w:tr>
      <w:tr>
        <w:trPr>
          <w:trHeight w:val="216"/>
        </w:trPr>
        <w:tc>
          <w:tcPr>
            <w:tcW w:w="980" w:type="dxa"/>
            <w:vAlign w:val="bottom"/>
          </w:tcPr>
          <w:p>
            <w:pPr>
              <w:ind w:left="60"/>
              <w:spacing w:after="0"/>
              <w:rPr>
                <w:sz w:val="20"/>
                <w:szCs w:val="20"/>
                <w:color w:val="auto"/>
              </w:rPr>
            </w:pPr>
            <w:r>
              <w:rPr>
                <w:rFonts w:ascii="Arial" w:cs="Arial" w:eastAsia="Arial" w:hAnsi="Arial"/>
                <w:sz w:val="16"/>
                <w:szCs w:val="16"/>
                <w:color w:val="auto"/>
              </w:rPr>
              <w:t>10.12*+</w:t>
            </w:r>
          </w:p>
        </w:tc>
        <w:tc>
          <w:tcPr>
            <w:tcW w:w="10260" w:type="dxa"/>
            <w:vAlign w:val="bottom"/>
            <w:gridSpan w:val="8"/>
          </w:tcPr>
          <w:p>
            <w:pPr>
              <w:spacing w:after="0"/>
              <w:rPr>
                <w:rFonts w:ascii="Arial" w:cs="Arial" w:eastAsia="Arial" w:hAnsi="Arial"/>
                <w:sz w:val="16"/>
                <w:szCs w:val="16"/>
                <w:u w:val="single" w:color="auto"/>
                <w:color w:val="0000FF"/>
              </w:rPr>
            </w:pPr>
            <w:hyperlink w:anchor="page122">
              <w:r>
                <w:rPr>
                  <w:rFonts w:ascii="Arial" w:cs="Arial" w:eastAsia="Arial" w:hAnsi="Arial"/>
                  <w:sz w:val="16"/>
                  <w:szCs w:val="16"/>
                  <w:u w:val="single" w:color="auto"/>
                  <w:color w:val="0000FF"/>
                </w:rPr>
                <w:t>MasTec, Inc. Amended and Restated Bargaining Units ESPP.</w:t>
              </w:r>
            </w:hyperlink>
          </w:p>
        </w:tc>
      </w:tr>
      <w:tr>
        <w:trPr>
          <w:trHeight w:val="172"/>
        </w:trPr>
        <w:tc>
          <w:tcPr>
            <w:tcW w:w="980" w:type="dxa"/>
            <w:vAlign w:val="bottom"/>
          </w:tcPr>
          <w:p>
            <w:pPr>
              <w:ind w:left="60"/>
              <w:spacing w:after="0" w:line="171" w:lineRule="exact"/>
              <w:rPr>
                <w:sz w:val="20"/>
                <w:szCs w:val="20"/>
                <w:color w:val="auto"/>
              </w:rPr>
            </w:pPr>
            <w:r>
              <w:rPr>
                <w:rFonts w:ascii="Arial" w:cs="Arial" w:eastAsia="Arial" w:hAnsi="Arial"/>
                <w:sz w:val="16"/>
                <w:szCs w:val="16"/>
                <w:color w:val="auto"/>
              </w:rPr>
              <w:t>10.13+</w:t>
            </w:r>
          </w:p>
        </w:tc>
        <w:tc>
          <w:tcPr>
            <w:tcW w:w="10260" w:type="dxa"/>
            <w:vAlign w:val="bottom"/>
            <w:gridSpan w:val="8"/>
          </w:tcPr>
          <w:p>
            <w:pPr>
              <w:spacing w:after="0" w:line="171" w:lineRule="exact"/>
              <w:rPr>
                <w:rFonts w:ascii="Arial" w:cs="Arial" w:eastAsia="Arial" w:hAnsi="Arial"/>
                <w:sz w:val="16"/>
                <w:szCs w:val="16"/>
                <w:color w:val="0000FF"/>
              </w:rPr>
            </w:pPr>
            <w:hyperlink r:id="rId111">
              <w:r>
                <w:rPr>
                  <w:rFonts w:ascii="Arial" w:cs="Arial" w:eastAsia="Arial" w:hAnsi="Arial"/>
                  <w:sz w:val="16"/>
                  <w:szCs w:val="16"/>
                  <w:u w:val="single" w:color="auto"/>
                  <w:color w:val="0000FF"/>
                </w:rPr>
                <w:t>MasTec, Inc. Amended and Restated 2013 Incentive Compensation Plan</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filed as Exhibit 10.2 to our Quarterly Report on Form 10-Q</w:t>
            </w:r>
          </w:p>
        </w:tc>
      </w:tr>
      <w:tr>
        <w:trPr>
          <w:trHeight w:val="206"/>
        </w:trPr>
        <w:tc>
          <w:tcPr>
            <w:tcW w:w="980" w:type="dxa"/>
            <w:vAlign w:val="bottom"/>
          </w:tcPr>
          <w:p>
            <w:pPr>
              <w:spacing w:after="0"/>
              <w:rPr>
                <w:sz w:val="17"/>
                <w:szCs w:val="17"/>
                <w:color w:val="auto"/>
              </w:rPr>
            </w:pPr>
          </w:p>
        </w:tc>
        <w:tc>
          <w:tcPr>
            <w:tcW w:w="10260" w:type="dxa"/>
            <w:vAlign w:val="bottom"/>
            <w:gridSpan w:val="8"/>
          </w:tcPr>
          <w:p>
            <w:pPr>
              <w:spacing w:after="0"/>
              <w:rPr>
                <w:sz w:val="20"/>
                <w:szCs w:val="20"/>
                <w:color w:val="auto"/>
              </w:rPr>
            </w:pPr>
            <w:r>
              <w:rPr>
                <w:rFonts w:ascii="Arial" w:cs="Arial" w:eastAsia="Arial" w:hAnsi="Arial"/>
                <w:sz w:val="16"/>
                <w:szCs w:val="16"/>
                <w:color w:val="auto"/>
              </w:rPr>
              <w:t>filed with the SEC on May 4, 2017 and incorporated by reference herein.</w:t>
            </w:r>
          </w:p>
        </w:tc>
      </w:tr>
      <w:tr>
        <w:trPr>
          <w:trHeight w:val="172"/>
        </w:trPr>
        <w:tc>
          <w:tcPr>
            <w:tcW w:w="980" w:type="dxa"/>
            <w:vAlign w:val="bottom"/>
          </w:tcPr>
          <w:p>
            <w:pPr>
              <w:ind w:left="60"/>
              <w:spacing w:after="0" w:line="171" w:lineRule="exact"/>
              <w:rPr>
                <w:sz w:val="20"/>
                <w:szCs w:val="20"/>
                <w:color w:val="auto"/>
              </w:rPr>
            </w:pPr>
            <w:r>
              <w:rPr>
                <w:rFonts w:ascii="Arial" w:cs="Arial" w:eastAsia="Arial" w:hAnsi="Arial"/>
                <w:sz w:val="16"/>
                <w:szCs w:val="16"/>
                <w:color w:val="auto"/>
              </w:rPr>
              <w:t>10.14+</w:t>
            </w:r>
          </w:p>
        </w:tc>
        <w:tc>
          <w:tcPr>
            <w:tcW w:w="10260" w:type="dxa"/>
            <w:vAlign w:val="bottom"/>
            <w:gridSpan w:val="8"/>
          </w:tcPr>
          <w:p>
            <w:pPr>
              <w:spacing w:after="0" w:line="171" w:lineRule="exact"/>
              <w:rPr>
                <w:rFonts w:ascii="Arial" w:cs="Arial" w:eastAsia="Arial" w:hAnsi="Arial"/>
                <w:sz w:val="16"/>
                <w:szCs w:val="16"/>
                <w:color w:val="0000FF"/>
              </w:rPr>
            </w:pPr>
            <w:hyperlink r:id="rId112">
              <w:r>
                <w:rPr>
                  <w:rFonts w:ascii="Arial" w:cs="Arial" w:eastAsia="Arial" w:hAnsi="Arial"/>
                  <w:sz w:val="16"/>
                  <w:szCs w:val="16"/>
                  <w:u w:val="single" w:color="auto"/>
                  <w:color w:val="0000FF"/>
                </w:rPr>
                <w:t>Form of Employee Restricted Stock Agreement for the MasTec, Inc. Amended and Restated 2013 Incentive Compensation Plan</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filed as</w:t>
            </w:r>
          </w:p>
        </w:tc>
      </w:tr>
      <w:tr>
        <w:trPr>
          <w:trHeight w:val="206"/>
        </w:trPr>
        <w:tc>
          <w:tcPr>
            <w:tcW w:w="980" w:type="dxa"/>
            <w:vAlign w:val="bottom"/>
          </w:tcPr>
          <w:p>
            <w:pPr>
              <w:spacing w:after="0"/>
              <w:rPr>
                <w:sz w:val="17"/>
                <w:szCs w:val="17"/>
                <w:color w:val="auto"/>
              </w:rPr>
            </w:pPr>
          </w:p>
        </w:tc>
        <w:tc>
          <w:tcPr>
            <w:tcW w:w="10260" w:type="dxa"/>
            <w:vAlign w:val="bottom"/>
            <w:gridSpan w:val="8"/>
          </w:tcPr>
          <w:p>
            <w:pPr>
              <w:spacing w:after="0"/>
              <w:rPr>
                <w:sz w:val="20"/>
                <w:szCs w:val="20"/>
                <w:color w:val="auto"/>
              </w:rPr>
            </w:pPr>
            <w:r>
              <w:rPr>
                <w:rFonts w:ascii="Arial" w:cs="Arial" w:eastAsia="Arial" w:hAnsi="Arial"/>
                <w:sz w:val="16"/>
                <w:szCs w:val="16"/>
                <w:color w:val="auto"/>
              </w:rPr>
              <w:t>Exhibit 10.3 to our Quarterly Report on Form 10-Q filed with the SEC on May 4, 2017 and incorporated by reference herein.</w:t>
            </w:r>
          </w:p>
        </w:tc>
      </w:tr>
      <w:tr>
        <w:trPr>
          <w:trHeight w:val="172"/>
        </w:trPr>
        <w:tc>
          <w:tcPr>
            <w:tcW w:w="980" w:type="dxa"/>
            <w:vAlign w:val="bottom"/>
          </w:tcPr>
          <w:p>
            <w:pPr>
              <w:ind w:left="60"/>
              <w:spacing w:after="0" w:line="171" w:lineRule="exact"/>
              <w:rPr>
                <w:sz w:val="20"/>
                <w:szCs w:val="20"/>
                <w:color w:val="auto"/>
              </w:rPr>
            </w:pPr>
            <w:r>
              <w:rPr>
                <w:rFonts w:ascii="Arial" w:cs="Arial" w:eastAsia="Arial" w:hAnsi="Arial"/>
                <w:sz w:val="16"/>
                <w:szCs w:val="16"/>
                <w:color w:val="auto"/>
              </w:rPr>
              <w:t>10.15+</w:t>
            </w:r>
          </w:p>
        </w:tc>
        <w:tc>
          <w:tcPr>
            <w:tcW w:w="10260" w:type="dxa"/>
            <w:vAlign w:val="bottom"/>
            <w:gridSpan w:val="8"/>
          </w:tcPr>
          <w:p>
            <w:pPr>
              <w:spacing w:after="0" w:line="171" w:lineRule="exact"/>
              <w:rPr>
                <w:rFonts w:ascii="Arial" w:cs="Arial" w:eastAsia="Arial" w:hAnsi="Arial"/>
                <w:sz w:val="16"/>
                <w:szCs w:val="16"/>
                <w:color w:val="0000FF"/>
              </w:rPr>
            </w:pPr>
            <w:hyperlink r:id="rId113">
              <w:r>
                <w:rPr>
                  <w:rFonts w:ascii="Arial" w:cs="Arial" w:eastAsia="Arial" w:hAnsi="Arial"/>
                  <w:sz w:val="16"/>
                  <w:szCs w:val="16"/>
                  <w:u w:val="single" w:color="auto"/>
                  <w:color w:val="0000FF"/>
                </w:rPr>
                <w:t>Form of Non-Employee Restricted Stock Agreement for the MasTec, Inc. Amended and Restated 2013 Incentive Compensation Plan</w:t>
              </w:r>
            </w:hyperlink>
            <w:r>
              <w:rPr>
                <w:rFonts w:ascii="Arial" w:cs="Arial" w:eastAsia="Arial" w:hAnsi="Arial"/>
                <w:sz w:val="16"/>
                <w:szCs w:val="16"/>
                <w:color w:val="000000"/>
              </w:rPr>
              <w:t>,</w:t>
            </w:r>
          </w:p>
        </w:tc>
      </w:tr>
      <w:tr>
        <w:trPr>
          <w:trHeight w:val="206"/>
        </w:trPr>
        <w:tc>
          <w:tcPr>
            <w:tcW w:w="980" w:type="dxa"/>
            <w:vAlign w:val="bottom"/>
          </w:tcPr>
          <w:p>
            <w:pPr>
              <w:spacing w:after="0"/>
              <w:rPr>
                <w:sz w:val="17"/>
                <w:szCs w:val="17"/>
                <w:color w:val="auto"/>
              </w:rPr>
            </w:pPr>
          </w:p>
        </w:tc>
        <w:tc>
          <w:tcPr>
            <w:tcW w:w="10260" w:type="dxa"/>
            <w:vAlign w:val="bottom"/>
            <w:gridSpan w:val="8"/>
          </w:tcPr>
          <w:p>
            <w:pPr>
              <w:spacing w:after="0"/>
              <w:rPr>
                <w:sz w:val="20"/>
                <w:szCs w:val="20"/>
                <w:color w:val="auto"/>
              </w:rPr>
            </w:pPr>
            <w:r>
              <w:rPr>
                <w:rFonts w:ascii="Arial" w:cs="Arial" w:eastAsia="Arial" w:hAnsi="Arial"/>
                <w:sz w:val="16"/>
                <w:szCs w:val="16"/>
                <w:color w:val="auto"/>
              </w:rPr>
              <w:t>filed as Exhibit 10.4 to our Quarterly Report on Form 10-Q filed with the SEC on May 4, 2017 and incorporated by reference herein.</w:t>
            </w:r>
          </w:p>
        </w:tc>
      </w:tr>
      <w:tr>
        <w:trPr>
          <w:trHeight w:val="172"/>
        </w:trPr>
        <w:tc>
          <w:tcPr>
            <w:tcW w:w="980" w:type="dxa"/>
            <w:vAlign w:val="bottom"/>
          </w:tcPr>
          <w:p>
            <w:pPr>
              <w:ind w:left="60"/>
              <w:spacing w:after="0" w:line="171" w:lineRule="exact"/>
              <w:rPr>
                <w:sz w:val="20"/>
                <w:szCs w:val="20"/>
                <w:color w:val="auto"/>
              </w:rPr>
            </w:pPr>
            <w:r>
              <w:rPr>
                <w:rFonts w:ascii="Arial" w:cs="Arial" w:eastAsia="Arial" w:hAnsi="Arial"/>
                <w:sz w:val="16"/>
                <w:szCs w:val="16"/>
                <w:color w:val="auto"/>
              </w:rPr>
              <w:t>10.16+</w:t>
            </w:r>
          </w:p>
        </w:tc>
        <w:tc>
          <w:tcPr>
            <w:tcW w:w="10260" w:type="dxa"/>
            <w:vAlign w:val="bottom"/>
            <w:gridSpan w:val="8"/>
          </w:tcPr>
          <w:p>
            <w:pPr>
              <w:spacing w:after="0" w:line="171" w:lineRule="exact"/>
              <w:rPr>
                <w:rFonts w:ascii="Arial" w:cs="Arial" w:eastAsia="Arial" w:hAnsi="Arial"/>
                <w:sz w:val="16"/>
                <w:szCs w:val="16"/>
                <w:color w:val="0000FF"/>
              </w:rPr>
            </w:pPr>
            <w:hyperlink r:id="rId114">
              <w:r>
                <w:rPr>
                  <w:rFonts w:ascii="Arial" w:cs="Arial" w:eastAsia="Arial" w:hAnsi="Arial"/>
                  <w:sz w:val="16"/>
                  <w:szCs w:val="16"/>
                  <w:u w:val="single" w:color="auto"/>
                  <w:color w:val="0000FF"/>
                </w:rPr>
                <w:t>Form of Employee Restricted Stock Units Agreement for the MasTec, Inc. Amended and Restated 2013 Incentive Compensation Plan</w:t>
              </w:r>
            </w:hyperlink>
            <w:r>
              <w:rPr>
                <w:rFonts w:ascii="Arial" w:cs="Arial" w:eastAsia="Arial" w:hAnsi="Arial"/>
                <w:sz w:val="16"/>
                <w:szCs w:val="16"/>
                <w:color w:val="000000"/>
              </w:rPr>
              <w:t>,</w:t>
            </w:r>
          </w:p>
        </w:tc>
      </w:tr>
      <w:tr>
        <w:trPr>
          <w:trHeight w:val="206"/>
        </w:trPr>
        <w:tc>
          <w:tcPr>
            <w:tcW w:w="980" w:type="dxa"/>
            <w:vAlign w:val="bottom"/>
          </w:tcPr>
          <w:p>
            <w:pPr>
              <w:spacing w:after="0"/>
              <w:rPr>
                <w:sz w:val="17"/>
                <w:szCs w:val="17"/>
                <w:color w:val="auto"/>
              </w:rPr>
            </w:pPr>
          </w:p>
        </w:tc>
        <w:tc>
          <w:tcPr>
            <w:tcW w:w="10260" w:type="dxa"/>
            <w:vAlign w:val="bottom"/>
            <w:gridSpan w:val="8"/>
          </w:tcPr>
          <w:p>
            <w:pPr>
              <w:spacing w:after="0"/>
              <w:rPr>
                <w:sz w:val="20"/>
                <w:szCs w:val="20"/>
                <w:color w:val="auto"/>
              </w:rPr>
            </w:pPr>
            <w:r>
              <w:rPr>
                <w:rFonts w:ascii="Arial" w:cs="Arial" w:eastAsia="Arial" w:hAnsi="Arial"/>
                <w:sz w:val="16"/>
                <w:szCs w:val="16"/>
                <w:color w:val="auto"/>
              </w:rPr>
              <w:t>filed as Exhibit 10.5 to our Quarterly Report on Form 10-Q filed with the SEC on May 4, 2017 and incorporated by reference herein.</w:t>
            </w:r>
          </w:p>
        </w:tc>
      </w:tr>
      <w:tr>
        <w:trPr>
          <w:trHeight w:val="182"/>
        </w:trPr>
        <w:tc>
          <w:tcPr>
            <w:tcW w:w="980" w:type="dxa"/>
            <w:vAlign w:val="bottom"/>
          </w:tcPr>
          <w:p>
            <w:pPr>
              <w:ind w:left="60"/>
              <w:spacing w:after="0" w:line="181" w:lineRule="exact"/>
              <w:rPr>
                <w:sz w:val="20"/>
                <w:szCs w:val="20"/>
                <w:color w:val="auto"/>
              </w:rPr>
            </w:pPr>
            <w:r>
              <w:rPr>
                <w:rFonts w:ascii="Arial" w:cs="Arial" w:eastAsia="Arial" w:hAnsi="Arial"/>
                <w:sz w:val="16"/>
                <w:szCs w:val="16"/>
                <w:color w:val="auto"/>
              </w:rPr>
              <w:t>10.17+</w:t>
            </w:r>
          </w:p>
        </w:tc>
        <w:tc>
          <w:tcPr>
            <w:tcW w:w="10260" w:type="dxa"/>
            <w:vAlign w:val="bottom"/>
            <w:gridSpan w:val="8"/>
          </w:tcPr>
          <w:p>
            <w:pPr>
              <w:spacing w:after="0" w:line="181" w:lineRule="exact"/>
              <w:rPr>
                <w:rFonts w:ascii="Arial" w:cs="Arial" w:eastAsia="Arial" w:hAnsi="Arial"/>
                <w:sz w:val="16"/>
                <w:szCs w:val="16"/>
                <w:color w:val="0000FF"/>
              </w:rPr>
            </w:pPr>
            <w:hyperlink r:id="rId115">
              <w:r>
                <w:rPr>
                  <w:rFonts w:ascii="Arial" w:cs="Arial" w:eastAsia="Arial" w:hAnsi="Arial"/>
                  <w:sz w:val="16"/>
                  <w:szCs w:val="16"/>
                  <w:color w:val="0000FF"/>
                </w:rPr>
                <w:t>Form of Executive Employee Restricted Stock Agreement for the MasTec, Inc. Amended and Restated 2013 Incentive Compensation</w:t>
              </w:r>
            </w:hyperlink>
          </w:p>
        </w:tc>
      </w:tr>
      <w:tr>
        <w:trPr>
          <w:trHeight w:val="142"/>
        </w:trPr>
        <w:tc>
          <w:tcPr>
            <w:tcW w:w="980" w:type="dxa"/>
            <w:vAlign w:val="bottom"/>
          </w:tcPr>
          <w:p>
            <w:pPr>
              <w:spacing w:after="0"/>
              <w:rPr>
                <w:sz w:val="12"/>
                <w:szCs w:val="12"/>
                <w:color w:val="auto"/>
              </w:rPr>
            </w:pPr>
          </w:p>
        </w:tc>
        <w:tc>
          <w:tcPr>
            <w:tcW w:w="8900" w:type="dxa"/>
            <w:vAlign w:val="bottom"/>
            <w:tcBorders>
              <w:top w:val="single" w:sz="8" w:color="0000FF"/>
            </w:tcBorders>
            <w:gridSpan w:val="7"/>
          </w:tcPr>
          <w:p>
            <w:pPr>
              <w:spacing w:after="0" w:line="142" w:lineRule="exact"/>
              <w:rPr>
                <w:rFonts w:ascii="Arial" w:cs="Arial" w:eastAsia="Arial" w:hAnsi="Arial"/>
                <w:sz w:val="16"/>
                <w:szCs w:val="16"/>
                <w:color w:val="0000FF"/>
                <w:w w:val="93"/>
              </w:rPr>
            </w:pPr>
            <w:hyperlink r:id="rId115">
              <w:r>
                <w:rPr>
                  <w:rFonts w:ascii="Arial" w:cs="Arial" w:eastAsia="Arial" w:hAnsi="Arial"/>
                  <w:sz w:val="16"/>
                  <w:szCs w:val="16"/>
                  <w:color w:val="0000FF"/>
                  <w:w w:val="93"/>
                </w:rPr>
                <w:t xml:space="preserve">Plan </w:t>
              </w:r>
              <w:r>
                <w:rPr>
                  <w:rFonts w:ascii="Arial" w:cs="Arial" w:eastAsia="Arial" w:hAnsi="Arial"/>
                  <w:sz w:val="16"/>
                  <w:szCs w:val="16"/>
                  <w:color w:val="000000"/>
                  <w:w w:val="93"/>
                </w:rPr>
                <w:t>(for awards made prior to May 14, 2020), filed as Exhibit 10.6 to our Quarterly Report on Form 10-Q filed with the SEC on May 4,</w:t>
              </w:r>
            </w:hyperlink>
          </w:p>
        </w:tc>
        <w:tc>
          <w:tcPr>
            <w:tcW w:w="1360" w:type="dxa"/>
            <w:vAlign w:val="bottom"/>
          </w:tcPr>
          <w:p>
            <w:pPr>
              <w:spacing w:after="0"/>
              <w:rPr>
                <w:sz w:val="12"/>
                <w:szCs w:val="12"/>
                <w:color w:val="auto"/>
              </w:rPr>
            </w:pPr>
          </w:p>
        </w:tc>
      </w:tr>
      <w:tr>
        <w:trPr>
          <w:trHeight w:val="200"/>
        </w:trPr>
        <w:tc>
          <w:tcPr>
            <w:tcW w:w="980" w:type="dxa"/>
            <w:vAlign w:val="bottom"/>
          </w:tcPr>
          <w:p>
            <w:pPr>
              <w:spacing w:after="0"/>
              <w:rPr>
                <w:sz w:val="17"/>
                <w:szCs w:val="17"/>
                <w:color w:val="auto"/>
              </w:rPr>
            </w:pPr>
          </w:p>
        </w:tc>
        <w:tc>
          <w:tcPr>
            <w:tcW w:w="300" w:type="dxa"/>
            <w:vAlign w:val="bottom"/>
            <w:tcBorders>
              <w:top w:val="single" w:sz="8" w:color="0000FF"/>
            </w:tcBorders>
          </w:tcPr>
          <w:p>
            <w:pPr>
              <w:spacing w:after="0"/>
              <w:rPr>
                <w:sz w:val="20"/>
                <w:szCs w:val="20"/>
                <w:color w:val="auto"/>
              </w:rPr>
            </w:pPr>
            <w:r>
              <w:rPr>
                <w:rFonts w:ascii="Arial" w:cs="Arial" w:eastAsia="Arial" w:hAnsi="Arial"/>
                <w:sz w:val="16"/>
                <w:szCs w:val="16"/>
                <w:color w:val="auto"/>
                <w:w w:val="78"/>
              </w:rPr>
              <w:t>2017</w:t>
            </w:r>
          </w:p>
        </w:tc>
        <w:tc>
          <w:tcPr>
            <w:tcW w:w="9960" w:type="dxa"/>
            <w:vAlign w:val="bottom"/>
            <w:gridSpan w:val="7"/>
          </w:tcPr>
          <w:p>
            <w:pPr>
              <w:ind w:left="60"/>
              <w:spacing w:after="0"/>
              <w:rPr>
                <w:sz w:val="20"/>
                <w:szCs w:val="20"/>
                <w:color w:val="auto"/>
              </w:rPr>
            </w:pPr>
            <w:r>
              <w:rPr>
                <w:rFonts w:ascii="Arial" w:cs="Arial" w:eastAsia="Arial" w:hAnsi="Arial"/>
                <w:sz w:val="16"/>
                <w:szCs w:val="16"/>
                <w:color w:val="auto"/>
              </w:rPr>
              <w:t>and incorporated by reference herein.</w:t>
            </w:r>
          </w:p>
        </w:tc>
      </w:tr>
      <w:tr>
        <w:trPr>
          <w:trHeight w:val="841"/>
        </w:trPr>
        <w:tc>
          <w:tcPr>
            <w:tcW w:w="980" w:type="dxa"/>
            <w:vAlign w:val="bottom"/>
          </w:tcPr>
          <w:p>
            <w:pPr>
              <w:spacing w:after="0"/>
              <w:rPr>
                <w:sz w:val="24"/>
                <w:szCs w:val="24"/>
                <w:color w:val="auto"/>
              </w:rPr>
            </w:pPr>
          </w:p>
        </w:tc>
        <w:tc>
          <w:tcPr>
            <w:tcW w:w="8860" w:type="dxa"/>
            <w:vAlign w:val="bottom"/>
            <w:gridSpan w:val="5"/>
          </w:tcPr>
          <w:p>
            <w:pPr>
              <w:ind w:left="4560"/>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8"/>
        </w:trPr>
        <w:tc>
          <w:tcPr>
            <w:tcW w:w="9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type w:val="continuous"/>
        </w:sectPr>
      </w:pPr>
    </w:p>
    <w:bookmarkStart w:id="87" w:name="page88"/>
    <w:bookmarkEnd w:id="87"/>
    <w:tbl>
      <w:tblPr>
        <w:tblLayout w:type="fixed"/>
        <w:tblInd w:w="20" w:type="dxa"/>
        <w:tblCellMar>
          <w:top w:w="0" w:type="dxa"/>
          <w:left w:w="0" w:type="dxa"/>
          <w:bottom w:w="0" w:type="dxa"/>
          <w:right w:w="0" w:type="dxa"/>
        </w:tblCellMar>
      </w:tblPr>
      <w:tr>
        <w:trPr>
          <w:trHeight w:val="184"/>
        </w:trPr>
        <w:tc>
          <w:tcPr>
            <w:tcW w:w="960" w:type="dxa"/>
            <w:vAlign w:val="bottom"/>
          </w:tcPr>
          <w:p>
            <w:pPr>
              <w:ind w:left="40"/>
              <w:spacing w:after="0"/>
              <w:rPr>
                <w:sz w:val="20"/>
                <w:szCs w:val="20"/>
                <w:color w:val="auto"/>
              </w:rPr>
            </w:pPr>
            <w:r>
              <w:rPr>
                <w:rFonts w:ascii="Arial" w:cs="Arial" w:eastAsia="Arial" w:hAnsi="Arial"/>
                <w:sz w:val="16"/>
                <w:szCs w:val="16"/>
                <w:color w:val="auto"/>
              </w:rPr>
              <w:t>10.18+</w:t>
            </w:r>
          </w:p>
        </w:tc>
        <w:tc>
          <w:tcPr>
            <w:tcW w:w="8880" w:type="dxa"/>
            <w:vAlign w:val="bottom"/>
            <w:gridSpan w:val="5"/>
          </w:tcPr>
          <w:p>
            <w:pPr>
              <w:spacing w:after="0"/>
              <w:rPr>
                <w:rFonts w:ascii="Arial" w:cs="Arial" w:eastAsia="Arial" w:hAnsi="Arial"/>
                <w:sz w:val="16"/>
                <w:szCs w:val="16"/>
                <w:color w:val="0000FF"/>
                <w:w w:val="95"/>
              </w:rPr>
            </w:pPr>
            <w:hyperlink r:id="rId118">
              <w:r>
                <w:rPr>
                  <w:rFonts w:ascii="Arial" w:cs="Arial" w:eastAsia="Arial" w:hAnsi="Arial"/>
                  <w:sz w:val="16"/>
                  <w:szCs w:val="16"/>
                  <w:u w:val="single" w:color="auto"/>
                  <w:color w:val="0000FF"/>
                  <w:w w:val="95"/>
                </w:rPr>
                <w:t>Form of Executive Restricted Stock Agreement for the MasTec, Inc. Amended and Restated 2013 Incentive Compensation Plan</w:t>
              </w:r>
              <w:r>
                <w:rPr>
                  <w:rFonts w:ascii="Arial" w:cs="Arial" w:eastAsia="Arial" w:hAnsi="Arial"/>
                  <w:sz w:val="16"/>
                  <w:szCs w:val="16"/>
                  <w:color w:val="0000FF"/>
                  <w:w w:val="95"/>
                </w:rPr>
                <w:t xml:space="preserve"> </w:t>
              </w:r>
            </w:hyperlink>
            <w:r>
              <w:rPr>
                <w:rFonts w:ascii="Arial" w:cs="Arial" w:eastAsia="Arial" w:hAnsi="Arial"/>
                <w:sz w:val="16"/>
                <w:szCs w:val="16"/>
                <w:color w:val="000000"/>
                <w:w w:val="95"/>
              </w:rPr>
              <w:t>(for</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8880" w:type="dxa"/>
            <w:vAlign w:val="bottom"/>
            <w:gridSpan w:val="5"/>
          </w:tcPr>
          <w:p>
            <w:pPr>
              <w:spacing w:after="0" w:line="162" w:lineRule="exact"/>
              <w:rPr>
                <w:sz w:val="20"/>
                <w:szCs w:val="20"/>
                <w:color w:val="auto"/>
              </w:rPr>
            </w:pPr>
            <w:r>
              <w:rPr>
                <w:rFonts w:ascii="Arial" w:cs="Arial" w:eastAsia="Arial" w:hAnsi="Arial"/>
                <w:sz w:val="16"/>
                <w:szCs w:val="16"/>
                <w:color w:val="auto"/>
                <w:w w:val="93"/>
              </w:rPr>
              <w:t>awards made after May 14, 2020), filed as Exhibit 10.1 to our Quarterly Report on Form 10-Q filed with the SEC on July 31, 2020 and</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8880" w:type="dxa"/>
            <w:vAlign w:val="bottom"/>
            <w:gridSpan w:val="5"/>
          </w:tcPr>
          <w:p>
            <w:pPr>
              <w:spacing w:after="0"/>
              <w:rPr>
                <w:sz w:val="20"/>
                <w:szCs w:val="20"/>
                <w:color w:val="auto"/>
              </w:rPr>
            </w:pPr>
            <w:r>
              <w:rPr>
                <w:rFonts w:ascii="Arial" w:cs="Arial" w:eastAsia="Arial" w:hAnsi="Arial"/>
                <w:sz w:val="16"/>
                <w:szCs w:val="16"/>
                <w:color w:val="auto"/>
              </w:rPr>
              <w:t>incorporated by reference herein.</w:t>
            </w:r>
          </w:p>
        </w:tc>
        <w:tc>
          <w:tcPr>
            <w:tcW w:w="0" w:type="dxa"/>
            <w:vAlign w:val="bottom"/>
          </w:tcPr>
          <w:p>
            <w:pPr>
              <w:spacing w:after="0"/>
              <w:rPr>
                <w:sz w:val="1"/>
                <w:szCs w:val="1"/>
                <w:color w:val="auto"/>
              </w:rPr>
            </w:pPr>
          </w:p>
        </w:tc>
      </w:tr>
      <w:tr>
        <w:trPr>
          <w:trHeight w:val="181"/>
        </w:trPr>
        <w:tc>
          <w:tcPr>
            <w:tcW w:w="960" w:type="dxa"/>
            <w:vAlign w:val="bottom"/>
          </w:tcPr>
          <w:p>
            <w:pPr>
              <w:ind w:left="40"/>
              <w:spacing w:after="0" w:line="181" w:lineRule="exact"/>
              <w:rPr>
                <w:sz w:val="20"/>
                <w:szCs w:val="20"/>
                <w:color w:val="auto"/>
              </w:rPr>
            </w:pPr>
            <w:r>
              <w:rPr>
                <w:rFonts w:ascii="Arial" w:cs="Arial" w:eastAsia="Arial" w:hAnsi="Arial"/>
                <w:sz w:val="16"/>
                <w:szCs w:val="16"/>
                <w:color w:val="auto"/>
              </w:rPr>
              <w:t>10.19+</w:t>
            </w:r>
          </w:p>
        </w:tc>
        <w:tc>
          <w:tcPr>
            <w:tcW w:w="8880" w:type="dxa"/>
            <w:vAlign w:val="bottom"/>
            <w:gridSpan w:val="5"/>
          </w:tcPr>
          <w:p>
            <w:pPr>
              <w:spacing w:after="0" w:line="181" w:lineRule="exact"/>
              <w:rPr>
                <w:rFonts w:ascii="Arial" w:cs="Arial" w:eastAsia="Arial" w:hAnsi="Arial"/>
                <w:sz w:val="16"/>
                <w:szCs w:val="16"/>
                <w:color w:val="0000FF"/>
                <w:w w:val="92"/>
              </w:rPr>
            </w:pPr>
            <w:hyperlink r:id="rId119">
              <w:r>
                <w:rPr>
                  <w:rFonts w:ascii="Arial" w:cs="Arial" w:eastAsia="Arial" w:hAnsi="Arial"/>
                  <w:sz w:val="16"/>
                  <w:szCs w:val="16"/>
                  <w:color w:val="0000FF"/>
                  <w:w w:val="92"/>
                </w:rPr>
                <w:t>Form of Executive (Jorge Mas) Restricted Stock Agreement for the MasTec, Inc. Amended and Restated 2013 Incentive Compensation</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8860" w:type="dxa"/>
            <w:vAlign w:val="bottom"/>
            <w:tcBorders>
              <w:top w:val="single" w:sz="8" w:color="0000FF"/>
            </w:tcBorders>
            <w:gridSpan w:val="4"/>
          </w:tcPr>
          <w:p>
            <w:pPr>
              <w:spacing w:after="0" w:line="142" w:lineRule="exact"/>
              <w:rPr>
                <w:rFonts w:ascii="Arial" w:cs="Arial" w:eastAsia="Arial" w:hAnsi="Arial"/>
                <w:sz w:val="16"/>
                <w:szCs w:val="16"/>
                <w:color w:val="0000FF"/>
                <w:w w:val="95"/>
              </w:rPr>
            </w:pPr>
            <w:hyperlink r:id="rId119">
              <w:r>
                <w:rPr>
                  <w:rFonts w:ascii="Arial" w:cs="Arial" w:eastAsia="Arial" w:hAnsi="Arial"/>
                  <w:sz w:val="16"/>
                  <w:szCs w:val="16"/>
                  <w:color w:val="0000FF"/>
                  <w:w w:val="95"/>
                </w:rPr>
                <w:t>Plan</w:t>
              </w:r>
              <w:r>
                <w:rPr>
                  <w:rFonts w:ascii="Arial" w:cs="Arial" w:eastAsia="Arial" w:hAnsi="Arial"/>
                  <w:sz w:val="16"/>
                  <w:szCs w:val="16"/>
                  <w:color w:val="000000"/>
                  <w:w w:val="95"/>
                </w:rPr>
                <w:t>, filed as Exhibit 10.2 to our Quarterly Report on Form 10-Q filed with the SEC on July 31, 2020 and incorporated by reference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8880" w:type="dxa"/>
            <w:vAlign w:val="bottom"/>
            <w:gridSpan w:val="5"/>
          </w:tcPr>
          <w:p>
            <w:pPr>
              <w:spacing w:after="0"/>
              <w:rPr>
                <w:sz w:val="20"/>
                <w:szCs w:val="20"/>
                <w:color w:val="auto"/>
              </w:rPr>
            </w:pPr>
            <w:r>
              <w:rPr>
                <w:rFonts w:ascii="Arial" w:cs="Arial" w:eastAsia="Arial" w:hAnsi="Arial"/>
                <w:sz w:val="16"/>
                <w:szCs w:val="16"/>
                <w:color w:val="auto"/>
              </w:rPr>
              <w:t>herein.</w:t>
            </w:r>
          </w:p>
        </w:tc>
        <w:tc>
          <w:tcPr>
            <w:tcW w:w="0" w:type="dxa"/>
            <w:vAlign w:val="bottom"/>
          </w:tcPr>
          <w:p>
            <w:pPr>
              <w:spacing w:after="0"/>
              <w:rPr>
                <w:sz w:val="1"/>
                <w:szCs w:val="1"/>
                <w:color w:val="auto"/>
              </w:rPr>
            </w:pPr>
          </w:p>
        </w:tc>
      </w:tr>
      <w:tr>
        <w:trPr>
          <w:trHeight w:val="162"/>
        </w:trPr>
        <w:tc>
          <w:tcPr>
            <w:tcW w:w="960" w:type="dxa"/>
            <w:vAlign w:val="bottom"/>
          </w:tcPr>
          <w:p>
            <w:pPr>
              <w:ind w:left="40"/>
              <w:spacing w:after="0" w:line="162" w:lineRule="exact"/>
              <w:rPr>
                <w:sz w:val="20"/>
                <w:szCs w:val="20"/>
                <w:color w:val="auto"/>
              </w:rPr>
            </w:pPr>
            <w:r>
              <w:rPr>
                <w:rFonts w:ascii="Arial" w:cs="Arial" w:eastAsia="Arial" w:hAnsi="Arial"/>
                <w:sz w:val="16"/>
                <w:szCs w:val="16"/>
                <w:color w:val="auto"/>
              </w:rPr>
              <w:t>10.20+</w:t>
            </w:r>
          </w:p>
        </w:tc>
        <w:tc>
          <w:tcPr>
            <w:tcW w:w="8880" w:type="dxa"/>
            <w:vAlign w:val="bottom"/>
            <w:gridSpan w:val="5"/>
          </w:tcPr>
          <w:p>
            <w:pPr>
              <w:spacing w:after="0" w:line="162" w:lineRule="exact"/>
              <w:rPr>
                <w:rFonts w:ascii="Arial" w:cs="Arial" w:eastAsia="Arial" w:hAnsi="Arial"/>
                <w:sz w:val="16"/>
                <w:szCs w:val="16"/>
                <w:color w:val="0000FF"/>
                <w:w w:val="94"/>
              </w:rPr>
            </w:pPr>
            <w:hyperlink r:id="rId120">
              <w:r>
                <w:rPr>
                  <w:rFonts w:ascii="Arial" w:cs="Arial" w:eastAsia="Arial" w:hAnsi="Arial"/>
                  <w:sz w:val="16"/>
                  <w:szCs w:val="16"/>
                  <w:u w:val="single" w:color="auto"/>
                  <w:color w:val="0000FF"/>
                  <w:w w:val="94"/>
                </w:rPr>
                <w:t>Employment Agreement by and between MasTec, Inc. and George Pita, dated January 23, 2014</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Exhibit 10.2 to our Current</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8880" w:type="dxa"/>
            <w:vAlign w:val="bottom"/>
            <w:gridSpan w:val="5"/>
          </w:tcPr>
          <w:p>
            <w:pPr>
              <w:spacing w:after="0"/>
              <w:rPr>
                <w:sz w:val="20"/>
                <w:szCs w:val="20"/>
                <w:color w:val="auto"/>
              </w:rPr>
            </w:pPr>
            <w:r>
              <w:rPr>
                <w:rFonts w:ascii="Arial" w:cs="Arial" w:eastAsia="Arial" w:hAnsi="Arial"/>
                <w:sz w:val="16"/>
                <w:szCs w:val="16"/>
                <w:color w:val="auto"/>
              </w:rPr>
              <w:t>Report on Form 8-K filed with the SEC on January 24, 2014 and incorporated by reference herein.</w:t>
            </w:r>
          </w:p>
        </w:tc>
        <w:tc>
          <w:tcPr>
            <w:tcW w:w="0" w:type="dxa"/>
            <w:vAlign w:val="bottom"/>
          </w:tcPr>
          <w:p>
            <w:pPr>
              <w:spacing w:after="0"/>
              <w:rPr>
                <w:sz w:val="1"/>
                <w:szCs w:val="1"/>
                <w:color w:val="auto"/>
              </w:rPr>
            </w:pPr>
          </w:p>
        </w:tc>
      </w:tr>
      <w:tr>
        <w:trPr>
          <w:trHeight w:val="181"/>
        </w:trPr>
        <w:tc>
          <w:tcPr>
            <w:tcW w:w="960" w:type="dxa"/>
            <w:vAlign w:val="bottom"/>
          </w:tcPr>
          <w:p>
            <w:pPr>
              <w:ind w:left="40"/>
              <w:spacing w:after="0" w:line="181" w:lineRule="exact"/>
              <w:rPr>
                <w:sz w:val="20"/>
                <w:szCs w:val="20"/>
                <w:color w:val="auto"/>
              </w:rPr>
            </w:pPr>
            <w:r>
              <w:rPr>
                <w:rFonts w:ascii="Arial" w:cs="Arial" w:eastAsia="Arial" w:hAnsi="Arial"/>
                <w:sz w:val="16"/>
                <w:szCs w:val="16"/>
                <w:color w:val="auto"/>
              </w:rPr>
              <w:t>10.21+</w:t>
            </w:r>
          </w:p>
        </w:tc>
        <w:tc>
          <w:tcPr>
            <w:tcW w:w="8880" w:type="dxa"/>
            <w:vAlign w:val="bottom"/>
            <w:gridSpan w:val="5"/>
          </w:tcPr>
          <w:p>
            <w:pPr>
              <w:spacing w:after="0" w:line="181" w:lineRule="exact"/>
              <w:rPr>
                <w:rFonts w:ascii="Arial" w:cs="Arial" w:eastAsia="Arial" w:hAnsi="Arial"/>
                <w:sz w:val="16"/>
                <w:szCs w:val="16"/>
                <w:color w:val="0000FF"/>
                <w:w w:val="94"/>
              </w:rPr>
            </w:pPr>
            <w:hyperlink r:id="rId121">
              <w:r>
                <w:rPr>
                  <w:rFonts w:ascii="Arial" w:cs="Arial" w:eastAsia="Arial" w:hAnsi="Arial"/>
                  <w:sz w:val="16"/>
                  <w:szCs w:val="16"/>
                  <w:u w:val="single" w:color="auto"/>
                  <w:color w:val="0000FF"/>
                  <w:w w:val="94"/>
                </w:rPr>
                <w:t>MasTec, Inc. Deferred</w:t>
              </w:r>
              <w:r>
                <w:rPr>
                  <w:rFonts w:ascii="Arial" w:cs="Arial" w:eastAsia="Arial" w:hAnsi="Arial"/>
                  <w:sz w:val="16"/>
                  <w:szCs w:val="16"/>
                  <w:color w:val="0000FF"/>
                  <w:w w:val="94"/>
                </w:rPr>
                <w:t xml:space="preserve"> Fee Plan for Directors </w:t>
              </w:r>
              <w:r>
                <w:rPr>
                  <w:rFonts w:ascii="Arial" w:cs="Arial" w:eastAsia="Arial" w:hAnsi="Arial"/>
                  <w:sz w:val="16"/>
                  <w:szCs w:val="16"/>
                  <w:u w:val="single" w:color="auto"/>
                  <w:color w:val="0000FF"/>
                  <w:w w:val="94"/>
                </w:rPr>
                <w:t>(as amended and restated)</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Exhibit 10.38 to our Form 8-K filed with the SEC on</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6"/>
                <w:szCs w:val="16"/>
                <w:color w:val="auto"/>
                <w:w w:val="87"/>
              </w:rPr>
              <w:t>December 23, 2005 and</w:t>
            </w:r>
          </w:p>
        </w:tc>
        <w:tc>
          <w:tcPr>
            <w:tcW w:w="1480" w:type="dxa"/>
            <w:vAlign w:val="bottom"/>
            <w:shd w:val="clear" w:color="auto" w:fill="0000FF"/>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7360" w:type="dxa"/>
            <w:vAlign w:val="bottom"/>
            <w:gridSpan w:val="3"/>
          </w:tcPr>
          <w:p>
            <w:pPr>
              <w:ind w:left="80"/>
              <w:spacing w:after="0"/>
              <w:rPr>
                <w:sz w:val="20"/>
                <w:szCs w:val="20"/>
                <w:color w:val="auto"/>
              </w:rPr>
            </w:pPr>
            <w:r>
              <w:rPr>
                <w:rFonts w:ascii="Arial" w:cs="Arial" w:eastAsia="Arial" w:hAnsi="Arial"/>
                <w:sz w:val="16"/>
                <w:szCs w:val="16"/>
                <w:color w:val="auto"/>
              </w:rPr>
              <w:t>incorporated by reference herein.</w:t>
            </w:r>
          </w:p>
        </w:tc>
        <w:tc>
          <w:tcPr>
            <w:tcW w:w="0" w:type="dxa"/>
            <w:vAlign w:val="bottom"/>
          </w:tcPr>
          <w:p>
            <w:pPr>
              <w:spacing w:after="0"/>
              <w:rPr>
                <w:sz w:val="1"/>
                <w:szCs w:val="1"/>
                <w:color w:val="auto"/>
              </w:rPr>
            </w:pPr>
          </w:p>
        </w:tc>
      </w:tr>
      <w:tr>
        <w:trPr>
          <w:trHeight w:val="206"/>
        </w:trPr>
        <w:tc>
          <w:tcPr>
            <w:tcW w:w="960" w:type="dxa"/>
            <w:vAlign w:val="bottom"/>
          </w:tcPr>
          <w:p>
            <w:pPr>
              <w:ind w:left="40"/>
              <w:spacing w:after="0"/>
              <w:rPr>
                <w:sz w:val="20"/>
                <w:szCs w:val="20"/>
                <w:color w:val="auto"/>
              </w:rPr>
            </w:pPr>
            <w:r>
              <w:rPr>
                <w:rFonts w:ascii="Arial" w:cs="Arial" w:eastAsia="Arial" w:hAnsi="Arial"/>
                <w:sz w:val="16"/>
                <w:szCs w:val="16"/>
                <w:color w:val="auto"/>
              </w:rPr>
              <w:t>21*</w:t>
            </w:r>
          </w:p>
        </w:tc>
        <w:tc>
          <w:tcPr>
            <w:tcW w:w="8880" w:type="dxa"/>
            <w:vAlign w:val="bottom"/>
            <w:gridSpan w:val="5"/>
          </w:tcPr>
          <w:p>
            <w:pPr>
              <w:spacing w:after="0"/>
              <w:rPr>
                <w:rFonts w:ascii="Arial" w:cs="Arial" w:eastAsia="Arial" w:hAnsi="Arial"/>
                <w:sz w:val="16"/>
                <w:szCs w:val="16"/>
                <w:color w:val="0000FF"/>
              </w:rPr>
            </w:pPr>
            <w:hyperlink w:anchor="page132">
              <w:r>
                <w:rPr>
                  <w:rFonts w:ascii="Arial" w:cs="Arial" w:eastAsia="Arial" w:hAnsi="Arial"/>
                  <w:sz w:val="16"/>
                  <w:szCs w:val="16"/>
                  <w:u w:val="single" w:color="auto"/>
                  <w:color w:val="0000FF"/>
                </w:rPr>
                <w:t>Subsidiaries of MasTec, Inc</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16"/>
        </w:trPr>
        <w:tc>
          <w:tcPr>
            <w:tcW w:w="960" w:type="dxa"/>
            <w:vAlign w:val="bottom"/>
          </w:tcPr>
          <w:p>
            <w:pPr>
              <w:ind w:left="40"/>
              <w:spacing w:after="0"/>
              <w:rPr>
                <w:sz w:val="20"/>
                <w:szCs w:val="20"/>
                <w:color w:val="auto"/>
              </w:rPr>
            </w:pPr>
            <w:r>
              <w:rPr>
                <w:rFonts w:ascii="Arial" w:cs="Arial" w:eastAsia="Arial" w:hAnsi="Arial"/>
                <w:sz w:val="16"/>
                <w:szCs w:val="16"/>
                <w:color w:val="auto"/>
              </w:rPr>
              <w:t>23.1*</w:t>
            </w:r>
          </w:p>
        </w:tc>
        <w:tc>
          <w:tcPr>
            <w:tcW w:w="8880" w:type="dxa"/>
            <w:vAlign w:val="bottom"/>
            <w:gridSpan w:val="5"/>
          </w:tcPr>
          <w:p>
            <w:pPr>
              <w:spacing w:after="0"/>
              <w:rPr>
                <w:rFonts w:ascii="Arial" w:cs="Arial" w:eastAsia="Arial" w:hAnsi="Arial"/>
                <w:sz w:val="16"/>
                <w:szCs w:val="16"/>
                <w:color w:val="0000FF"/>
              </w:rPr>
            </w:pPr>
            <w:hyperlink w:anchor="page133">
              <w:r>
                <w:rPr>
                  <w:rFonts w:ascii="Arial" w:cs="Arial" w:eastAsia="Arial" w:hAnsi="Arial"/>
                  <w:sz w:val="16"/>
                  <w:szCs w:val="16"/>
                  <w:u w:val="single" w:color="auto"/>
                  <w:color w:val="0000FF"/>
                </w:rPr>
                <w:t>Consent of Independent Registered Public Accounting Firm</w:t>
              </w:r>
              <w:r>
                <w:rPr>
                  <w:rFonts w:ascii="Arial" w:cs="Arial" w:eastAsia="Arial" w:hAnsi="Arial"/>
                  <w:sz w:val="16"/>
                  <w:szCs w:val="16"/>
                  <w:color w:val="0000FF"/>
                </w:rPr>
                <w:t>.</w:t>
              </w:r>
            </w:hyperlink>
          </w:p>
        </w:tc>
        <w:tc>
          <w:tcPr>
            <w:tcW w:w="0" w:type="dxa"/>
            <w:vAlign w:val="bottom"/>
          </w:tcPr>
          <w:p>
            <w:pPr>
              <w:spacing w:after="0"/>
              <w:rPr>
                <w:sz w:val="1"/>
                <w:szCs w:val="1"/>
                <w:color w:val="auto"/>
              </w:rPr>
            </w:pPr>
          </w:p>
        </w:tc>
      </w:tr>
      <w:tr>
        <w:trPr>
          <w:trHeight w:val="216"/>
        </w:trPr>
        <w:tc>
          <w:tcPr>
            <w:tcW w:w="960" w:type="dxa"/>
            <w:vAlign w:val="bottom"/>
          </w:tcPr>
          <w:p>
            <w:pPr>
              <w:ind w:left="40"/>
              <w:spacing w:after="0"/>
              <w:rPr>
                <w:sz w:val="20"/>
                <w:szCs w:val="20"/>
                <w:color w:val="auto"/>
              </w:rPr>
            </w:pPr>
            <w:r>
              <w:rPr>
                <w:rFonts w:ascii="Arial" w:cs="Arial" w:eastAsia="Arial" w:hAnsi="Arial"/>
                <w:sz w:val="16"/>
                <w:szCs w:val="16"/>
                <w:color w:val="auto"/>
              </w:rPr>
              <w:t>31.1*</w:t>
            </w:r>
          </w:p>
        </w:tc>
        <w:tc>
          <w:tcPr>
            <w:tcW w:w="8880" w:type="dxa"/>
            <w:vAlign w:val="bottom"/>
            <w:gridSpan w:val="5"/>
          </w:tcPr>
          <w:p>
            <w:pPr>
              <w:spacing w:after="0"/>
              <w:rPr>
                <w:rFonts w:ascii="Arial" w:cs="Arial" w:eastAsia="Arial" w:hAnsi="Arial"/>
                <w:sz w:val="16"/>
                <w:szCs w:val="16"/>
                <w:u w:val="single" w:color="auto"/>
                <w:color w:val="0000FF"/>
              </w:rPr>
            </w:pPr>
            <w:hyperlink w:anchor="page134">
              <w:r>
                <w:rPr>
                  <w:rFonts w:ascii="Arial" w:cs="Arial" w:eastAsia="Arial" w:hAnsi="Arial"/>
                  <w:sz w:val="16"/>
                  <w:szCs w:val="16"/>
                  <w:u w:val="single" w:color="auto"/>
                  <w:color w:val="0000FF"/>
                </w:rPr>
                <w:t>Certifications required by Section 302(a) of the Sarbanes-Oxley Act of 2002.</w:t>
              </w:r>
            </w:hyperlink>
          </w:p>
        </w:tc>
        <w:tc>
          <w:tcPr>
            <w:tcW w:w="0" w:type="dxa"/>
            <w:vAlign w:val="bottom"/>
          </w:tcPr>
          <w:p>
            <w:pPr>
              <w:spacing w:after="0"/>
              <w:rPr>
                <w:sz w:val="1"/>
                <w:szCs w:val="1"/>
                <w:color w:val="auto"/>
              </w:rPr>
            </w:pPr>
          </w:p>
        </w:tc>
      </w:tr>
      <w:tr>
        <w:trPr>
          <w:trHeight w:val="216"/>
        </w:trPr>
        <w:tc>
          <w:tcPr>
            <w:tcW w:w="960" w:type="dxa"/>
            <w:vAlign w:val="bottom"/>
          </w:tcPr>
          <w:p>
            <w:pPr>
              <w:ind w:left="40"/>
              <w:spacing w:after="0"/>
              <w:rPr>
                <w:sz w:val="20"/>
                <w:szCs w:val="20"/>
                <w:color w:val="auto"/>
              </w:rPr>
            </w:pPr>
            <w:r>
              <w:rPr>
                <w:rFonts w:ascii="Arial" w:cs="Arial" w:eastAsia="Arial" w:hAnsi="Arial"/>
                <w:sz w:val="16"/>
                <w:szCs w:val="16"/>
                <w:color w:val="auto"/>
              </w:rPr>
              <w:t>31.2*</w:t>
            </w:r>
          </w:p>
        </w:tc>
        <w:tc>
          <w:tcPr>
            <w:tcW w:w="8880" w:type="dxa"/>
            <w:vAlign w:val="bottom"/>
            <w:gridSpan w:val="5"/>
          </w:tcPr>
          <w:p>
            <w:pPr>
              <w:spacing w:after="0"/>
              <w:rPr>
                <w:rFonts w:ascii="Arial" w:cs="Arial" w:eastAsia="Arial" w:hAnsi="Arial"/>
                <w:sz w:val="16"/>
                <w:szCs w:val="16"/>
                <w:u w:val="single" w:color="auto"/>
                <w:color w:val="0000FF"/>
              </w:rPr>
            </w:pPr>
            <w:hyperlink w:anchor="page135">
              <w:r>
                <w:rPr>
                  <w:rFonts w:ascii="Arial" w:cs="Arial" w:eastAsia="Arial" w:hAnsi="Arial"/>
                  <w:sz w:val="16"/>
                  <w:szCs w:val="16"/>
                  <w:u w:val="single" w:color="auto"/>
                  <w:color w:val="0000FF"/>
                </w:rPr>
                <w:t>Certifications required by Section 302(a) of the Sarbanes-Oxley Act of 2002.</w:t>
              </w:r>
            </w:hyperlink>
          </w:p>
        </w:tc>
        <w:tc>
          <w:tcPr>
            <w:tcW w:w="0" w:type="dxa"/>
            <w:vAlign w:val="bottom"/>
          </w:tcPr>
          <w:p>
            <w:pPr>
              <w:spacing w:after="0"/>
              <w:rPr>
                <w:sz w:val="1"/>
                <w:szCs w:val="1"/>
                <w:color w:val="auto"/>
              </w:rPr>
            </w:pPr>
          </w:p>
        </w:tc>
      </w:tr>
      <w:tr>
        <w:trPr>
          <w:trHeight w:val="216"/>
        </w:trPr>
        <w:tc>
          <w:tcPr>
            <w:tcW w:w="960" w:type="dxa"/>
            <w:vAlign w:val="bottom"/>
          </w:tcPr>
          <w:p>
            <w:pPr>
              <w:ind w:left="40"/>
              <w:spacing w:after="0"/>
              <w:rPr>
                <w:sz w:val="20"/>
                <w:szCs w:val="20"/>
                <w:color w:val="auto"/>
              </w:rPr>
            </w:pPr>
            <w:r>
              <w:rPr>
                <w:rFonts w:ascii="Arial" w:cs="Arial" w:eastAsia="Arial" w:hAnsi="Arial"/>
                <w:sz w:val="16"/>
                <w:szCs w:val="16"/>
                <w:color w:val="auto"/>
              </w:rPr>
              <w:t>32.1**</w:t>
            </w:r>
          </w:p>
        </w:tc>
        <w:tc>
          <w:tcPr>
            <w:tcW w:w="8880" w:type="dxa"/>
            <w:vAlign w:val="bottom"/>
            <w:gridSpan w:val="5"/>
          </w:tcPr>
          <w:p>
            <w:pPr>
              <w:spacing w:after="0"/>
              <w:rPr>
                <w:rFonts w:ascii="Arial" w:cs="Arial" w:eastAsia="Arial" w:hAnsi="Arial"/>
                <w:sz w:val="16"/>
                <w:szCs w:val="16"/>
                <w:u w:val="single" w:color="auto"/>
                <w:color w:val="0000FF"/>
              </w:rPr>
            </w:pPr>
            <w:hyperlink w:anchor="page136">
              <w:r>
                <w:rPr>
                  <w:rFonts w:ascii="Arial" w:cs="Arial" w:eastAsia="Arial" w:hAnsi="Arial"/>
                  <w:sz w:val="16"/>
                  <w:szCs w:val="16"/>
                  <w:u w:val="single" w:color="auto"/>
                  <w:color w:val="0000FF"/>
                </w:rPr>
                <w:t>Certifications required by Section 906 of the Sarbanes-Oxley Act of 2002.</w:t>
              </w:r>
            </w:hyperlink>
          </w:p>
        </w:tc>
        <w:tc>
          <w:tcPr>
            <w:tcW w:w="0" w:type="dxa"/>
            <w:vAlign w:val="bottom"/>
          </w:tcPr>
          <w:p>
            <w:pPr>
              <w:spacing w:after="0"/>
              <w:rPr>
                <w:sz w:val="1"/>
                <w:szCs w:val="1"/>
                <w:color w:val="auto"/>
              </w:rPr>
            </w:pPr>
          </w:p>
        </w:tc>
      </w:tr>
      <w:tr>
        <w:trPr>
          <w:trHeight w:val="216"/>
        </w:trPr>
        <w:tc>
          <w:tcPr>
            <w:tcW w:w="960" w:type="dxa"/>
            <w:vAlign w:val="bottom"/>
          </w:tcPr>
          <w:p>
            <w:pPr>
              <w:ind w:left="40"/>
              <w:spacing w:after="0"/>
              <w:rPr>
                <w:sz w:val="20"/>
                <w:szCs w:val="20"/>
                <w:color w:val="auto"/>
              </w:rPr>
            </w:pPr>
            <w:r>
              <w:rPr>
                <w:rFonts w:ascii="Arial" w:cs="Arial" w:eastAsia="Arial" w:hAnsi="Arial"/>
                <w:sz w:val="16"/>
                <w:szCs w:val="16"/>
                <w:color w:val="auto"/>
              </w:rPr>
              <w:t>32.2**</w:t>
            </w:r>
          </w:p>
        </w:tc>
        <w:tc>
          <w:tcPr>
            <w:tcW w:w="8880" w:type="dxa"/>
            <w:vAlign w:val="bottom"/>
            <w:gridSpan w:val="5"/>
          </w:tcPr>
          <w:p>
            <w:pPr>
              <w:spacing w:after="0"/>
              <w:rPr>
                <w:rFonts w:ascii="Arial" w:cs="Arial" w:eastAsia="Arial" w:hAnsi="Arial"/>
                <w:sz w:val="16"/>
                <w:szCs w:val="16"/>
                <w:u w:val="single" w:color="auto"/>
                <w:color w:val="0000FF"/>
              </w:rPr>
            </w:pPr>
            <w:hyperlink w:anchor="page137">
              <w:r>
                <w:rPr>
                  <w:rFonts w:ascii="Arial" w:cs="Arial" w:eastAsia="Arial" w:hAnsi="Arial"/>
                  <w:sz w:val="16"/>
                  <w:szCs w:val="16"/>
                  <w:u w:val="single" w:color="auto"/>
                  <w:color w:val="0000FF"/>
                </w:rPr>
                <w:t>Certifications required by Section 906 of the Sarbanes-Oxley Act of 2002.</w:t>
              </w:r>
            </w:hyperlink>
          </w:p>
        </w:tc>
        <w:tc>
          <w:tcPr>
            <w:tcW w:w="0" w:type="dxa"/>
            <w:vAlign w:val="bottom"/>
          </w:tcPr>
          <w:p>
            <w:pPr>
              <w:spacing w:after="0"/>
              <w:rPr>
                <w:sz w:val="1"/>
                <w:szCs w:val="1"/>
                <w:color w:val="auto"/>
              </w:rPr>
            </w:pPr>
          </w:p>
        </w:tc>
      </w:tr>
      <w:tr>
        <w:trPr>
          <w:trHeight w:val="172"/>
        </w:trPr>
        <w:tc>
          <w:tcPr>
            <w:tcW w:w="960" w:type="dxa"/>
            <w:vAlign w:val="bottom"/>
          </w:tcPr>
          <w:p>
            <w:pPr>
              <w:spacing w:after="0" w:line="171" w:lineRule="exact"/>
              <w:rPr>
                <w:sz w:val="20"/>
                <w:szCs w:val="20"/>
                <w:color w:val="auto"/>
              </w:rPr>
            </w:pPr>
            <w:r>
              <w:rPr>
                <w:rFonts w:ascii="Arial" w:cs="Arial" w:eastAsia="Arial" w:hAnsi="Arial"/>
                <w:sz w:val="16"/>
                <w:szCs w:val="16"/>
                <w:color w:val="auto"/>
              </w:rPr>
              <w:t>101.INS</w:t>
            </w:r>
          </w:p>
        </w:tc>
        <w:tc>
          <w:tcPr>
            <w:tcW w:w="8880" w:type="dxa"/>
            <w:vAlign w:val="bottom"/>
            <w:gridSpan w:val="5"/>
          </w:tcPr>
          <w:p>
            <w:pPr>
              <w:spacing w:after="0" w:line="171" w:lineRule="exact"/>
              <w:rPr>
                <w:sz w:val="20"/>
                <w:szCs w:val="20"/>
                <w:color w:val="auto"/>
              </w:rPr>
            </w:pPr>
            <w:r>
              <w:rPr>
                <w:rFonts w:ascii="Arial" w:cs="Arial" w:eastAsia="Arial" w:hAnsi="Arial"/>
                <w:sz w:val="16"/>
                <w:szCs w:val="16"/>
                <w:color w:val="auto"/>
                <w:w w:val="98"/>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8880" w:type="dxa"/>
            <w:vAlign w:val="bottom"/>
            <w:gridSpan w:val="5"/>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101.SCH</w:t>
            </w:r>
          </w:p>
        </w:tc>
        <w:tc>
          <w:tcPr>
            <w:tcW w:w="888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101.CAL</w:t>
            </w:r>
          </w:p>
        </w:tc>
        <w:tc>
          <w:tcPr>
            <w:tcW w:w="888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101.DEF</w:t>
            </w:r>
          </w:p>
        </w:tc>
        <w:tc>
          <w:tcPr>
            <w:tcW w:w="888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6"/>
                <w:szCs w:val="16"/>
                <w:color w:val="auto"/>
              </w:rPr>
              <w:t>101.LAB</w:t>
            </w:r>
          </w:p>
        </w:tc>
        <w:tc>
          <w:tcPr>
            <w:tcW w:w="888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101.PRE</w:t>
            </w:r>
          </w:p>
        </w:tc>
        <w:tc>
          <w:tcPr>
            <w:tcW w:w="888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980" w:right="739" w:hanging="95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cover page of MasTec, Inc.’s Annual Report on Form 10-K for the year ended December 31, 2020, formatted in Inline XBRL (included with the Exhibit 101 attachments).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68" w:lineRule="exact"/>
        <w:rPr>
          <w:sz w:val="20"/>
          <w:szCs w:val="20"/>
          <w:color w:val="auto"/>
        </w:rPr>
      </w:pPr>
    </w:p>
    <w:p>
      <w:pPr>
        <w:ind w:right="3259" w:firstLine="8"/>
        <w:spacing w:after="0" w:line="316" w:lineRule="auto"/>
        <w:tabs>
          <w:tab w:leader="none" w:pos="3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SEC file number for all Securities Exchange Act reports referenced in the exhibit list is 001 - 08106. * Filed herewith.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Furnished herewith.</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Management contract or compensation plan arrangement.</w:t>
      </w:r>
    </w:p>
    <w:p>
      <w:pPr>
        <w:spacing w:after="0" w:line="27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16.</w:t>
        <w:tab/>
        <w:t>FORM 10-K SUMMARY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88" w:name="page89"/>
    <w:bookmarkEnd w:id="88"/>
    <w:p>
      <w:pPr>
        <w:jc w:val="center"/>
        <w:ind w:right="6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millions)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Additions</w:t>
            </w: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00"/>
              <w:spacing w:after="0" w:line="161" w:lineRule="exact"/>
              <w:rPr>
                <w:sz w:val="20"/>
                <w:szCs w:val="20"/>
                <w:color w:val="auto"/>
              </w:rPr>
            </w:pPr>
            <w:r>
              <w:rPr>
                <w:rFonts w:ascii="Arial" w:cs="Arial" w:eastAsia="Arial" w:hAnsi="Arial"/>
                <w:sz w:val="16"/>
                <w:szCs w:val="16"/>
                <w:b w:val="1"/>
                <w:bCs w:val="1"/>
                <w:color w:val="auto"/>
                <w:w w:val="89"/>
              </w:rPr>
              <w:t>Balance at</w:t>
            </w:r>
          </w:p>
        </w:tc>
        <w:tc>
          <w:tcPr>
            <w:tcW w:w="140" w:type="dxa"/>
            <w:vAlign w:val="bottom"/>
          </w:tcPr>
          <w:p>
            <w:pPr>
              <w:spacing w:after="0"/>
              <w:rPr>
                <w:sz w:val="14"/>
                <w:szCs w:val="14"/>
                <w:color w:val="auto"/>
              </w:rPr>
            </w:pPr>
          </w:p>
        </w:tc>
        <w:tc>
          <w:tcPr>
            <w:tcW w:w="980" w:type="dxa"/>
            <w:vAlign w:val="bottom"/>
          </w:tcPr>
          <w:p>
            <w:pPr>
              <w:jc w:val="center"/>
              <w:ind w:right="79"/>
              <w:spacing w:after="0" w:line="161" w:lineRule="exact"/>
              <w:rPr>
                <w:sz w:val="20"/>
                <w:szCs w:val="20"/>
                <w:color w:val="auto"/>
              </w:rPr>
            </w:pPr>
            <w:r>
              <w:rPr>
                <w:rFonts w:ascii="Arial" w:cs="Arial" w:eastAsia="Arial" w:hAnsi="Arial"/>
                <w:sz w:val="16"/>
                <w:szCs w:val="16"/>
                <w:b w:val="1"/>
                <w:bCs w:val="1"/>
                <w:color w:val="auto"/>
                <w:w w:val="88"/>
              </w:rPr>
              <w:t>Charges to</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2"/>
              </w:rPr>
              <w:t>Balance at</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0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4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0"/>
              </w:rPr>
              <w:t>Cost and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1"/>
              </w:rPr>
              <w:t>(Deductions)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Period</w:t>
            </w:r>
          </w:p>
        </w:tc>
        <w:tc>
          <w:tcPr>
            <w:tcW w:w="14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Additions</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End of Period</w:t>
            </w:r>
          </w:p>
        </w:tc>
        <w:tc>
          <w:tcPr>
            <w:tcW w:w="0" w:type="dxa"/>
            <w:vAlign w:val="bottom"/>
          </w:tcPr>
          <w:p>
            <w:pPr>
              <w:spacing w:after="0"/>
              <w:rPr>
                <w:sz w:val="1"/>
                <w:szCs w:val="1"/>
                <w:color w:val="auto"/>
              </w:rPr>
            </w:pPr>
          </w:p>
        </w:tc>
      </w:tr>
      <w:tr>
        <w:trPr>
          <w:trHeight w:val="199"/>
        </w:trPr>
        <w:tc>
          <w:tcPr>
            <w:tcW w:w="4400" w:type="dxa"/>
            <w:vAlign w:val="bottom"/>
          </w:tcPr>
          <w:p>
            <w:pPr>
              <w:ind w:left="200"/>
              <w:spacing w:after="0"/>
              <w:rPr>
                <w:sz w:val="20"/>
                <w:szCs w:val="20"/>
                <w:color w:val="auto"/>
              </w:rPr>
            </w:pPr>
            <w:r>
              <w:rPr>
                <w:rFonts w:ascii="Arial" w:cs="Arial" w:eastAsia="Arial" w:hAnsi="Arial"/>
                <w:sz w:val="16"/>
                <w:szCs w:val="16"/>
                <w:color w:val="auto"/>
              </w:rPr>
              <w:t>Year ended December 31, 2020</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3"/>
        </w:trPr>
        <w:tc>
          <w:tcPr>
            <w:tcW w:w="4400" w:type="dxa"/>
            <w:vAlign w:val="bottom"/>
          </w:tcPr>
          <w:p>
            <w:pPr>
              <w:ind w:left="540"/>
              <w:spacing w:after="0"/>
              <w:rPr>
                <w:sz w:val="20"/>
                <w:szCs w:val="20"/>
                <w:color w:val="auto"/>
              </w:rPr>
            </w:pPr>
            <w:r>
              <w:rPr>
                <w:rFonts w:ascii="Arial" w:cs="Arial" w:eastAsia="Arial" w:hAnsi="Arial"/>
                <w:sz w:val="16"/>
                <w:szCs w:val="16"/>
                <w:color w:val="auto"/>
              </w:rPr>
              <w:t>Allowance for unbilled receivables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w:t>
            </w:r>
          </w:p>
        </w:tc>
        <w:tc>
          <w:tcPr>
            <w:tcW w:w="280" w:type="dxa"/>
            <w:vAlign w:val="bottom"/>
          </w:tcPr>
          <w:p>
            <w:pPr>
              <w:spacing w:after="0"/>
              <w:rPr>
                <w:sz w:val="20"/>
                <w:szCs w:val="20"/>
                <w:color w:val="auto"/>
              </w:rPr>
            </w:pPr>
            <w:r>
              <w:rPr>
                <w:rFonts w:ascii="Arial" w:cs="Arial" w:eastAsia="Arial" w:hAnsi="Arial"/>
                <w:sz w:val="11"/>
                <w:szCs w:val="11"/>
                <w:color w:val="auto"/>
              </w:rPr>
              <w:t>(a)</w:t>
            </w:r>
          </w:p>
        </w:tc>
        <w:tc>
          <w:tcPr>
            <w:tcW w:w="20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(39.4)</w:t>
            </w:r>
          </w:p>
        </w:tc>
        <w:tc>
          <w:tcPr>
            <w:tcW w:w="280" w:type="dxa"/>
            <w:vAlign w:val="bottom"/>
          </w:tcPr>
          <w:p>
            <w:pPr>
              <w:ind w:left="20"/>
              <w:spacing w:after="0"/>
              <w:rPr>
                <w:sz w:val="20"/>
                <w:szCs w:val="20"/>
                <w:color w:val="auto"/>
              </w:rPr>
            </w:pPr>
            <w:r>
              <w:rPr>
                <w:rFonts w:ascii="Arial" w:cs="Arial" w:eastAsia="Arial" w:hAnsi="Arial"/>
                <w:sz w:val="11"/>
                <w:szCs w:val="11"/>
                <w:color w:val="auto"/>
              </w:rPr>
              <w:t>(b)</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Valuation allowance for inventory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(c)</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Valuation allowance for deferred tax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193"/>
        </w:trPr>
        <w:tc>
          <w:tcPr>
            <w:tcW w:w="4400" w:type="dxa"/>
            <w:vAlign w:val="bottom"/>
          </w:tcPr>
          <w:p>
            <w:pPr>
              <w:ind w:left="200"/>
              <w:spacing w:after="0"/>
              <w:rPr>
                <w:sz w:val="20"/>
                <w:szCs w:val="20"/>
                <w:color w:val="auto"/>
              </w:rPr>
            </w:pPr>
            <w:r>
              <w:rPr>
                <w:rFonts w:ascii="Arial" w:cs="Arial" w:eastAsia="Arial" w:hAnsi="Arial"/>
                <w:sz w:val="16"/>
                <w:szCs w:val="16"/>
                <w:color w:val="auto"/>
              </w:rPr>
              <w:t>Year ended December 31, 2019</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4400" w:type="dxa"/>
            <w:vAlign w:val="bottom"/>
          </w:tcPr>
          <w:p>
            <w:pPr>
              <w:ind w:left="540"/>
              <w:spacing w:after="0"/>
              <w:rPr>
                <w:sz w:val="20"/>
                <w:szCs w:val="20"/>
                <w:color w:val="auto"/>
              </w:rPr>
            </w:pPr>
            <w:r>
              <w:rPr>
                <w:rFonts w:ascii="Arial" w:cs="Arial" w:eastAsia="Arial" w:hAnsi="Arial"/>
                <w:sz w:val="16"/>
                <w:szCs w:val="16"/>
                <w:color w:val="auto"/>
              </w:rPr>
              <w:t>Allowance for unbilled receivables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49.7</w:t>
            </w:r>
          </w:p>
        </w:tc>
        <w:tc>
          <w:tcPr>
            <w:tcW w:w="280" w:type="dxa"/>
            <w:vAlign w:val="bottom"/>
          </w:tcPr>
          <w:p>
            <w:pPr>
              <w:spacing w:after="0"/>
              <w:rPr>
                <w:sz w:val="20"/>
                <w:szCs w:val="20"/>
                <w:color w:val="auto"/>
              </w:rPr>
            </w:pPr>
            <w:r>
              <w:rPr>
                <w:rFonts w:ascii="Arial" w:cs="Arial" w:eastAsia="Arial" w:hAnsi="Arial"/>
                <w:sz w:val="11"/>
                <w:szCs w:val="11"/>
                <w:color w:val="auto"/>
              </w:rPr>
              <w:t>(a)</w:t>
            </w:r>
          </w:p>
        </w:tc>
        <w:tc>
          <w:tcPr>
            <w:tcW w:w="20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(40.4)</w:t>
            </w:r>
          </w:p>
        </w:tc>
        <w:tc>
          <w:tcPr>
            <w:tcW w:w="280" w:type="dxa"/>
            <w:vAlign w:val="bottom"/>
          </w:tcPr>
          <w:p>
            <w:pPr>
              <w:ind w:left="20"/>
              <w:spacing w:after="0"/>
              <w:rPr>
                <w:sz w:val="20"/>
                <w:szCs w:val="20"/>
                <w:color w:val="auto"/>
              </w:rPr>
            </w:pPr>
            <w:r>
              <w:rPr>
                <w:rFonts w:ascii="Arial" w:cs="Arial" w:eastAsia="Arial" w:hAnsi="Arial"/>
                <w:sz w:val="11"/>
                <w:szCs w:val="11"/>
                <w:color w:val="auto"/>
              </w:rPr>
              <w:t>(b)</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Valuation allowance for inventory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(c)</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Valuation allowance for deferred tax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93"/>
        </w:trPr>
        <w:tc>
          <w:tcPr>
            <w:tcW w:w="4400" w:type="dxa"/>
            <w:vAlign w:val="bottom"/>
          </w:tcPr>
          <w:p>
            <w:pPr>
              <w:ind w:left="200"/>
              <w:spacing w:after="0"/>
              <w:rPr>
                <w:sz w:val="20"/>
                <w:szCs w:val="20"/>
                <w:color w:val="auto"/>
              </w:rPr>
            </w:pPr>
            <w:r>
              <w:rPr>
                <w:rFonts w:ascii="Arial" w:cs="Arial" w:eastAsia="Arial" w:hAnsi="Arial"/>
                <w:sz w:val="16"/>
                <w:szCs w:val="16"/>
                <w:color w:val="auto"/>
              </w:rPr>
              <w:t>Year ended December 31, 2018</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3"/>
        </w:trPr>
        <w:tc>
          <w:tcPr>
            <w:tcW w:w="4400" w:type="dxa"/>
            <w:vAlign w:val="bottom"/>
          </w:tcPr>
          <w:p>
            <w:pPr>
              <w:ind w:left="540"/>
              <w:spacing w:after="0"/>
              <w:rPr>
                <w:sz w:val="20"/>
                <w:szCs w:val="20"/>
                <w:color w:val="auto"/>
              </w:rPr>
            </w:pPr>
            <w:r>
              <w:rPr>
                <w:rFonts w:ascii="Arial" w:cs="Arial" w:eastAsia="Arial" w:hAnsi="Arial"/>
                <w:sz w:val="16"/>
                <w:szCs w:val="16"/>
                <w:color w:val="auto"/>
              </w:rPr>
              <w:t>Allowance for unbilled receivables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33.0</w:t>
            </w:r>
          </w:p>
        </w:tc>
        <w:tc>
          <w:tcPr>
            <w:tcW w:w="280" w:type="dxa"/>
            <w:vAlign w:val="bottom"/>
          </w:tcPr>
          <w:p>
            <w:pPr>
              <w:spacing w:after="0"/>
              <w:rPr>
                <w:sz w:val="20"/>
                <w:szCs w:val="20"/>
                <w:color w:val="auto"/>
              </w:rPr>
            </w:pPr>
            <w:r>
              <w:rPr>
                <w:rFonts w:ascii="Arial" w:cs="Arial" w:eastAsia="Arial" w:hAnsi="Arial"/>
                <w:sz w:val="11"/>
                <w:szCs w:val="11"/>
                <w:color w:val="auto"/>
              </w:rPr>
              <w:t>(a)</w:t>
            </w:r>
          </w:p>
        </w:tc>
        <w:tc>
          <w:tcPr>
            <w:tcW w:w="20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(38.2)</w:t>
            </w:r>
          </w:p>
        </w:tc>
        <w:tc>
          <w:tcPr>
            <w:tcW w:w="280" w:type="dxa"/>
            <w:vAlign w:val="bottom"/>
          </w:tcPr>
          <w:p>
            <w:pPr>
              <w:ind w:left="20"/>
              <w:spacing w:after="0"/>
              <w:rPr>
                <w:sz w:val="20"/>
                <w:szCs w:val="20"/>
                <w:color w:val="auto"/>
              </w:rPr>
            </w:pPr>
            <w:r>
              <w:rPr>
                <w:rFonts w:ascii="Arial" w:cs="Arial" w:eastAsia="Arial" w:hAnsi="Arial"/>
                <w:sz w:val="11"/>
                <w:szCs w:val="11"/>
                <w:color w:val="auto"/>
              </w:rPr>
              <w:t>(b)</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Valuation allowance for inventory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(c)</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Valuation allowance for deferred tax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Provisions for receivables.</w:t>
      </w:r>
    </w:p>
    <w:p>
      <w:pPr>
        <w:spacing w:after="0" w:line="19" w:lineRule="exact"/>
        <w:rPr>
          <w:rFonts w:ascii="Arial" w:cs="Arial" w:eastAsia="Arial" w:hAnsi="Arial"/>
          <w:sz w:val="16"/>
          <w:szCs w:val="16"/>
          <w:color w:val="auto"/>
        </w:rPr>
      </w:pPr>
    </w:p>
    <w:p>
      <w:pPr>
        <w:ind w:left="360" w:hanging="352"/>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Write-offs of and reversals for receivables.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Provisions for obsolete inventory and other adjustments to net realizable value.</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Inventory write-offs.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Additions related to federal, foreign and state attributes.</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Deductions related to federal, foreign and state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89" w:name="page90"/>
    <w:bookmarkEnd w:id="89"/>
    <w:p>
      <w:pPr>
        <w:jc w:val="center"/>
        <w:ind w:right="320"/>
        <w:spacing w:after="0"/>
        <w:rPr>
          <w:sz w:val="20"/>
          <w:szCs w:val="20"/>
          <w:color w:val="auto"/>
        </w:rPr>
      </w:pPr>
      <w:r>
        <w:rPr>
          <w:rFonts w:ascii="Arial" w:cs="Arial" w:eastAsia="Arial" w:hAnsi="Arial"/>
          <w:sz w:val="16"/>
          <w:szCs w:val="16"/>
          <w:b w:val="1"/>
          <w:bCs w:val="1"/>
          <w:color w:val="auto"/>
        </w:rPr>
        <w:t>SIGNATURES</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Miami, State of Florida, on February 25, 2021.</w:t>
      </w:r>
    </w:p>
    <w:p>
      <w:pPr>
        <w:spacing w:after="0" w:line="28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MASTEC, INC.</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17780</wp:posOffset>
            </wp:positionV>
            <wp:extent cx="2854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José R. Mas</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6"/>
          <w:szCs w:val="16"/>
          <w:b w:val="1"/>
          <w:bCs w:val="1"/>
          <w:i w:val="1"/>
          <w:iCs w:val="1"/>
          <w:color w:val="auto"/>
        </w:rPr>
        <w:t>Chief Executive Officer</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17780</wp:posOffset>
            </wp:positionV>
            <wp:extent cx="2854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George L. Pita</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6"/>
          <w:szCs w:val="16"/>
          <w:b w:val="1"/>
          <w:bCs w:val="1"/>
          <w:i w:val="1"/>
          <w:iCs w:val="1"/>
          <w:color w:val="auto"/>
        </w:rPr>
        <w:t>Chief Financial Officer</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b w:val="1"/>
          <w:bCs w:val="1"/>
          <w:i w:val="1"/>
          <w:iCs w:val="1"/>
          <w:color w:val="auto"/>
        </w:rPr>
        <w:t>(Principal Financial and Accounting Officer)</w:t>
      </w:r>
    </w:p>
    <w:p>
      <w:pPr>
        <w:spacing w:after="0" w:line="289"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February 25,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/s/ JORGE MAS</w:t>
            </w:r>
          </w:p>
        </w:tc>
        <w:tc>
          <w:tcPr>
            <w:tcW w:w="4260" w:type="dxa"/>
            <w:vAlign w:val="bottom"/>
          </w:tcPr>
          <w:p>
            <w:pPr>
              <w:jc w:val="center"/>
              <w:ind w:left="1279"/>
              <w:spacing w:after="0"/>
              <w:rPr>
                <w:sz w:val="20"/>
                <w:szCs w:val="20"/>
                <w:color w:val="auto"/>
              </w:rPr>
            </w:pPr>
            <w:r>
              <w:rPr>
                <w:rFonts w:ascii="Arial" w:cs="Arial" w:eastAsia="Arial" w:hAnsi="Arial"/>
                <w:sz w:val="16"/>
                <w:szCs w:val="16"/>
                <w:color w:val="auto"/>
                <w:w w:val="93"/>
              </w:rPr>
              <w:t>Chairman of the Board of Directors</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0"/>
              </w:rPr>
              <w:t>Jorge Mas</w:t>
            </w:r>
          </w:p>
        </w:tc>
        <w:tc>
          <w:tcPr>
            <w:tcW w:w="4260" w:type="dxa"/>
            <w:vAlign w:val="bottom"/>
          </w:tcPr>
          <w:p>
            <w:pPr>
              <w:spacing w:after="0"/>
              <w:rPr>
                <w:sz w:val="17"/>
                <w:szCs w:val="17"/>
                <w:color w:val="auto"/>
              </w:rPr>
            </w:pPr>
          </w:p>
        </w:tc>
      </w:tr>
      <w:tr>
        <w:trPr>
          <w:trHeight w:val="43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89"/>
              </w:rPr>
              <w:t>/s/ JOSÉ R. MAS</w:t>
            </w:r>
          </w:p>
        </w:tc>
        <w:tc>
          <w:tcPr>
            <w:tcW w:w="4260" w:type="dxa"/>
            <w:vAlign w:val="bottom"/>
          </w:tcPr>
          <w:p>
            <w:pPr>
              <w:jc w:val="center"/>
              <w:ind w:left="1279"/>
              <w:spacing w:after="0"/>
              <w:rPr>
                <w:sz w:val="20"/>
                <w:szCs w:val="20"/>
                <w:color w:val="auto"/>
              </w:rPr>
            </w:pPr>
            <w:r>
              <w:rPr>
                <w:rFonts w:ascii="Arial" w:cs="Arial" w:eastAsia="Arial" w:hAnsi="Arial"/>
                <w:sz w:val="16"/>
                <w:szCs w:val="16"/>
                <w:color w:val="auto"/>
                <w:w w:val="95"/>
              </w:rPr>
              <w:t>Chief Executive Officer and Director</w:t>
            </w:r>
          </w:p>
        </w:tc>
      </w:tr>
      <w:tr>
        <w:trPr>
          <w:trHeight w:val="210"/>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0"/>
              </w:rPr>
              <w:t>José R. Mas</w:t>
            </w:r>
          </w:p>
        </w:tc>
        <w:tc>
          <w:tcPr>
            <w:tcW w:w="4260" w:type="dxa"/>
            <w:vAlign w:val="bottom"/>
          </w:tcPr>
          <w:p>
            <w:pPr>
              <w:jc w:val="center"/>
              <w:ind w:left="1279"/>
              <w:spacing w:after="0"/>
              <w:rPr>
                <w:sz w:val="20"/>
                <w:szCs w:val="20"/>
                <w:color w:val="auto"/>
              </w:rPr>
            </w:pPr>
            <w:r>
              <w:rPr>
                <w:rFonts w:ascii="Arial" w:cs="Arial" w:eastAsia="Arial" w:hAnsi="Arial"/>
                <w:sz w:val="16"/>
                <w:szCs w:val="16"/>
                <w:color w:val="auto"/>
                <w:w w:val="96"/>
              </w:rPr>
              <w:t>(Principal Executive Officer)</w:t>
            </w:r>
          </w:p>
        </w:tc>
      </w:tr>
      <w:tr>
        <w:trPr>
          <w:trHeight w:val="43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GEORGE L. PITA</w:t>
            </w:r>
          </w:p>
        </w:tc>
        <w:tc>
          <w:tcPr>
            <w:tcW w:w="4260" w:type="dxa"/>
            <w:vAlign w:val="bottom"/>
          </w:tcPr>
          <w:p>
            <w:pPr>
              <w:jc w:val="center"/>
              <w:ind w:left="1279"/>
              <w:spacing w:after="0"/>
              <w:rPr>
                <w:sz w:val="20"/>
                <w:szCs w:val="20"/>
                <w:color w:val="auto"/>
              </w:rPr>
            </w:pPr>
            <w:r>
              <w:rPr>
                <w:rFonts w:ascii="Arial" w:cs="Arial" w:eastAsia="Arial" w:hAnsi="Arial"/>
                <w:sz w:val="16"/>
                <w:szCs w:val="16"/>
                <w:color w:val="auto"/>
                <w:w w:val="95"/>
              </w:rPr>
              <w:t>Chief Financial Officer</w:t>
            </w:r>
          </w:p>
        </w:tc>
      </w:tr>
      <w:tr>
        <w:trPr>
          <w:trHeight w:val="210"/>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2"/>
              </w:rPr>
              <w:t>George L. Pita</w:t>
            </w:r>
          </w:p>
        </w:tc>
        <w:tc>
          <w:tcPr>
            <w:tcW w:w="4260" w:type="dxa"/>
            <w:vAlign w:val="bottom"/>
          </w:tcPr>
          <w:p>
            <w:pPr>
              <w:jc w:val="center"/>
              <w:ind w:left="1279"/>
              <w:spacing w:after="0"/>
              <w:rPr>
                <w:sz w:val="20"/>
                <w:szCs w:val="20"/>
                <w:color w:val="auto"/>
              </w:rPr>
            </w:pPr>
            <w:r>
              <w:rPr>
                <w:rFonts w:ascii="Arial" w:cs="Arial" w:eastAsia="Arial" w:hAnsi="Arial"/>
                <w:sz w:val="16"/>
                <w:szCs w:val="16"/>
                <w:color w:val="auto"/>
                <w:w w:val="94"/>
              </w:rPr>
              <w:t>(Principal Financial and Accounting Officer)</w:t>
            </w:r>
          </w:p>
        </w:tc>
      </w:tr>
      <w:tr>
        <w:trPr>
          <w:trHeight w:val="4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C. ROBERT CAMPBELL</w:t>
            </w:r>
          </w:p>
        </w:tc>
        <w:tc>
          <w:tcPr>
            <w:tcW w:w="4260" w:type="dxa"/>
            <w:vAlign w:val="bottom"/>
          </w:tcPr>
          <w:p>
            <w:pPr>
              <w:jc w:val="center"/>
              <w:ind w:left="127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4"/>
              </w:rPr>
              <w:t>C. Robert Campbell</w:t>
            </w:r>
          </w:p>
        </w:tc>
        <w:tc>
          <w:tcPr>
            <w:tcW w:w="4260" w:type="dxa"/>
            <w:vAlign w:val="bottom"/>
          </w:tcPr>
          <w:p>
            <w:pPr>
              <w:spacing w:after="0"/>
              <w:rPr>
                <w:sz w:val="17"/>
                <w:szCs w:val="17"/>
                <w:color w:val="auto"/>
              </w:rPr>
            </w:pPr>
          </w:p>
        </w:tc>
      </w:tr>
      <w:tr>
        <w:trPr>
          <w:trHeight w:val="47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89"/>
              </w:rPr>
              <w:t>/s/ ERNST N. CSISZAR</w:t>
            </w:r>
          </w:p>
        </w:tc>
        <w:tc>
          <w:tcPr>
            <w:tcW w:w="4260" w:type="dxa"/>
            <w:vAlign w:val="bottom"/>
          </w:tcPr>
          <w:p>
            <w:pPr>
              <w:jc w:val="center"/>
              <w:ind w:left="127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2"/>
              </w:rPr>
              <w:t>Ernst N. Csiszar</w:t>
            </w:r>
          </w:p>
        </w:tc>
        <w:tc>
          <w:tcPr>
            <w:tcW w:w="4260" w:type="dxa"/>
            <w:vAlign w:val="bottom"/>
          </w:tcPr>
          <w:p>
            <w:pPr>
              <w:spacing w:after="0"/>
              <w:rPr>
                <w:sz w:val="17"/>
                <w:szCs w:val="17"/>
                <w:color w:val="auto"/>
              </w:rPr>
            </w:pPr>
          </w:p>
        </w:tc>
      </w:tr>
      <w:tr>
        <w:trPr>
          <w:trHeight w:val="4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89"/>
              </w:rPr>
              <w:t>/s/ ROBERT J. DWYER</w:t>
            </w:r>
          </w:p>
        </w:tc>
        <w:tc>
          <w:tcPr>
            <w:tcW w:w="4260" w:type="dxa"/>
            <w:vAlign w:val="bottom"/>
          </w:tcPr>
          <w:p>
            <w:pPr>
              <w:jc w:val="center"/>
              <w:ind w:left="127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3"/>
              </w:rPr>
              <w:t>Robert J. Dwyer</w:t>
            </w:r>
          </w:p>
        </w:tc>
        <w:tc>
          <w:tcPr>
            <w:tcW w:w="4260" w:type="dxa"/>
            <w:vAlign w:val="bottom"/>
          </w:tcPr>
          <w:p>
            <w:pPr>
              <w:spacing w:after="0"/>
              <w:rPr>
                <w:sz w:val="17"/>
                <w:szCs w:val="17"/>
                <w:color w:val="auto"/>
              </w:rPr>
            </w:pPr>
          </w:p>
        </w:tc>
      </w:tr>
      <w:tr>
        <w:trPr>
          <w:trHeight w:val="4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 JULIA L. JOHNSON</w:t>
            </w:r>
          </w:p>
        </w:tc>
        <w:tc>
          <w:tcPr>
            <w:tcW w:w="4260" w:type="dxa"/>
            <w:vAlign w:val="bottom"/>
          </w:tcPr>
          <w:p>
            <w:pPr>
              <w:jc w:val="center"/>
              <w:ind w:left="127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1"/>
              </w:rPr>
              <w:t>Julia L. Johnson</w:t>
            </w:r>
          </w:p>
        </w:tc>
        <w:tc>
          <w:tcPr>
            <w:tcW w:w="4260" w:type="dxa"/>
            <w:vAlign w:val="bottom"/>
          </w:tcPr>
          <w:p>
            <w:pPr>
              <w:spacing w:after="0"/>
              <w:rPr>
                <w:sz w:val="17"/>
                <w:szCs w:val="17"/>
                <w:color w:val="auto"/>
              </w:rPr>
            </w:pPr>
          </w:p>
        </w:tc>
      </w:tr>
      <w:tr>
        <w:trPr>
          <w:trHeight w:val="4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/s/ JAVIER PALOMAREZ</w:t>
            </w:r>
          </w:p>
        </w:tc>
        <w:tc>
          <w:tcPr>
            <w:tcW w:w="4260" w:type="dxa"/>
            <w:vAlign w:val="bottom"/>
          </w:tcPr>
          <w:p>
            <w:pPr>
              <w:jc w:val="center"/>
              <w:ind w:left="127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1"/>
              </w:rPr>
              <w:t>Javier Palomarez</w:t>
            </w:r>
          </w:p>
        </w:tc>
        <w:tc>
          <w:tcPr>
            <w:tcW w:w="4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40"/>
          </w:cols>
          <w:pgMar w:left="320" w:top="89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10.3</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MASTEC, INC.</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DEFERRED COMPENSATION PLAN</w:t>
      </w:r>
    </w:p>
    <w:p>
      <w:pPr>
        <w:spacing w:after="0" w:line="221"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Amended and Restated Effective January 1, 2020</w:t>
      </w:r>
    </w:p>
    <w:p>
      <w:pPr>
        <w:sectPr>
          <w:pgSz w:w="11900" w:h="16838" w:orient="portrait"/>
          <w:cols w:equalWidth="0" w:num="1">
            <w:col w:w="10120"/>
          </w:cols>
          <w:pgMar w:left="1440" w:top="1422"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0"/>
        </w:trPr>
        <w:tc>
          <w:tcPr>
            <w:tcW w:w="8300" w:type="dxa"/>
            <w:vAlign w:val="bottom"/>
          </w:tcPr>
          <w:p>
            <w:pPr>
              <w:ind w:left="4740"/>
              <w:spacing w:after="0"/>
              <w:rPr>
                <w:sz w:val="20"/>
                <w:szCs w:val="20"/>
                <w:color w:val="auto"/>
              </w:rPr>
            </w:pPr>
            <w:r>
              <w:rPr>
                <w:rFonts w:ascii="Arial" w:cs="Arial" w:eastAsia="Arial" w:hAnsi="Arial"/>
                <w:sz w:val="16"/>
                <w:szCs w:val="16"/>
                <w:b w:val="1"/>
                <w:bCs w:val="1"/>
                <w:color w:val="auto"/>
              </w:rPr>
              <w:t>TABLE OF CONTENTS</w:t>
            </w:r>
          </w:p>
        </w:tc>
        <w:tc>
          <w:tcPr>
            <w:tcW w:w="2160" w:type="dxa"/>
            <w:vAlign w:val="bottom"/>
          </w:tcPr>
          <w:p>
            <w:pPr>
              <w:spacing w:after="0"/>
              <w:rPr>
                <w:sz w:val="18"/>
                <w:szCs w:val="18"/>
                <w:color w:val="auto"/>
              </w:rPr>
            </w:pPr>
          </w:p>
        </w:tc>
      </w:tr>
      <w:tr>
        <w:trPr>
          <w:trHeight w:val="702"/>
        </w:trPr>
        <w:tc>
          <w:tcPr>
            <w:tcW w:w="8300" w:type="dxa"/>
            <w:vAlign w:val="bottom"/>
          </w:tcPr>
          <w:p>
            <w:pPr>
              <w:spacing w:after="0"/>
              <w:rPr>
                <w:sz w:val="24"/>
                <w:szCs w:val="24"/>
                <w:color w:val="auto"/>
              </w:rPr>
            </w:pPr>
          </w:p>
        </w:tc>
        <w:tc>
          <w:tcPr>
            <w:tcW w:w="2160" w:type="dxa"/>
            <w:vAlign w:val="bottom"/>
          </w:tcPr>
          <w:p>
            <w:pPr>
              <w:ind w:left="1840"/>
              <w:spacing w:after="0"/>
              <w:rPr>
                <w:sz w:val="20"/>
                <w:szCs w:val="20"/>
                <w:color w:val="auto"/>
              </w:rPr>
            </w:pPr>
            <w:r>
              <w:rPr>
                <w:rFonts w:ascii="Arial" w:cs="Arial" w:eastAsia="Arial" w:hAnsi="Arial"/>
                <w:sz w:val="16"/>
                <w:szCs w:val="16"/>
                <w:color w:val="auto"/>
                <w:w w:val="80"/>
              </w:rPr>
              <w:t>Page</w:t>
            </w:r>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1. Definitions</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1</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2. Selection, Enrollment, Eligibility</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6</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3. Deferral Elections</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6</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4. Short-Term Payout; In-Service Distributions; Unforeseeable Emergencies</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12</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5. Benefits</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15</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6 .Beneficiary Designation</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17</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7. Leave of Absence</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18</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8. Termination, Amendment or Modification</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18</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9. Administration</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19</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10. Other Benefits and Agreements</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20</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11. Claims Procedures</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20</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12. Trust</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20</w:t>
              </w:r>
            </w:hyperlink>
          </w:p>
        </w:tc>
      </w:tr>
      <w:tr>
        <w:trPr>
          <w:trHeight w:val="243"/>
        </w:trPr>
        <w:tc>
          <w:tcPr>
            <w:tcW w:w="8300" w:type="dxa"/>
            <w:vAlign w:val="bottom"/>
          </w:tcPr>
          <w:p>
            <w:pPr>
              <w:spacing w:after="0"/>
              <w:rPr>
                <w:sz w:val="20"/>
                <w:szCs w:val="20"/>
                <w:color w:val="auto"/>
              </w:rPr>
            </w:pPr>
            <w:r>
              <w:rPr>
                <w:rFonts w:ascii="Arial" w:cs="Arial" w:eastAsia="Arial" w:hAnsi="Arial"/>
                <w:sz w:val="16"/>
                <w:szCs w:val="16"/>
                <w:color w:val="auto"/>
              </w:rPr>
              <w:t>Article 13. Miscellaneous</w:t>
            </w:r>
          </w:p>
        </w:tc>
        <w:tc>
          <w:tcPr>
            <w:tcW w:w="2160" w:type="dxa"/>
            <w:vAlign w:val="bottom"/>
          </w:tcPr>
          <w:p>
            <w:pPr>
              <w:ind w:left="1840"/>
              <w:spacing w:after="0"/>
              <w:rPr>
                <w:rFonts w:ascii="Arial" w:cs="Arial" w:eastAsia="Arial" w:hAnsi="Arial"/>
                <w:sz w:val="16"/>
                <w:szCs w:val="16"/>
                <w:color w:val="auto"/>
              </w:rPr>
            </w:pPr>
            <w:hyperlink w:anchor="page92">
              <w:r>
                <w:rPr>
                  <w:rFonts w:ascii="Arial" w:cs="Arial" w:eastAsia="Arial" w:hAnsi="Arial"/>
                  <w:sz w:val="16"/>
                  <w:szCs w:val="16"/>
                  <w:color w:val="auto"/>
                </w:rPr>
                <w:t>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460"/>
          </w:cols>
          <w:pgMar w:left="340" w:top="1422" w:right="109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MASTEC, INC. DEFERRED COMPENSATION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January 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 of this Deferred Compensation Plan, established effective as of July 1, 2008, amended and restated January 1, 2010, January 1, 2012, January 1, 2016 and January 1, 2020, is to provide specified benefits to a select group of management and highly compensated Employees who contribute materially to the continued growth, development, and future business success of MasTec, Inc. The Plan shall be unfunded for tax purposes and for purposes of Title I of ERISA.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provisions of the Plan in effect from the original effective date to December 31, 2019 have been incorporated into this amended and restated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the Plan, unless otherwise clearly apparent from the context, the following phrases or terms shall have the following indicated meanings:</w:t>
      </w:r>
    </w:p>
    <w:p>
      <w:pPr>
        <w:spacing w:after="0" w:line="170" w:lineRule="exact"/>
        <w:rPr>
          <w:sz w:val="20"/>
          <w:szCs w:val="20"/>
          <w:color w:val="auto"/>
        </w:rPr>
      </w:pPr>
    </w:p>
    <w:p>
      <w:pPr>
        <w:jc w:val="both"/>
        <w:ind w:left="480" w:hanging="647"/>
        <w:spacing w:after="0" w:line="259" w:lineRule="auto"/>
        <w:tabs>
          <w:tab w:leader="none" w:pos="460" w:val="left"/>
        </w:tabs>
        <w:rPr>
          <w:sz w:val="20"/>
          <w:szCs w:val="20"/>
          <w:color w:val="auto"/>
        </w:rPr>
      </w:pPr>
      <w:r>
        <w:rPr>
          <w:rFonts w:ascii="Arial" w:cs="Arial" w:eastAsia="Arial" w:hAnsi="Arial"/>
          <w:sz w:val="18"/>
          <w:szCs w:val="18"/>
          <w:color w:val="auto"/>
        </w:rPr>
        <w:t>1.1</w:t>
        <w:tab/>
        <w:t>“Account Balance” shall mean, with respect to a Participant, a credit on the records of the Company equal to the sum of (i) the Deferral Account balance and (ii) the Company Contribution Account balance. The Account Balance, and each other specified account balance, shall be a bookkeeping entry only and shall be utilized solely as a device for the measurement and determination of the amounts to be paid to a Participant, or his or her Beneficiary, pursuant to the Plan.</w:t>
      </w:r>
    </w:p>
    <w:p>
      <w:pPr>
        <w:spacing w:after="0" w:line="187" w:lineRule="exact"/>
        <w:rPr>
          <w:sz w:val="20"/>
          <w:szCs w:val="20"/>
          <w:color w:val="auto"/>
        </w:rPr>
      </w:pPr>
    </w:p>
    <w:p>
      <w:pPr>
        <w:jc w:val="both"/>
        <w:ind w:left="440" w:hanging="647"/>
        <w:spacing w:after="0" w:line="272" w:lineRule="auto"/>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“Affiliated Group” means (i) the Company and (ii) all entities with which the Company would be considered a single employer under Code Sections 414(b) and 414(c), provided that in applying Code Sections 1563(a)(1), (2) and (3) for purposes of determining whether a controlled group of corporations exists under Code Section 414(b), the language “at least 50 percent” shall be used instead of “at least 80 percent” each place it appears in Code Sections 1563(a)(1), (2) and (3), and in applying Treasury Regulation Section 1.414(c)-2 for purposes of determining whether trades or businesses (whether or not incorporated) are under common control for purposes of Code Section 414(c), the language “at least 50 percent” shall be used instead of “at least 80 percent” each place it appears in Treasury Regulation Section 1.414(c)-2. The term “Affiliated Group” shall be interpreted in a manner consistent with the definition of “service recipient” contained in Code Section 409A.</w:t>
      </w:r>
    </w:p>
    <w:p>
      <w:pPr>
        <w:spacing w:after="0" w:line="177" w:lineRule="exact"/>
        <w:rPr>
          <w:sz w:val="20"/>
          <w:szCs w:val="20"/>
          <w:color w:val="auto"/>
        </w:rPr>
      </w:pPr>
    </w:p>
    <w:p>
      <w:pPr>
        <w:jc w:val="both"/>
        <w:ind w:left="480" w:hanging="647"/>
        <w:spacing w:after="0" w:line="254" w:lineRule="auto"/>
        <w:tabs>
          <w:tab w:leader="none" w:pos="460" w:val="left"/>
        </w:tabs>
        <w:rPr>
          <w:sz w:val="20"/>
          <w:szCs w:val="20"/>
          <w:color w:val="auto"/>
        </w:rPr>
      </w:pPr>
      <w:r>
        <w:rPr>
          <w:rFonts w:ascii="Arial" w:cs="Arial" w:eastAsia="Arial" w:hAnsi="Arial"/>
          <w:sz w:val="18"/>
          <w:szCs w:val="18"/>
          <w:color w:val="auto"/>
        </w:rPr>
        <w:t>1.3</w:t>
        <w:tab/>
        <w:t>“Annual Installment Method” shall be an annual installment payment over the number of years selected by the Participant in accordance with the Plan, calculated as follows: (i) for the first annual installment, the vested Account Balance of the Participant shall be calculated as of the date of payment in accordance with Articles IV and V, and (ii) for remaining annual installments, the vested Account Balance of the Participant shall be calculated on every applicable anniversary of the first annual installment. Each annual installment shall be calculated by multiplying this balance by a fraction, the numerator of which is one and the denominator of which is the remaining number of annual payments due the Participant. As an example, if the Participant elects a ten (10) year Annual Installment Method, the first payment shall be 1/10 of the vested Account Balance, calculated as described in this definition. The following year, the payment shall be 1/9 of the vested Account Balance, calculated as described in this definition.</w:t>
      </w:r>
    </w:p>
    <w:p>
      <w:pPr>
        <w:spacing w:after="0" w:line="19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purposes of Section 409A and regulations thereunder an annual installment payment shall be considered as “a single election” as defined in IRS regulation 1.409A-2(b)(2)(iii).</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Annual Installment Method was added to the plan January 1, 2010 and applied to distribution options selected for Deferral Amounts beginning with the 2010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012" w:right="339" w:bottom="1440" w:gutter="0" w:footer="0" w:header="0"/>
        </w:sectPr>
      </w:pPr>
    </w:p>
    <w:bookmarkStart w:id="93" w:name="page94"/>
    <w:bookmarkEnd w:id="93"/>
    <w:p>
      <w:pPr>
        <w:jc w:val="both"/>
        <w:ind w:left="440" w:hanging="647"/>
        <w:spacing w:after="0" w:line="255" w:lineRule="auto"/>
        <w:tabs>
          <w:tab w:leader="none" w:pos="420" w:val="left"/>
        </w:tabs>
        <w:rPr>
          <w:sz w:val="20"/>
          <w:szCs w:val="20"/>
          <w:color w:val="auto"/>
        </w:rPr>
      </w:pPr>
      <w:r>
        <w:rPr>
          <w:rFonts w:ascii="Arial" w:cs="Arial" w:eastAsia="Arial" w:hAnsi="Arial"/>
          <w:sz w:val="18"/>
          <w:szCs w:val="18"/>
          <w:color w:val="auto"/>
        </w:rPr>
        <w:t>1.4</w:t>
        <w:tab/>
        <w:t>“Base Salary” shall mean the annual base rate of cash compensation and overtime payable by the Affiliated Group during a calendar year, excluding bonuses, commissions, fringe benefits, stock options, relocation expenses, incentive payments, non-monetary awards, fees, automobile and other allowances, and prior to reduction for compensation voluntarily deferred or contributed by the Participant pursuant to all qualified or non-qualified plans of the Affiliated Group under Code Section 125, 402(e)(3), 402(h), or 403(b). Base Salary payable after the last day of a calendar year solely for services performed during the final payroll period described in Code Section 3401(b) containing December 31 of such year shall be treated as earned during the subsequent calendar year.</w:t>
      </w:r>
    </w:p>
    <w:p>
      <w:pPr>
        <w:spacing w:after="0" w:line="192" w:lineRule="exact"/>
        <w:rPr>
          <w:sz w:val="20"/>
          <w:szCs w:val="20"/>
          <w:color w:val="auto"/>
        </w:rPr>
      </w:pPr>
    </w:p>
    <w:p>
      <w:pPr>
        <w:jc w:val="both"/>
        <w:ind w:left="440" w:right="20" w:hanging="647"/>
        <w:spacing w:after="0" w:line="277" w:lineRule="auto"/>
        <w:tabs>
          <w:tab w:leader="none" w:pos="420" w:val="left"/>
        </w:tabs>
        <w:rPr>
          <w:sz w:val="20"/>
          <w:szCs w:val="20"/>
          <w:color w:val="auto"/>
        </w:rPr>
      </w:pPr>
      <w:r>
        <w:rPr>
          <w:rFonts w:ascii="Arial" w:cs="Arial" w:eastAsia="Arial" w:hAnsi="Arial"/>
          <w:sz w:val="18"/>
          <w:szCs w:val="18"/>
          <w:color w:val="auto"/>
        </w:rPr>
        <w:t>1.5</w:t>
        <w:tab/>
        <w:t>“Beneficiary” shall mean the person or persons, designated in accordance with Article 6, that are entitled to receive benefits under the Plan upon the death of a Participant.</w:t>
      </w:r>
    </w:p>
    <w:p>
      <w:pPr>
        <w:spacing w:after="0" w:line="170" w:lineRule="exact"/>
        <w:rPr>
          <w:sz w:val="20"/>
          <w:szCs w:val="20"/>
          <w:color w:val="auto"/>
        </w:rPr>
      </w:pPr>
    </w:p>
    <w:p>
      <w:pPr>
        <w:jc w:val="both"/>
        <w:ind w:left="420" w:hanging="647"/>
        <w:spacing w:after="0" w:line="277" w:lineRule="auto"/>
        <w:tabs>
          <w:tab w:leader="none" w:pos="400" w:val="left"/>
        </w:tabs>
        <w:rPr>
          <w:sz w:val="20"/>
          <w:szCs w:val="20"/>
          <w:color w:val="auto"/>
        </w:rPr>
      </w:pPr>
      <w:r>
        <w:rPr>
          <w:rFonts w:ascii="Arial" w:cs="Arial" w:eastAsia="Arial" w:hAnsi="Arial"/>
          <w:sz w:val="18"/>
          <w:szCs w:val="18"/>
          <w:color w:val="auto"/>
        </w:rPr>
        <w:t>1.6</w:t>
        <w:tab/>
        <w:t>“Beneficiary Designation Form” shall mean the form established from time to time by the Board that a Participant completes, signs and returns to the Board to designate one or more Beneficiaries.</w:t>
      </w:r>
    </w:p>
    <w:p>
      <w:pPr>
        <w:spacing w:after="0" w:line="1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“Board” shall mean the board of directors of the Company or a committee appointed by the Board to administer the Plan.</w:t>
      </w:r>
    </w:p>
    <w:p>
      <w:pPr>
        <w:spacing w:after="0" w:line="225" w:lineRule="exact"/>
        <w:rPr>
          <w:sz w:val="20"/>
          <w:szCs w:val="20"/>
          <w:color w:val="auto"/>
        </w:rPr>
      </w:pPr>
    </w:p>
    <w:p>
      <w:pPr>
        <w:jc w:val="both"/>
        <w:ind w:left="440" w:hanging="647"/>
        <w:spacing w:after="0" w:line="259" w:lineRule="auto"/>
        <w:tabs>
          <w:tab w:leader="none" w:pos="420" w:val="left"/>
        </w:tabs>
        <w:rPr>
          <w:sz w:val="20"/>
          <w:szCs w:val="20"/>
          <w:color w:val="auto"/>
        </w:rPr>
      </w:pPr>
      <w:r>
        <w:rPr>
          <w:rFonts w:ascii="Arial" w:cs="Arial" w:eastAsia="Arial" w:hAnsi="Arial"/>
          <w:sz w:val="18"/>
          <w:szCs w:val="18"/>
          <w:color w:val="auto"/>
        </w:rPr>
        <w:t>1.8</w:t>
        <w:tab/>
        <w:t>“Bonus” shall mean any compensation relating to services performed during any calendar year(s), whether or not paid in a calendar year or included on the Form W-2 for the calendar year, payable to a Participant as a Bonus to an Employee under the Company’s written bonus or cash compensation incentive plans, excluding stock options and restricted stock, and which qualifies as “performance-based compensation” under IRS regulation 1.409A-1(e)(1).</w:t>
      </w:r>
    </w:p>
    <w:p>
      <w:pPr>
        <w:spacing w:after="0" w:line="187"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“Performance Based Bonus” shall mean any Bonus that is payable to a participant.</w:t>
      </w:r>
    </w:p>
    <w:p>
      <w:pPr>
        <w:spacing w:after="0" w:line="225" w:lineRule="exact"/>
        <w:rPr>
          <w:sz w:val="20"/>
          <w:szCs w:val="20"/>
          <w:color w:val="auto"/>
        </w:rPr>
      </w:pPr>
    </w:p>
    <w:p>
      <w:pPr>
        <w:jc w:val="both"/>
        <w:ind w:left="520" w:hanging="647"/>
        <w:spacing w:after="0" w:line="259" w:lineRule="auto"/>
        <w:tabs>
          <w:tab w:leader="none" w:pos="500" w:val="left"/>
        </w:tabs>
        <w:rPr>
          <w:sz w:val="20"/>
          <w:szCs w:val="20"/>
          <w:color w:val="auto"/>
        </w:rPr>
      </w:pPr>
      <w:r>
        <w:rPr>
          <w:rFonts w:ascii="Arial" w:cs="Arial" w:eastAsia="Arial" w:hAnsi="Arial"/>
          <w:sz w:val="18"/>
          <w:szCs w:val="18"/>
          <w:color w:val="auto"/>
        </w:rPr>
        <w:t>1.9</w:t>
        <w:tab/>
        <w:t>“Class Year” shall mean the designation of the Account Balance by year in which the Deferral Amounts are received by the Plan. Class Year segregation of Accounts was added to the Plan January 1, 2010 and applied to Deferral Amounts made for the 2010 and 2011 Plan Years and Class Year segregation of the Retirement Account was reinstated and applies to Deferral Amounts allocated to the Retirement Account for Plan Years beginning after December 31, 2014.</w:t>
      </w:r>
    </w:p>
    <w:p>
      <w:pPr>
        <w:spacing w:after="0" w:line="187" w:lineRule="exact"/>
        <w:rPr>
          <w:sz w:val="20"/>
          <w:szCs w:val="20"/>
          <w:color w:val="auto"/>
        </w:rPr>
      </w:pPr>
    </w:p>
    <w:p>
      <w:pPr>
        <w:jc w:val="both"/>
        <w:ind w:left="520" w:hanging="647"/>
        <w:spacing w:after="0" w:line="277" w:lineRule="auto"/>
        <w:tabs>
          <w:tab w:leader="none" w:pos="500" w:val="left"/>
        </w:tabs>
        <w:rPr>
          <w:sz w:val="20"/>
          <w:szCs w:val="20"/>
          <w:color w:val="auto"/>
        </w:rPr>
      </w:pPr>
      <w:r>
        <w:rPr>
          <w:rFonts w:ascii="Arial" w:cs="Arial" w:eastAsia="Arial" w:hAnsi="Arial"/>
          <w:sz w:val="18"/>
          <w:szCs w:val="18"/>
          <w:color w:val="auto"/>
        </w:rPr>
        <w:t>1.10</w:t>
        <w:tab/>
        <w:t>“Change in Control” shall mean the occurrence of a “change in the ownership,” a “change in the effective control,” or a “change in the ownership of a substantial portion of the assets” of the Company within the meaning of Code Section 409A.</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“Code” shall mean the Internal Revenue Code of 1986, as it may be amended from time to time.</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“Company” shall mean MasTec, Inc., a Florida corporation, and any successor to all or substantially all of the Company’s assets or business.</w:t>
      </w:r>
    </w:p>
    <w:p>
      <w:pPr>
        <w:spacing w:after="0" w:line="225" w:lineRule="exact"/>
        <w:rPr>
          <w:sz w:val="20"/>
          <w:szCs w:val="20"/>
          <w:color w:val="auto"/>
        </w:rPr>
      </w:pPr>
    </w:p>
    <w:p>
      <w:pPr>
        <w:jc w:val="both"/>
        <w:ind w:left="520" w:hanging="647"/>
        <w:spacing w:after="0" w:line="311" w:lineRule="auto"/>
        <w:tabs>
          <w:tab w:leader="none" w:pos="5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“Company Contribution Account” shall mean (i) the sum of the Participant’s Annual Company Contribution Amounts, plus (ii) amounts credited in accordance with all the applicable crediting provisions of the Plan that relate to the Participant’s Company Contribution Account, less (iii) all distributions made to the Participant or his or her Beneficiary pursuant to the Plan that relate to the Participant’s Company Contribution Account.</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“Company Contribution Amount” shall mean, for any one Plan Year, the amount determined in accordance with Section 3.3.</w:t>
      </w:r>
    </w:p>
    <w:p>
      <w:pPr>
        <w:spacing w:after="0" w:line="225" w:lineRule="exact"/>
        <w:rPr>
          <w:sz w:val="20"/>
          <w:szCs w:val="20"/>
          <w:color w:val="auto"/>
        </w:rPr>
      </w:pPr>
    </w:p>
    <w:p>
      <w:pPr>
        <w:jc w:val="both"/>
        <w:ind w:left="500" w:hanging="647"/>
        <w:spacing w:after="0" w:line="263" w:lineRule="auto"/>
        <w:tabs>
          <w:tab w:leader="none" w:pos="480" w:val="left"/>
        </w:tabs>
        <w:rPr>
          <w:sz w:val="20"/>
          <w:szCs w:val="20"/>
          <w:color w:val="auto"/>
        </w:rPr>
      </w:pPr>
      <w:r>
        <w:rPr>
          <w:rFonts w:ascii="Arial" w:cs="Arial" w:eastAsia="Arial" w:hAnsi="Arial"/>
          <w:sz w:val="18"/>
          <w:szCs w:val="18"/>
          <w:color w:val="auto"/>
        </w:rPr>
        <w:t>1.15</w:t>
        <w:tab/>
        <w:t>“Deferral Account” shall mean (i) the sum of all of a Participant’s Deferral Amounts, plus (ii) amounts credited in accordance with all the applicable crediting provisions of the Plan that relate to the Participant’s Deferral Account, less (iii) all distributions made to the Participant or his or her Beneficiary pursuant to the Plan that relate to his or her Deferral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016" w:right="339" w:bottom="1440" w:gutter="0" w:footer="0" w:header="0"/>
        </w:sectPr>
      </w:pPr>
    </w:p>
    <w:bookmarkStart w:id="94" w:name="page95"/>
    <w:bookmarkEnd w:id="94"/>
    <w:p>
      <w:pPr>
        <w:jc w:val="both"/>
        <w:ind w:left="600" w:hanging="647"/>
        <w:spacing w:after="0" w:line="286" w:lineRule="auto"/>
        <w:tabs>
          <w:tab w:leader="none" w:pos="5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“Deferral Amount” shall mean that portion of a Participant’s Base Salary and Bonus that a Participant elects to have, and that is deferred in accordance with Article 3, for any one Plan Year. In the event of a Participant’s Retirement, Disability, death or a Termination of Employment prior to the end of a Plan Year, such year’s Deferral Amount shall be the actual amount withheld prior to such event.</w:t>
      </w:r>
    </w:p>
    <w:p>
      <w:pPr>
        <w:spacing w:after="0" w:line="165" w:lineRule="exact"/>
        <w:rPr>
          <w:sz w:val="20"/>
          <w:szCs w:val="20"/>
          <w:color w:val="auto"/>
        </w:rPr>
      </w:pPr>
    </w:p>
    <w:p>
      <w:pPr>
        <w:jc w:val="both"/>
        <w:ind w:left="540" w:hanging="647"/>
        <w:spacing w:after="0" w:line="277" w:lineRule="auto"/>
        <w:tabs>
          <w:tab w:leader="none" w:pos="520" w:val="left"/>
        </w:tabs>
        <w:rPr>
          <w:sz w:val="20"/>
          <w:szCs w:val="20"/>
          <w:color w:val="auto"/>
        </w:rPr>
      </w:pPr>
      <w:r>
        <w:rPr>
          <w:rFonts w:ascii="Arial" w:cs="Arial" w:eastAsia="Arial" w:hAnsi="Arial"/>
          <w:sz w:val="18"/>
          <w:szCs w:val="18"/>
          <w:color w:val="auto"/>
        </w:rPr>
        <w:t>1.17</w:t>
        <w:tab/>
        <w:t>“Deferral Election” shall mean a Participant’s election on an Election Form to defer a portion of his Base Salary or Bonus, or both, in accordance with the provisions of Article 3.</w:t>
      </w:r>
    </w:p>
    <w:p>
      <w:pPr>
        <w:spacing w:after="0" w:line="170" w:lineRule="exact"/>
        <w:rPr>
          <w:sz w:val="20"/>
          <w:szCs w:val="20"/>
          <w:color w:val="auto"/>
        </w:rPr>
      </w:pPr>
    </w:p>
    <w:p>
      <w:pPr>
        <w:jc w:val="both"/>
        <w:ind w:left="560" w:hanging="647"/>
        <w:spacing w:after="0" w:line="255" w:lineRule="auto"/>
        <w:tabs>
          <w:tab w:leader="none" w:pos="540" w:val="left"/>
        </w:tabs>
        <w:rPr>
          <w:sz w:val="20"/>
          <w:szCs w:val="20"/>
          <w:color w:val="auto"/>
        </w:rPr>
      </w:pPr>
      <w:r>
        <w:rPr>
          <w:rFonts w:ascii="Arial" w:cs="Arial" w:eastAsia="Arial" w:hAnsi="Arial"/>
          <w:sz w:val="18"/>
          <w:szCs w:val="18"/>
          <w:color w:val="auto"/>
        </w:rPr>
        <w:t>1.18</w:t>
        <w:tab/>
        <w:t>“Disability” shall mean the occurrence of circumstances under which a Participant meets one of the following requirements (a) the Participant is unable to engage in any substantial gainful activity by reason of any medically determinable physical or mental impairment which can be expected to result in death or can be expected to last for a continuous period of not less than 12 months, or (b) the Participant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9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“Disability Benefit” shall mean the benefit set forth in Section 5.5.</w:t>
      </w:r>
    </w:p>
    <w:p>
      <w:pPr>
        <w:spacing w:after="0" w:line="225" w:lineRule="exact"/>
        <w:rPr>
          <w:sz w:val="20"/>
          <w:szCs w:val="20"/>
          <w:color w:val="auto"/>
        </w:rPr>
      </w:pPr>
    </w:p>
    <w:p>
      <w:pPr>
        <w:jc w:val="both"/>
        <w:ind w:left="500" w:hanging="647"/>
        <w:spacing w:after="0" w:line="277" w:lineRule="auto"/>
        <w:tabs>
          <w:tab w:leader="none" w:pos="480" w:val="left"/>
        </w:tabs>
        <w:rPr>
          <w:sz w:val="20"/>
          <w:szCs w:val="20"/>
          <w:color w:val="auto"/>
        </w:rPr>
      </w:pPr>
      <w:r>
        <w:rPr>
          <w:rFonts w:ascii="Arial" w:cs="Arial" w:eastAsia="Arial" w:hAnsi="Arial"/>
          <w:sz w:val="18"/>
          <w:szCs w:val="18"/>
          <w:color w:val="auto"/>
        </w:rPr>
        <w:t>1.20</w:t>
        <w:tab/>
        <w:t>“Election Form” shall mean the form established from time to time by the Board that a Participant completes, signs and returns to the Board to make a Deferral Election under the Plan.</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“Employee” shall mean a person who is an employee of the Company or any other member of the Affiliated Group.</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“ERISA” shall mean the Employee Retirement Income Security Act of 1974, as it may be amended from time to time.</w:t>
      </w:r>
    </w:p>
    <w:p>
      <w:pPr>
        <w:spacing w:after="0" w:line="225" w:lineRule="exact"/>
        <w:rPr>
          <w:sz w:val="20"/>
          <w:szCs w:val="20"/>
          <w:color w:val="auto"/>
        </w:rPr>
      </w:pPr>
    </w:p>
    <w:p>
      <w:pPr>
        <w:jc w:val="both"/>
        <w:ind w:left="520" w:hanging="647"/>
        <w:spacing w:after="0" w:line="301" w:lineRule="auto"/>
        <w:tabs>
          <w:tab w:leader="none" w:pos="5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“In-Service Account” shall mean (i) the sum of that portion of a Participant’s Deferral Amount that a Participant elects to have distributed while in service of the Company in accordance with Article 4, plus (ii) amounts credited in accordance with all the applicable crediting provisions of the Plan, less (iii) all distributions made to the Participant or his or her Beneficiary pursuant to the Plan that relate to his or her In-Service Account. In-Service Accounts were added to the plan January 1, 2010 and applied to Deferral Amounts made beginning with the 2010 Plan Year.</w:t>
      </w:r>
    </w:p>
    <w:p>
      <w:pPr>
        <w:spacing w:after="0" w:line="15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“In-Service Benefit” shall mean the benefit set forth in Section 4.3</w:t>
      </w:r>
    </w:p>
    <w:p>
      <w:pPr>
        <w:spacing w:after="0" w:line="225" w:lineRule="exact"/>
        <w:rPr>
          <w:sz w:val="20"/>
          <w:szCs w:val="20"/>
          <w:color w:val="auto"/>
        </w:rPr>
      </w:pPr>
    </w:p>
    <w:p>
      <w:pPr>
        <w:jc w:val="both"/>
        <w:ind w:left="560" w:hanging="647"/>
        <w:spacing w:after="0" w:line="275" w:lineRule="auto"/>
        <w:tabs>
          <w:tab w:leader="none" w:pos="5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“Participant” shall mean any Employee (i) who is selected to participate in the Plan, (ii) who elects to participate in the Plan, (iii) who signs an Election Form and a Beneficiary Designation Form, (iv) whose signed Election Form and Beneficiary Designation Form are accepted by the Board, (v) who commences participation in the Plan, and (vi) whose participation in the Plan has not terminated. A spouse or former spouse of a Participant shall not be treated as a Participant in the Plan or have an account balance under the Plan, even if he or she has an interest in the Participant’s benefits under the Plan as a result of applicable law or property settlements resulting from legal separation or divorce.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“Plan” shall mean the MasTec, Inc. Deferred Compensation Plan, as amended from time to time.</w:t>
      </w:r>
    </w:p>
    <w:p>
      <w:pPr>
        <w:spacing w:after="0" w:line="225" w:lineRule="exact"/>
        <w:rPr>
          <w:sz w:val="20"/>
          <w:szCs w:val="20"/>
          <w:color w:val="auto"/>
        </w:rPr>
      </w:pPr>
    </w:p>
    <w:p>
      <w:pPr>
        <w:jc w:val="both"/>
        <w:ind w:left="500" w:hanging="647"/>
        <w:spacing w:after="0" w:line="277" w:lineRule="auto"/>
        <w:tabs>
          <w:tab w:leader="none" w:pos="480" w:val="left"/>
        </w:tabs>
        <w:rPr>
          <w:sz w:val="20"/>
          <w:szCs w:val="20"/>
          <w:color w:val="auto"/>
        </w:rPr>
      </w:pPr>
      <w:r>
        <w:rPr>
          <w:rFonts w:ascii="Arial" w:cs="Arial" w:eastAsia="Arial" w:hAnsi="Arial"/>
          <w:sz w:val="18"/>
          <w:szCs w:val="18"/>
          <w:color w:val="auto"/>
        </w:rPr>
        <w:t>1.27</w:t>
        <w:tab/>
        <w:t>“Plan Year” shall mean a period beginning on January 1 of each calendar year and continuing through December 31 of such calendar year. However, the first Plan Year shall run from July 1, 2008 to December 31, 2008.</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“Pre-Retirement and Pre-Termination Death Benefit” shall mean the benefit set forth in Section 5.3.</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“Post- Retirement and Post-Termination Death Benefit” shall mean the benefit set forth in Section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016" w:right="339" w:bottom="1440" w:gutter="0" w:footer="0" w:header="0"/>
        </w:sectPr>
      </w:pPr>
    </w:p>
    <w:bookmarkStart w:id="95" w:name="page96"/>
    <w:bookmarkEnd w:id="95"/>
    <w:p>
      <w:pPr>
        <w:jc w:val="both"/>
        <w:ind w:left="600" w:hanging="647"/>
        <w:spacing w:after="0" w:line="259" w:lineRule="auto"/>
        <w:tabs>
          <w:tab w:leader="none" w:pos="580" w:val="left"/>
        </w:tabs>
        <w:rPr>
          <w:sz w:val="20"/>
          <w:szCs w:val="20"/>
          <w:color w:val="auto"/>
        </w:rPr>
      </w:pPr>
      <w:r>
        <w:rPr>
          <w:rFonts w:ascii="Arial" w:cs="Arial" w:eastAsia="Arial" w:hAnsi="Arial"/>
          <w:sz w:val="18"/>
          <w:szCs w:val="18"/>
          <w:color w:val="auto"/>
        </w:rPr>
        <w:t>1.30</w:t>
        <w:tab/>
        <w:t>“Retirement”, “Retire(s)” or “Retired” shall mean, with respect to an Employee, severance from employment from the Company or any other member of the Affiliated Group for any reason other than a leave of absence, death or Disability on or after the attainment of age sixty-five (65) with 5 years of service. For purposes of this section 1.30, a “year of service” shall have the same meaning as under the MasTec 401(k) Retirement Plan.</w:t>
      </w:r>
    </w:p>
    <w:p>
      <w:pPr>
        <w:spacing w:after="0" w:line="187" w:lineRule="exact"/>
        <w:rPr>
          <w:sz w:val="20"/>
          <w:szCs w:val="20"/>
          <w:color w:val="auto"/>
        </w:rPr>
      </w:pPr>
    </w:p>
    <w:p>
      <w:pPr>
        <w:jc w:val="both"/>
        <w:ind w:left="520" w:hanging="647"/>
        <w:spacing w:after="0" w:line="279" w:lineRule="auto"/>
        <w:tabs>
          <w:tab w:leader="none" w:pos="5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“Retirement Account” shall mean (i) that portion of a Participant’s Deferral Amount that a Participant elects to have distributed upon termination in accordance with Article 5, plus (ii) amounts credited in accordance with all the applicable crediting provisions of the Plan, less (iii) all distributions made to the Participant or his or her Beneficiary pursuant to the Plan that relate to his or her Retirement Account. Retirement Accounts were added to the plan January 1, 2010 and applied to Deferral Amounts made beginning with the 2010 Plan Year.</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“Retirement Benefit” shall mean the benefit set forth in Section 5.1.</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“Short-Term Payout” shall mean the payout set forth in Section 4.1.</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“Termination Benefit” shall mean the benefit set forth in Section 5.2.</w:t>
      </w:r>
    </w:p>
    <w:p>
      <w:pPr>
        <w:spacing w:after="0" w:line="225" w:lineRule="exact"/>
        <w:rPr>
          <w:sz w:val="20"/>
          <w:szCs w:val="20"/>
          <w:color w:val="auto"/>
        </w:rPr>
      </w:pPr>
    </w:p>
    <w:p>
      <w:pPr>
        <w:jc w:val="both"/>
        <w:ind w:left="560" w:hanging="647"/>
        <w:spacing w:after="0" w:line="269" w:lineRule="auto"/>
        <w:tabs>
          <w:tab w:leader="none" w:pos="5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“Termination of Employment” shall mean a termination of employment with the Affiliated Group in such a manner as to constitute a “separation from service” as defined under Code Section 409A, voluntarily or involuntarily, for any reason other than Retirement, Disability, or death. For this purpose, the employment relationship is treated as continuing while a Participant is on military leave, sick leave, or other bona fide leave of absence if the period of such leave does not exceed six months or, if longer, so long as the individual retains a right to reemployment with the Affiliated Group under an applicable statute or by contract. A leave of absence constitutes a bona fide leave of absence only if there is a reasonable expectation that the Participant will return to perform services for the Affiliated Group. If the period of leave exceeds six months and the Participant does not retain a right to reemployment under an applicable statute or by contract, the employment relationship is deemed to terminate on the first day immediately following such six-month period. A Termination of Employment will occur if there is a reasonable expectation that the level of services by the Participant for the Affiliated Group will permanently decrease to 20% or less of the average level of services during the previous 36 months (or, if shorter, the actual period of services).</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“Trust” shall mean one or more rabbi trusts established by the Company in accordance with Article 12 of the Plan as amended from time to time.</w:t>
      </w:r>
    </w:p>
    <w:p>
      <w:pPr>
        <w:spacing w:after="0" w:line="225" w:lineRule="exact"/>
        <w:rPr>
          <w:sz w:val="20"/>
          <w:szCs w:val="20"/>
          <w:color w:val="auto"/>
        </w:rPr>
      </w:pPr>
    </w:p>
    <w:p>
      <w:pPr>
        <w:jc w:val="both"/>
        <w:ind w:left="540" w:hanging="647"/>
        <w:spacing w:after="0" w:line="255" w:lineRule="auto"/>
        <w:tabs>
          <w:tab w:leader="none" w:pos="520" w:val="left"/>
        </w:tabs>
        <w:rPr>
          <w:sz w:val="20"/>
          <w:szCs w:val="20"/>
          <w:color w:val="auto"/>
        </w:rPr>
      </w:pPr>
      <w:r>
        <w:rPr>
          <w:rFonts w:ascii="Arial" w:cs="Arial" w:eastAsia="Arial" w:hAnsi="Arial"/>
          <w:sz w:val="18"/>
          <w:szCs w:val="18"/>
          <w:color w:val="auto"/>
        </w:rPr>
        <w:t>1.37</w:t>
        <w:tab/>
        <w:t>“Unforeseeable Emergency” shall mean a severe financial hardship to the Participant resulting from (i) an illness or accident of the Participant or Beneficiary or his spouse or dependent (as defined in Code Section 152(a) without regard to Code Sections 152(b)(1), 152(b)(2), and 152(d)(1) (B)), (ii) loss of the Participant’s property due to casualty (including the need to rebuild a home following damage to the home not otherwise covered by insurance), or (iii) other similar extraordinary and unforeseeable circumstances arising as a result of events beyond the control of the Participant. The term “Unforeseeable Emergency” shall be interpreted in a manner consistent with the definition of “unforeseeable emergency” contained in Code Section 409A.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Selection, Enrollment, Eligibility</w:t>
      </w:r>
    </w:p>
    <w:p>
      <w:pPr>
        <w:spacing w:after="0" w:line="15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u w:val="single" w:color="auto"/>
          <w:color w:val="auto"/>
        </w:rPr>
        <w:t>Selection by Board</w:t>
      </w:r>
      <w:r>
        <w:rPr>
          <w:rFonts w:ascii="Arial" w:cs="Arial" w:eastAsia="Arial" w:hAnsi="Arial"/>
          <w:sz w:val="18"/>
          <w:szCs w:val="18"/>
          <w:color w:val="auto"/>
        </w:rPr>
        <w:t>. Participation in the Plan shall be limited to those Employees (i) who are officers or key employees, and (ii) who are part of 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select group of management or highly compensated employees, within the meaning of Sections 201(2), 301(a)(3) and 401(a)(1) of ERISA, as reasonably determined from time to time by the Board.</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u w:val="single" w:color="auto"/>
          <w:color w:val="auto"/>
        </w:rPr>
        <w:t>Enrollment Requirements</w:t>
      </w:r>
      <w:r>
        <w:rPr>
          <w:rFonts w:ascii="Arial" w:cs="Arial" w:eastAsia="Arial" w:hAnsi="Arial"/>
          <w:sz w:val="18"/>
          <w:szCs w:val="18"/>
          <w:color w:val="auto"/>
        </w:rPr>
        <w:t>. As a condition to participation, each selected Employee shall complete, execute and return to the Board an Election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Form and a Beneficiary Designation Form, all within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016" w:right="339" w:bottom="1440" w:gutter="0" w:footer="0" w:header="0"/>
        </w:sectPr>
      </w:pPr>
    </w:p>
    <w:bookmarkStart w:id="96" w:name="page97"/>
    <w:bookmarkEnd w:id="96"/>
    <w:p>
      <w:pPr>
        <w:ind w:left="660"/>
        <w:spacing w:after="0" w:line="277" w:lineRule="auto"/>
        <w:rPr>
          <w:sz w:val="20"/>
          <w:szCs w:val="20"/>
          <w:color w:val="auto"/>
        </w:rPr>
      </w:pPr>
      <w:r>
        <w:rPr>
          <w:rFonts w:ascii="Arial" w:cs="Arial" w:eastAsia="Arial" w:hAnsi="Arial"/>
          <w:sz w:val="18"/>
          <w:szCs w:val="18"/>
          <w:color w:val="auto"/>
        </w:rPr>
        <w:t>(or such shorter time as the Board may determine) after he or she is selected to participate in the Plan. In addition, the Board shall establish from time to time such other enrollment requirements as it determines in its sole discretion are necessary.</w:t>
      </w:r>
    </w:p>
    <w:p>
      <w:pPr>
        <w:spacing w:after="0" w:line="166"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b w:val="1"/>
          <w:bCs w:val="1"/>
          <w:u w:val="single" w:color="auto"/>
          <w:color w:val="auto"/>
        </w:rPr>
        <w:t>Eligibility; Commencement of Participation</w:t>
      </w:r>
      <w:r>
        <w:rPr>
          <w:rFonts w:ascii="Arial" w:cs="Arial" w:eastAsia="Arial" w:hAnsi="Arial"/>
          <w:sz w:val="17"/>
          <w:szCs w:val="17"/>
          <w:color w:val="auto"/>
        </w:rPr>
        <w:t>. Provided an Employee selected to participate in the Plan has met all enrollment requirements set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forth in the Plan and required by the Board, including returning all required documents to the Company within thirty (30) days (or such shorter time as the Board may determine) after he or she is selected to participate in the Plan, that Employee shall commence participation in the Plan on the first day of the month following the month in which the Employee completes all enrollment requirements. If an Employee fails to meet all such requirements within the period required, that Employee shall not be eligible to participate in the Plan until the first day of the Plan Year following the delivery to and acceptance by the Board of the required documents.</w:t>
      </w:r>
    </w:p>
    <w:p>
      <w:pPr>
        <w:spacing w:after="0" w:line="17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b w:val="1"/>
          <w:bCs w:val="1"/>
          <w:u w:val="single" w:color="auto"/>
          <w:color w:val="auto"/>
        </w:rPr>
        <w:t>Termination of Deferrals</w:t>
      </w:r>
      <w:r>
        <w:rPr>
          <w:rFonts w:ascii="Arial" w:cs="Arial" w:eastAsia="Arial" w:hAnsi="Arial"/>
          <w:sz w:val="18"/>
          <w:szCs w:val="18"/>
          <w:color w:val="auto"/>
        </w:rPr>
        <w:t>. If the Company determines in good faith that a Participant no longer qualifies as a member of a select group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management or highly compensated employees, as membership in such group is determined in accordance with Sections 201(2), 301(a)(3) and 401(a)(1) of ERISA, the Participant’s entitlement to defer Base Salary and Bonus shall cease with respect to calendar years following the calendar year in which such determination is made, although the Participant shall remain subject to all terms and conditions of the Plan for as long as he remains a Participant.</w:t>
      </w:r>
    </w:p>
    <w:p>
      <w:pPr>
        <w:spacing w:after="0" w:line="18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u w:val="single" w:color="auto"/>
          <w:color w:val="auto"/>
        </w:rPr>
        <w:t>Deferral Elections</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u w:val="single" w:color="auto"/>
          <w:color w:val="auto"/>
        </w:rPr>
        <w:t>Elections to Defer Base Salary or Bonus</w:t>
      </w:r>
      <w:r>
        <w:rPr>
          <w:rFonts w:ascii="Arial" w:cs="Arial" w:eastAsia="Arial" w:hAnsi="Arial"/>
          <w:sz w:val="15"/>
          <w:szCs w:val="15"/>
          <w:color w:val="auto"/>
        </w:rPr>
        <w:t>.</w:t>
      </w:r>
    </w:p>
    <w:p>
      <w:pPr>
        <w:spacing w:after="0" w:line="22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hanging="656"/>
        <w:spacing w:after="0" w:line="271" w:lineRule="auto"/>
        <w:tabs>
          <w:tab w:leader="none" w:pos="1954" w:val="left"/>
        </w:tabs>
        <w:numPr>
          <w:ilvl w:val="1"/>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New Participant</w:t>
      </w:r>
      <w:r>
        <w:rPr>
          <w:rFonts w:ascii="Arial" w:cs="Arial" w:eastAsia="Arial" w:hAnsi="Arial"/>
          <w:sz w:val="17"/>
          <w:szCs w:val="17"/>
          <w:color w:val="auto"/>
        </w:rPr>
        <w:t>. In connection with a Participant’s commencement of participation in the Plan, a Participant may elect to defer</w:t>
      </w:r>
      <w:r>
        <w:rPr>
          <w:rFonts w:ascii="Arial" w:cs="Arial" w:eastAsia="Arial" w:hAnsi="Arial"/>
          <w:sz w:val="17"/>
          <w:szCs w:val="17"/>
          <w:b w:val="1"/>
          <w:bCs w:val="1"/>
          <w:color w:val="auto"/>
        </w:rPr>
        <w:t xml:space="preserve"> </w:t>
      </w:r>
      <w:r>
        <w:rPr>
          <w:rFonts w:ascii="Arial" w:cs="Arial" w:eastAsia="Arial" w:hAnsi="Arial"/>
          <w:sz w:val="17"/>
          <w:szCs w:val="17"/>
          <w:color w:val="auto"/>
        </w:rPr>
        <w:t>Base Salary or Bonus, or both, by filing with the Board an Election Form that conforms with the requirements of Article 2 within the time period specified in Section 2.3, and the Deferral Election shall become irrevocable at the end of such time period. The Deferral Election shall apply only to Base Salary earned during the first Plan Year beginning with the first payroll period that begins immediately after the date the Deferral Election becomes irrevocable, and the Deferral Election shall apply only to that portion of the Bonus earned after the Deferral Election becomes irrevocable. If a Participant does not make a deferral election with respect to the first Plan Year with respect to which the Participant is eligible to participate in the Plan, the Participant may elect to defer Base Salary or Bonus, or both, for any subsequent Plan year by filing with the Board an Election Form that conforms with the requirements of Article 2 before the start of that Plan Year.</w:t>
      </w:r>
    </w:p>
    <w:p>
      <w:pPr>
        <w:spacing w:after="0" w:line="173" w:lineRule="exact"/>
        <w:rPr>
          <w:rFonts w:ascii="Arial" w:cs="Arial" w:eastAsia="Arial" w:hAnsi="Arial"/>
          <w:sz w:val="17"/>
          <w:szCs w:val="17"/>
          <w:color w:val="auto"/>
        </w:rPr>
      </w:pPr>
    </w:p>
    <w:p>
      <w:pPr>
        <w:jc w:val="both"/>
        <w:ind w:left="1960" w:hanging="656"/>
        <w:spacing w:after="0" w:line="255" w:lineRule="auto"/>
        <w:tabs>
          <w:tab w:leader="none" w:pos="1950" w:val="left"/>
        </w:tabs>
        <w:numPr>
          <w:ilvl w:val="1"/>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Deferral Election</w:t>
      </w:r>
      <w:r>
        <w:rPr>
          <w:rFonts w:ascii="Arial" w:cs="Arial" w:eastAsia="Arial" w:hAnsi="Arial"/>
          <w:sz w:val="18"/>
          <w:szCs w:val="18"/>
          <w:color w:val="auto"/>
        </w:rPr>
        <w:t>. Unless Section 3.1(a)(i) applies, each Participant may elect to defer Base Salary or Bonus for a Plan</w:t>
      </w:r>
      <w:r>
        <w:rPr>
          <w:rFonts w:ascii="Arial" w:cs="Arial" w:eastAsia="Arial" w:hAnsi="Arial"/>
          <w:sz w:val="18"/>
          <w:szCs w:val="18"/>
          <w:b w:val="1"/>
          <w:bCs w:val="1"/>
          <w:color w:val="auto"/>
        </w:rPr>
        <w:t xml:space="preserve"> </w:t>
      </w:r>
      <w:r>
        <w:rPr>
          <w:rFonts w:ascii="Arial" w:cs="Arial" w:eastAsia="Arial" w:hAnsi="Arial"/>
          <w:sz w:val="18"/>
          <w:szCs w:val="18"/>
          <w:color w:val="auto"/>
        </w:rPr>
        <w:t>Year by filing a Deferral Election with the Company within the timeframes specified by the Board for the Plan Year for which such Base Salary or Bonus is earned. However, the Deferral Election with respect to Base Salary or as a bonus becomes irrevocable as of such December 31 preceding the Plan Year for which such Base Salary is earned and with respect to a Performance based Bonus that qualifies as “Performance Based Compensation” as defined in IRS regulation 1.409A-1(e) becomes irrevocable as of the date six months prior to the end of the performance period or such earlier dates as specified by the Board.</w:t>
      </w:r>
    </w:p>
    <w:p>
      <w:pPr>
        <w:spacing w:after="0" w:line="188" w:lineRule="exact"/>
        <w:rPr>
          <w:rFonts w:ascii="Arial" w:cs="Arial" w:eastAsia="Arial" w:hAnsi="Arial"/>
          <w:sz w:val="18"/>
          <w:szCs w:val="18"/>
          <w:color w:val="auto"/>
        </w:rPr>
      </w:pPr>
    </w:p>
    <w:p>
      <w:pPr>
        <w:jc w:val="both"/>
        <w:ind w:left="1300" w:hanging="644"/>
        <w:spacing w:after="0" w:line="261" w:lineRule="auto"/>
        <w:tabs>
          <w:tab w:leader="none" w:pos="1294"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Amount of Deferral</w:t>
      </w:r>
      <w:r>
        <w:rPr>
          <w:rFonts w:ascii="Arial" w:cs="Arial" w:eastAsia="Arial" w:hAnsi="Arial"/>
          <w:sz w:val="18"/>
          <w:szCs w:val="18"/>
          <w:color w:val="auto"/>
        </w:rPr>
        <w:t>. A Participant shall designate on the Deferral Election form the amount of Base Salary or Bonus, or both, that is to</w:t>
      </w:r>
      <w:r>
        <w:rPr>
          <w:rFonts w:ascii="Arial" w:cs="Arial" w:eastAsia="Arial" w:hAnsi="Arial"/>
          <w:sz w:val="18"/>
          <w:szCs w:val="18"/>
          <w:b w:val="1"/>
          <w:bCs w:val="1"/>
          <w:color w:val="auto"/>
        </w:rPr>
        <w:t xml:space="preserve"> </w:t>
      </w:r>
      <w:r>
        <w:rPr>
          <w:rFonts w:ascii="Arial" w:cs="Arial" w:eastAsia="Arial" w:hAnsi="Arial"/>
          <w:sz w:val="18"/>
          <w:szCs w:val="18"/>
          <w:color w:val="auto"/>
        </w:rPr>
        <w:t>be deferred in accordance with this Article 3. The amount may be a flat dollar amount or percentage, as selected by the Participant, which, unless otherwise determined by the Board, shall not exceed 50% of the Participant’s Base Salary or 100% of the Participant’s Bonus; provided that the total amount deferred by a Participant shall be limited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016" w:right="339" w:bottom="1440" w:gutter="0" w:footer="0" w:header="0"/>
        </w:sectPr>
      </w:pPr>
    </w:p>
    <w:bookmarkStart w:id="97" w:name="page98"/>
    <w:bookmarkEnd w:id="97"/>
    <w:p>
      <w:pPr>
        <w:jc w:val="both"/>
        <w:ind w:left="644" w:right="20"/>
        <w:spacing w:after="0" w:line="277" w:lineRule="auto"/>
        <w:rPr>
          <w:sz w:val="20"/>
          <w:szCs w:val="20"/>
          <w:color w:val="auto"/>
        </w:rPr>
      </w:pPr>
      <w:r>
        <w:rPr>
          <w:rFonts w:ascii="Arial" w:cs="Arial" w:eastAsia="Arial" w:hAnsi="Arial"/>
          <w:sz w:val="18"/>
          <w:szCs w:val="18"/>
          <w:color w:val="auto"/>
        </w:rPr>
        <w:t>any calendar year, if necessary, to satisfy FICA, income tax, and employee benefit plan withholding requirements as determined in the sole and absolute discretion of the Board.</w:t>
      </w:r>
    </w:p>
    <w:p>
      <w:pPr>
        <w:spacing w:after="0" w:line="170" w:lineRule="exact"/>
        <w:rPr>
          <w:sz w:val="20"/>
          <w:szCs w:val="20"/>
          <w:color w:val="auto"/>
        </w:rPr>
      </w:pPr>
    </w:p>
    <w:p>
      <w:pPr>
        <w:jc w:val="both"/>
        <w:ind w:left="644"/>
        <w:spacing w:after="0" w:line="254" w:lineRule="auto"/>
        <w:rPr>
          <w:sz w:val="20"/>
          <w:szCs w:val="20"/>
          <w:color w:val="auto"/>
        </w:rPr>
      </w:pPr>
      <w:r>
        <w:rPr>
          <w:rFonts w:ascii="Arial" w:cs="Arial" w:eastAsia="Arial" w:hAnsi="Arial"/>
          <w:sz w:val="18"/>
          <w:szCs w:val="18"/>
          <w:color w:val="auto"/>
        </w:rPr>
        <w:t>In addition, beginning with the 2011 Plan Year, if a Participant will receive a distribution of a portion of his deferral to the MasTec, Inc. 401(k) Retirement Plan (“401(k) Plan”) due to the 401(k) Plan’s failure to pass the Actual Deferral Percentage (ADP) test performed, the Participant may authorize the Company to reduce the balance of his future Base Salary by the amount of that distribution, including earnings. That reduction shall be made on a pro-rata basis commencing with my first paycheck received on or after July 1 of the year in which the corrective distribution is paid. As an example, a Participant may elect on the 2011 Deferral Election form to have 2011 Base Salary received on or after July 1, 2011 reduced on a pro-rata basis by the amount of the corrective distribution received in 2011 from the 401(k) Plan for the 2010 plan year.</w:t>
      </w:r>
    </w:p>
    <w:p>
      <w:pPr>
        <w:spacing w:after="0" w:line="191" w:lineRule="exact"/>
        <w:rPr>
          <w:sz w:val="20"/>
          <w:szCs w:val="20"/>
          <w:color w:val="auto"/>
        </w:rPr>
      </w:pPr>
    </w:p>
    <w:p>
      <w:pPr>
        <w:jc w:val="both"/>
        <w:ind w:left="644" w:hanging="644"/>
        <w:spacing w:after="0" w:line="256" w:lineRule="auto"/>
        <w:tabs>
          <w:tab w:leader="none" w:pos="641"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Allocation of Deferral</w:t>
      </w:r>
      <w:r>
        <w:rPr>
          <w:rFonts w:ascii="Arial" w:cs="Arial" w:eastAsia="Arial" w:hAnsi="Arial"/>
          <w:sz w:val="18"/>
          <w:szCs w:val="18"/>
          <w:color w:val="auto"/>
        </w:rPr>
        <w:t>. Effective with the Plan Year beginning January 1, 2010, a Participant shall further designate the percentage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Class Year’s Base Salary and Bonus deferral that will be allocated to the Class Year’s Retirement Account and In-Service Account. The allocation of each Class Year’s Deferral Amount into the Retirement Account or In-Service Account shall be in whole percentages only. A Participant is not obligated to apply the same percentage allocation to the Base Salary and Bonus. As an example, an employee can allocate 50% of the Base Salary deferral into the Retirement Account and 50% into the In-Service Account while allocating 100% of the Bonus into the Retirement Account.</w:t>
      </w:r>
    </w:p>
    <w:p>
      <w:pPr>
        <w:spacing w:after="0" w:line="191" w:lineRule="exact"/>
        <w:rPr>
          <w:rFonts w:ascii="Arial" w:cs="Arial" w:eastAsia="Arial" w:hAnsi="Arial"/>
          <w:sz w:val="18"/>
          <w:szCs w:val="18"/>
          <w:color w:val="auto"/>
        </w:rPr>
      </w:pPr>
    </w:p>
    <w:p>
      <w:pPr>
        <w:jc w:val="both"/>
        <w:ind w:left="644"/>
        <w:spacing w:after="0" w:line="286" w:lineRule="auto"/>
        <w:rPr>
          <w:rFonts w:ascii="Arial" w:cs="Arial" w:eastAsia="Arial" w:hAnsi="Arial"/>
          <w:sz w:val="18"/>
          <w:szCs w:val="18"/>
          <w:color w:val="auto"/>
        </w:rPr>
      </w:pPr>
      <w:r>
        <w:rPr>
          <w:rFonts w:ascii="Arial" w:cs="Arial" w:eastAsia="Arial" w:hAnsi="Arial"/>
          <w:sz w:val="16"/>
          <w:szCs w:val="16"/>
          <w:color w:val="auto"/>
        </w:rPr>
        <w:t>Effective with the Plan Year beginning January 1, 2012, a Participant shall be allowed to designate the percentage of each Class Year’s Base Salary and Bonus deferral into multiple In-Service Accounts in addition to the Retirement Account. Such allocation shall be in whole percentages. A Participant is not obligated to apply the same percentage allocation to the Base Salary and Bonus and can allocate Base Salary and Bonus to the same or different In-Service Accounts. A Participant shall be limited to the number of In-Service Accounts that may be active at any time, including those in the process of being distributed and those established during the 2010 and 2011 Plan Years, as determined from time to time by the Company. Each Plan Year after 2012, a Participant may allocate Deferral Amounts into those In-Service Accounts through the end of the Plan Year preceding the Plan Year in which the In-Service Account is scheduled to be distributed. Once a Participant has reached the maximum number of allowable In-Service Accounts, he cannot establish a new In Service Account until the Plan Year beginning after the Plan Year in which an existing In-Service Account has been completely distributed. As an example, an In-Service Account is established on January 1, 2012 with a payment schedule of four annual installments beginning August 1, 2016. For plan Years 2013, 2014 and 2015, the Participant can continue to direct Deferral Amounts into that In-Service Account. Since the payment will commence in 2016, no Deferral Amount can be directed into that In-Service Account for 2016. The Participant can direct 2016 Deferral Amounts either into a new In-Service Account, assuming he has not already established the maximum number of In-Service Accounts, including the one that will begin to be distributed in 2016, or into any other existing In-Service Account that is not currently being distributed or scheduled to be or begin to be distributed in 2016.</w:t>
      </w:r>
    </w:p>
    <w:p>
      <w:pPr>
        <w:spacing w:after="0" w:line="163" w:lineRule="exact"/>
        <w:rPr>
          <w:rFonts w:ascii="Arial" w:cs="Arial" w:eastAsia="Arial" w:hAnsi="Arial"/>
          <w:sz w:val="18"/>
          <w:szCs w:val="18"/>
          <w:color w:val="auto"/>
        </w:rPr>
      </w:pPr>
    </w:p>
    <w:p>
      <w:pPr>
        <w:jc w:val="both"/>
        <w:ind w:left="644" w:hanging="644"/>
        <w:spacing w:after="0" w:line="261" w:lineRule="auto"/>
        <w:tabs>
          <w:tab w:leader="none" w:pos="638"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Duration of Deferral Election</w:t>
      </w:r>
      <w:r>
        <w:rPr>
          <w:rFonts w:ascii="Arial" w:cs="Arial" w:eastAsia="Arial" w:hAnsi="Arial"/>
          <w:sz w:val="18"/>
          <w:szCs w:val="18"/>
          <w:color w:val="auto"/>
        </w:rPr>
        <w:t>. A Participant’s Deferral Election shall apply only to Base Salary or Bonus earned for services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Plan Year to which the Deferral Election relates. A Participant must indicate a new Deferral Election for any subsequent Plan Year by filing a new Election Form with the Company prior to the beginning of such Plan Year or at such time as the Board may require, which Deferral Election shall be effective on the first day of the next following Plan Year.</w:t>
      </w:r>
    </w:p>
    <w:p>
      <w:pPr>
        <w:spacing w:after="0" w:line="179" w:lineRule="exact"/>
        <w:rPr>
          <w:rFonts w:ascii="Arial" w:cs="Arial" w:eastAsia="Arial" w:hAnsi="Arial"/>
          <w:sz w:val="18"/>
          <w:szCs w:val="18"/>
          <w:color w:val="auto"/>
        </w:rPr>
      </w:pPr>
    </w:p>
    <w:p>
      <w:pPr>
        <w:jc w:val="both"/>
        <w:ind w:left="644" w:hanging="644"/>
        <w:spacing w:after="0" w:line="261" w:lineRule="auto"/>
        <w:tabs>
          <w:tab w:leader="none" w:pos="641"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Class Year Elections</w:t>
      </w:r>
      <w:r>
        <w:rPr>
          <w:rFonts w:ascii="Arial" w:cs="Arial" w:eastAsia="Arial" w:hAnsi="Arial"/>
          <w:sz w:val="18"/>
          <w:szCs w:val="18"/>
          <w:color w:val="auto"/>
        </w:rPr>
        <w:t>: Effective for the 2010 and 2011 Plan Years, each Plan Year’s Deferral Election will be maintained in separate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distinct accounts by Retirement Account and In Service Account and by calendar year in which the contribution is received. Unique distribution elections apply to each Class Year. Effective for Plan Years beginning after December 31, 2014, Deferral Amounts allocated to the Retirement Account will be maintained in separate and distinct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584"/>
          </w:cols>
          <w:pgMar w:left="976" w:top="1016" w:right="339" w:bottom="1440" w:gutter="0" w:footer="0" w:header="0"/>
        </w:sectPr>
      </w:pPr>
    </w:p>
    <w:bookmarkStart w:id="98" w:name="page99"/>
    <w:bookmarkEnd w:id="98"/>
    <w:p>
      <w:pPr>
        <w:ind w:left="1300"/>
        <w:spacing w:after="0"/>
        <w:rPr>
          <w:sz w:val="20"/>
          <w:szCs w:val="20"/>
          <w:color w:val="auto"/>
        </w:rPr>
      </w:pPr>
      <w:r>
        <w:rPr>
          <w:rFonts w:ascii="Arial" w:cs="Arial" w:eastAsia="Arial" w:hAnsi="Arial"/>
          <w:sz w:val="16"/>
          <w:szCs w:val="16"/>
          <w:color w:val="auto"/>
        </w:rPr>
        <w:t>accounts by Plan Year with respect to which the contribution is received and unique distribution elections will apply to each Class Year.</w:t>
      </w:r>
    </w:p>
    <w:p>
      <w:pPr>
        <w:spacing w:after="0" w:line="244" w:lineRule="exact"/>
        <w:rPr>
          <w:sz w:val="20"/>
          <w:szCs w:val="20"/>
          <w:color w:val="auto"/>
        </w:rPr>
      </w:pPr>
    </w:p>
    <w:p>
      <w:pPr>
        <w:jc w:val="both"/>
        <w:ind w:left="1300" w:hanging="644"/>
        <w:spacing w:after="0" w:line="266" w:lineRule="auto"/>
        <w:tabs>
          <w:tab w:leader="none" w:pos="1291"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Multiple In-Service Accounts</w:t>
      </w:r>
      <w:r>
        <w:rPr>
          <w:rFonts w:ascii="Arial" w:cs="Arial" w:eastAsia="Arial" w:hAnsi="Arial"/>
          <w:sz w:val="18"/>
          <w:szCs w:val="18"/>
          <w:color w:val="auto"/>
        </w:rPr>
        <w:t>: Effective with the Plan Year beginning January 1, 2012, a Participant may establish multiple In-Service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as described in Section 3.1(c). However, only one Retirement Account will exist for Deferral Amounts made beginning with the 2012 Plan Year.</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Company Contribution Amount shall be accounted for separately.</w:t>
      </w:r>
    </w:p>
    <w:p>
      <w:pPr>
        <w:spacing w:after="0" w:line="221"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u w:val="single" w:color="auto"/>
          <w:color w:val="auto"/>
        </w:rPr>
        <w:t>Withholding of Deferral Amounts</w:t>
      </w:r>
      <w:r>
        <w:rPr>
          <w:rFonts w:ascii="Arial" w:cs="Arial" w:eastAsia="Arial" w:hAnsi="Arial"/>
          <w:sz w:val="18"/>
          <w:szCs w:val="18"/>
          <w:color w:val="auto"/>
        </w:rPr>
        <w:t>. For each Plan Year, the Base Salary portion of the Deferral Amount shall be withheld from each regularly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scheduled Base Salary payroll in equal amounts, as adjusted from time to time for increases and decreases in Base Salary. The Bonus portion of the Deferral Amount shall be withheld at the time the Bonus is or otherwise would be paid to the Participant, whether or not this occurs during the Plan Year.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u w:val="single" w:color="auto"/>
          <w:color w:val="auto"/>
        </w:rPr>
        <w:t>Annual Company Contribution Amount</w:t>
      </w:r>
      <w:r>
        <w:rPr>
          <w:rFonts w:ascii="Arial" w:cs="Arial" w:eastAsia="Arial" w:hAnsi="Arial"/>
          <w:sz w:val="18"/>
          <w:szCs w:val="18"/>
          <w:color w:val="auto"/>
        </w:rPr>
        <w:t>. For each Plan Year, the Board, in its sole discretion, may, but is not required to, credit any amount it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desires to any Participant’s Company Contribution Account under the Plan, which amount shall equal the Annual Company Contribution Amount for that Participant for that Plan Year. The amount so credited to a Participant may be smaller or larger than the amount credited to any other Participant, and the amount credited to any Participant for a Plan Year may be zero, even though one or more other Participants receive an Annual Company Contribution Amount for that Plan Year.</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b w:val="1"/>
          <w:bCs w:val="1"/>
          <w:u w:val="single" w:color="auto"/>
          <w:color w:val="auto"/>
        </w:rPr>
        <w:t>Vesting</w:t>
      </w:r>
      <w:r>
        <w:rPr>
          <w:rFonts w:ascii="Arial" w:cs="Arial" w:eastAsia="Arial" w:hAnsi="Arial"/>
          <w:sz w:val="15"/>
          <w:szCs w:val="15"/>
          <w:color w:val="auto"/>
        </w:rPr>
        <w:t>.</w:t>
      </w:r>
    </w:p>
    <w:p>
      <w:pPr>
        <w:spacing w:after="0" w:line="229" w:lineRule="exact"/>
        <w:rPr>
          <w:sz w:val="20"/>
          <w:szCs w:val="20"/>
          <w:color w:val="auto"/>
        </w:rPr>
      </w:pPr>
    </w:p>
    <w:p>
      <w:pPr>
        <w:ind w:left="1300" w:hanging="644"/>
        <w:spacing w:after="0" w:line="277" w:lineRule="auto"/>
        <w:tabs>
          <w:tab w:leader="none" w:pos="12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Participant shall at all times be 100% vested in his or her Deferral Account. A Participant shall vest in his or her Company Contribution Account in accordance with the following schedule:</w:t>
      </w:r>
    </w:p>
    <w:p>
      <w:pPr>
        <w:spacing w:after="0" w:line="224" w:lineRule="exact"/>
        <w:rPr>
          <w:sz w:val="20"/>
          <w:szCs w:val="20"/>
          <w:color w:val="auto"/>
        </w:rPr>
      </w:pPr>
    </w:p>
    <w:tbl>
      <w:tblPr>
        <w:tblLayout w:type="fixed"/>
        <w:tblInd w:w="262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Years of Service</w:t>
            </w:r>
          </w:p>
        </w:tc>
        <w:tc>
          <w:tcPr>
            <w:tcW w:w="2820" w:type="dxa"/>
            <w:vAlign w:val="bottom"/>
          </w:tcPr>
          <w:p>
            <w:pPr>
              <w:ind w:left="1500"/>
              <w:spacing w:after="0"/>
              <w:rPr>
                <w:sz w:val="20"/>
                <w:szCs w:val="20"/>
                <w:color w:val="auto"/>
              </w:rPr>
            </w:pPr>
            <w:r>
              <w:rPr>
                <w:rFonts w:ascii="Arial" w:cs="Arial" w:eastAsia="Arial" w:hAnsi="Arial"/>
                <w:sz w:val="18"/>
                <w:szCs w:val="18"/>
                <w:color w:val="auto"/>
                <w:w w:val="84"/>
              </w:rPr>
              <w:t>Vested Percentage</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Less than 1</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92"/>
              </w:rPr>
              <w:t>0%</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1 but less than 2</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88"/>
              </w:rPr>
              <w:t>33%</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2 but less than 3</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88"/>
              </w:rPr>
              <w:t>66%</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3 of more</w:t>
            </w:r>
          </w:p>
        </w:tc>
        <w:tc>
          <w:tcPr>
            <w:tcW w:w="2820" w:type="dxa"/>
            <w:vAlign w:val="bottom"/>
          </w:tcPr>
          <w:p>
            <w:pPr>
              <w:jc w:val="center"/>
              <w:ind w:left="1430"/>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For purposes of this section 3.4(a), a “year of service” shall have the same meaning as under the MasTec 401(k) Retirement Plan.</w:t>
      </w:r>
    </w:p>
    <w:p>
      <w:pPr>
        <w:spacing w:after="0" w:line="237" w:lineRule="exact"/>
        <w:rPr>
          <w:sz w:val="20"/>
          <w:szCs w:val="20"/>
          <w:color w:val="auto"/>
        </w:rPr>
      </w:pPr>
    </w:p>
    <w:p>
      <w:pPr>
        <w:ind w:left="1300" w:hanging="644"/>
        <w:spacing w:after="0" w:line="308" w:lineRule="auto"/>
        <w:tabs>
          <w:tab w:leader="none" w:pos="115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3.4, in the event of a Change in Control, a Participant’s Company Contribution Account shall immediately become 100% vested (if not already vested in accordance with the above vesting schedule).</w:t>
      </w:r>
    </w:p>
    <w:p>
      <w:pPr>
        <w:spacing w:after="0" w:line="146" w:lineRule="exact"/>
        <w:rPr>
          <w:rFonts w:ascii="Arial" w:cs="Arial" w:eastAsia="Arial" w:hAnsi="Arial"/>
          <w:sz w:val="17"/>
          <w:szCs w:val="17"/>
          <w:color w:val="auto"/>
        </w:rPr>
      </w:pPr>
    </w:p>
    <w:p>
      <w:pPr>
        <w:ind w:left="1300" w:hanging="644"/>
        <w:spacing w:after="0" w:line="271" w:lineRule="auto"/>
        <w:tabs>
          <w:tab w:leader="none" w:pos="10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Notwithstanding subsection (a), the vesting schedule for a Participant’s Company Contribution Account shall not be accelerated to the extent that the Board determines that such acceleration would cause the deduction limitations of Code Section 280G to become effective. In the event that all of a Participant’s Company Contribution Account is not vested pursuant to such a determination, the Participant may request independent verification of the Board’s calculations with respect to the application of Code Section 280G. In such case, the Board must provide to the Participant within 15 business days of such a request an opinion from a nationally recognized accounting firm selected by the Participant (the “Accounting Firm”). If the Accounting Firm’s opinion is in agreement with the Board’s determination, the opinion shall state that any limitation in the vested percentage hereunder is necessary to avoid the limits of Code Section 280G and contain supporting calculations. The cost of such opinion shall be paid for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016" w:right="339" w:bottom="1440" w:gutter="0" w:footer="0" w:header="0"/>
        </w:sectPr>
      </w:pPr>
    </w:p>
    <w:bookmarkStart w:id="99" w:name="page100"/>
    <w:bookmarkEnd w:id="99"/>
    <w:p>
      <w:pPr>
        <w:jc w:val="both"/>
        <w:ind w:left="660" w:hanging="647"/>
        <w:spacing w:after="0" w:line="298"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u w:val="single" w:color="auto"/>
          <w:color w:val="auto"/>
        </w:rPr>
        <w:t>Deferral Accounts and Company Contribution Accounts</w:t>
      </w:r>
      <w:r>
        <w:rPr>
          <w:rFonts w:ascii="Arial" w:cs="Arial" w:eastAsia="Arial" w:hAnsi="Arial"/>
          <w:sz w:val="16"/>
          <w:szCs w:val="16"/>
          <w:color w:val="auto"/>
        </w:rPr>
        <w:t>. The Company shall establish accounts for Base Salary Deferral Amounts and Bonus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Deferral Amounts and, effective with the Plan Year beginning January 1, 2010, further sub-divided into In-Service Accounts and Retirement Accounts for each Participant under the Plan. Each of those accounts will be maintained by Class Year and, effective January 1, 2012 into multiple In-Service Accounts. Each Participant’s Deferral Account shall be further divided into separate subaccounts (“investment fund subaccounts”), each of which corresponds to an investment fund elected by the Participant. A Participant’s Deferral Account shall be credited as follows:</w:t>
      </w:r>
    </w:p>
    <w:p>
      <w:pPr>
        <w:spacing w:after="0" w:line="158" w:lineRule="exact"/>
        <w:rPr>
          <w:sz w:val="20"/>
          <w:szCs w:val="20"/>
          <w:color w:val="auto"/>
        </w:rPr>
      </w:pPr>
    </w:p>
    <w:p>
      <w:pPr>
        <w:ind w:left="1300" w:hanging="644"/>
        <w:spacing w:after="0" w:line="275" w:lineRule="auto"/>
        <w:tabs>
          <w:tab w:leader="none" w:pos="117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After amounts are withheld and deferred from a Participant’s Base Salary or Bonus, the Company shall credit the investment fund subaccounts of the Participant’s Deferral Account with an amount equal to the amount of Base Salary or Bonus, or both, deferred by the Participant as soon as practicable after the date that the Base Salary or Bonus would have been paid to the Participant, and the portion of the Participant’s deferred Base Salary or Bonus that the Participant has deemed to be invested in a certain type of investment fund shall be credited to the investment fund subaccount corresponding to that investment fund.</w:t>
      </w:r>
    </w:p>
    <w:p>
      <w:pPr>
        <w:spacing w:after="0" w:line="176" w:lineRule="exact"/>
        <w:rPr>
          <w:rFonts w:ascii="Arial" w:cs="Arial" w:eastAsia="Arial" w:hAnsi="Arial"/>
          <w:sz w:val="17"/>
          <w:szCs w:val="17"/>
          <w:color w:val="auto"/>
        </w:rPr>
      </w:pPr>
    </w:p>
    <w:p>
      <w:pPr>
        <w:ind w:left="1300" w:hanging="644"/>
        <w:spacing w:after="0" w:line="259" w:lineRule="auto"/>
        <w:tabs>
          <w:tab w:leader="none" w:pos="10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credit the Participant with an amount equal to the Annual Company Contribution Amount, if any, for that Participant, on the date or dates to be determined by the Board in its sole discretion, and the portion of the Participant’s Annual Company Contribution Amount that the Participant has deemed to be invested in a certain type of investment fund shall be credited to the investment fund subaccount corresponding to that investment fund.</w:t>
      </w:r>
    </w:p>
    <w:p>
      <w:pPr>
        <w:spacing w:after="0" w:line="186" w:lineRule="exact"/>
        <w:rPr>
          <w:rFonts w:ascii="Arial" w:cs="Arial" w:eastAsia="Arial" w:hAnsi="Arial"/>
          <w:sz w:val="18"/>
          <w:szCs w:val="18"/>
          <w:color w:val="auto"/>
        </w:rPr>
      </w:pPr>
    </w:p>
    <w:p>
      <w:pPr>
        <w:ind w:left="1300" w:hanging="644"/>
        <w:spacing w:after="0" w:line="311" w:lineRule="auto"/>
        <w:tabs>
          <w:tab w:leader="none" w:pos="10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business day, each of the Participant’s investment fund subaccounts shall be credited with earnings or losses in an amount equal to that determined by multiplying the balance credited to such investment fund subaccount as of the prior day plus contributions allocated to the investment fund subaccount that day by the rate of net gain or loss for the corresponding investment fund for that day.</w:t>
      </w:r>
    </w:p>
    <w:p>
      <w:pPr>
        <w:spacing w:after="0" w:line="148" w:lineRule="exact"/>
        <w:rPr>
          <w:rFonts w:ascii="Arial" w:cs="Arial" w:eastAsia="Arial" w:hAnsi="Arial"/>
          <w:sz w:val="16"/>
          <w:szCs w:val="16"/>
          <w:color w:val="auto"/>
        </w:rPr>
      </w:pPr>
    </w:p>
    <w:p>
      <w:pPr>
        <w:ind w:left="1300" w:hanging="644"/>
        <w:spacing w:after="0" w:line="277"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the Participant’s investment fund subaccounts shall be reduced pro rata by the amount of any distributions made to the Participant, as of the date of the distribution.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b w:val="1"/>
          <w:bCs w:val="1"/>
          <w:u w:val="single" w:color="auto"/>
          <w:color w:val="auto"/>
        </w:rPr>
        <w:t>Investment Elections</w:t>
      </w:r>
      <w:r>
        <w:rPr>
          <w:rFonts w:ascii="Arial" w:cs="Arial" w:eastAsia="Arial" w:hAnsi="Arial"/>
          <w:sz w:val="15"/>
          <w:szCs w:val="15"/>
          <w:color w:val="auto"/>
        </w:rPr>
        <w:t>.</w:t>
      </w:r>
    </w:p>
    <w:p>
      <w:pPr>
        <w:spacing w:after="0" w:line="229" w:lineRule="exact"/>
        <w:rPr>
          <w:sz w:val="20"/>
          <w:szCs w:val="20"/>
          <w:color w:val="auto"/>
        </w:rPr>
      </w:pPr>
    </w:p>
    <w:p>
      <w:pPr>
        <w:ind w:left="1300" w:hanging="644"/>
        <w:spacing w:after="0" w:line="277" w:lineRule="auto"/>
        <w:tabs>
          <w:tab w:leader="none" w:pos="10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Board shall select from time to time, in its sole and absolute discretion, commercially available investment funds to be used to determine the amount of earnings or losses to be credited to the Participant’s Accounts.</w:t>
      </w:r>
    </w:p>
    <w:p>
      <w:pPr>
        <w:spacing w:after="0" w:line="170" w:lineRule="exact"/>
        <w:rPr>
          <w:rFonts w:ascii="Arial" w:cs="Arial" w:eastAsia="Arial" w:hAnsi="Arial"/>
          <w:sz w:val="18"/>
          <w:szCs w:val="18"/>
          <w:color w:val="auto"/>
        </w:rPr>
      </w:pPr>
    </w:p>
    <w:p>
      <w:pPr>
        <w:ind w:left="1300" w:hanging="644"/>
        <w:spacing w:after="0" w:line="272" w:lineRule="auto"/>
        <w:tabs>
          <w:tab w:leader="none" w:pos="1088" w:val="left"/>
        </w:tabs>
        <w:numPr>
          <w:ilvl w:val="0"/>
          <w:numId w:val="36"/>
        </w:numPr>
        <w:rPr>
          <w:rFonts w:ascii="Arial" w:cs="Arial" w:eastAsia="Arial" w:hAnsi="Arial"/>
          <w:sz w:val="17"/>
          <w:szCs w:val="17"/>
          <w:color w:val="auto"/>
        </w:rPr>
      </w:pPr>
      <w:r>
        <w:rPr>
          <w:rFonts w:ascii="Arial" w:cs="Arial" w:eastAsia="Arial" w:hAnsi="Arial"/>
          <w:sz w:val="17"/>
          <w:szCs w:val="17"/>
          <w:color w:val="auto"/>
        </w:rPr>
        <w:t>At the time of making a Deferral Election, a Participant shall designate, on the Election Form, the investment fund or funds in which the Participant’s Deferral Account attributable to deferrals of Base Salary or Bonus, or both, and the Participant’s Company Contribution Account attributable to the Annual Company Contribution Amount, if any, for the Plan Year to which the deferral election relates will be deemed to be invested for purposes of determining the amount of earnings or losses to be allocated to that Account. The Participant may specify the deemed investment, in whole percentage increments, in one or more of the investment Funds as communicated from time to time by the Board. Effective as of any business day, a Participant may change this investment designation by filing a change of election and making a new designation as designated by the Board.</w:t>
      </w:r>
    </w:p>
    <w:p>
      <w:pPr>
        <w:spacing w:after="0" w:line="177" w:lineRule="exact"/>
        <w:rPr>
          <w:rFonts w:ascii="Arial" w:cs="Arial" w:eastAsia="Arial" w:hAnsi="Arial"/>
          <w:sz w:val="17"/>
          <w:szCs w:val="17"/>
          <w:color w:val="auto"/>
        </w:rPr>
      </w:pPr>
    </w:p>
    <w:p>
      <w:pPr>
        <w:jc w:val="right"/>
        <w:ind w:left="1300" w:hanging="644"/>
        <w:spacing w:after="0" w:line="296"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Notwithstanding any other provision of the Plan that may be interpreted to the contrary, the investment funds selected by the Board or designation of investment funds by a Participant shall not be considered or construed in any manner as an actual investment of the Participant’s Account Balance in any such investment fund. In the event that the Company or the Trustee, in its sole and absolute discretion, shall invest funds in any or all of the selected investment funds, no Participant shall have any rights in or to such investments. Without limiting the foregoing, a Participant’s Account Balance shall at all times be a bookkeeping entry only and shall not represent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012" w:right="339" w:bottom="1440" w:gutter="0" w:footer="0" w:header="0"/>
        </w:sectPr>
      </w:pPr>
    </w:p>
    <w:bookmarkStart w:id="100" w:name="page101"/>
    <w:bookmarkEnd w:id="100"/>
    <w:p>
      <w:pPr>
        <w:ind w:left="1300"/>
        <w:spacing w:after="0" w:line="277" w:lineRule="auto"/>
        <w:rPr>
          <w:sz w:val="20"/>
          <w:szCs w:val="20"/>
          <w:color w:val="auto"/>
        </w:rPr>
      </w:pPr>
      <w:r>
        <w:rPr>
          <w:rFonts w:ascii="Arial" w:cs="Arial" w:eastAsia="Arial" w:hAnsi="Arial"/>
          <w:sz w:val="18"/>
          <w:szCs w:val="18"/>
          <w:color w:val="auto"/>
        </w:rPr>
        <w:t>investment made on his or her behalf by the Company or the Trust; the Participant shall remain at all times an unsecured creditor of the Company.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u w:val="single" w:color="auto"/>
          <w:color w:val="auto"/>
        </w:rPr>
        <w:t>FICA and Other Taxes</w:t>
      </w:r>
      <w:r>
        <w:rPr>
          <w:rFonts w:ascii="Arial" w:cs="Arial" w:eastAsia="Arial" w:hAnsi="Arial"/>
          <w:sz w:val="16"/>
          <w:szCs w:val="16"/>
          <w:color w:val="auto"/>
        </w:rPr>
        <w:t>.</w:t>
      </w:r>
    </w:p>
    <w:p>
      <w:pPr>
        <w:spacing w:after="0" w:line="225" w:lineRule="exact"/>
        <w:rPr>
          <w:sz w:val="20"/>
          <w:szCs w:val="20"/>
          <w:color w:val="auto"/>
        </w:rPr>
      </w:pPr>
    </w:p>
    <w:p>
      <w:pPr>
        <w:jc w:val="both"/>
        <w:ind w:left="1300" w:hanging="644"/>
        <w:spacing w:after="0" w:line="261" w:lineRule="auto"/>
        <w:tabs>
          <w:tab w:leader="none" w:pos="1297"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Amounts</w:t>
      </w:r>
      <w:r>
        <w:rPr>
          <w:rFonts w:ascii="Arial" w:cs="Arial" w:eastAsia="Arial" w:hAnsi="Arial"/>
          <w:sz w:val="18"/>
          <w:szCs w:val="18"/>
          <w:color w:val="auto"/>
        </w:rPr>
        <w:t>. For each Plan Year in which a Deferral Amount is being withheld from a Participant, the Company shall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from that portion of the Participant’s Base Salary and Bonus that is not being deferred, in a manner determined by the Company, the Participant’s share of FICA and other employment taxes on such Deferral Amount. If necessary, the Board may reduce the Deferral Amount in order to comply with this Section 3.6(a).</w:t>
      </w:r>
    </w:p>
    <w:p>
      <w:pPr>
        <w:spacing w:after="0" w:line="179" w:lineRule="exact"/>
        <w:rPr>
          <w:rFonts w:ascii="Arial" w:cs="Arial" w:eastAsia="Arial" w:hAnsi="Arial"/>
          <w:sz w:val="18"/>
          <w:szCs w:val="18"/>
          <w:color w:val="auto"/>
        </w:rPr>
      </w:pPr>
    </w:p>
    <w:p>
      <w:pPr>
        <w:jc w:val="both"/>
        <w:ind w:left="1300" w:hanging="644"/>
        <w:spacing w:after="0" w:line="261" w:lineRule="auto"/>
        <w:tabs>
          <w:tab w:leader="none" w:pos="1294"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 Contribution Amounts</w:t>
      </w:r>
      <w:r>
        <w:rPr>
          <w:rFonts w:ascii="Arial" w:cs="Arial" w:eastAsia="Arial" w:hAnsi="Arial"/>
          <w:sz w:val="18"/>
          <w:szCs w:val="18"/>
          <w:color w:val="auto"/>
        </w:rPr>
        <w:t>. When a Participant becomes vested in a portion of his or her Company Contribution Account,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withhold from the Participant’s Base Salary and/or Bonus that is not deferred, in a manner determined by the Company, the Participant’s share of FICA and other employment taxes. If necessary, the Board may reduce the vested portion of the Participant’s Company Contribution Account in order to comply with this Section 3.6(b).</w:t>
      </w:r>
    </w:p>
    <w:p>
      <w:pPr>
        <w:spacing w:after="0" w:line="179" w:lineRule="exact"/>
        <w:rPr>
          <w:rFonts w:ascii="Arial" w:cs="Arial" w:eastAsia="Arial" w:hAnsi="Arial"/>
          <w:sz w:val="18"/>
          <w:szCs w:val="18"/>
          <w:color w:val="auto"/>
        </w:rPr>
      </w:pPr>
    </w:p>
    <w:p>
      <w:pPr>
        <w:jc w:val="both"/>
        <w:ind w:left="1300" w:hanging="644"/>
        <w:spacing w:after="0" w:line="261" w:lineRule="auto"/>
        <w:tabs>
          <w:tab w:leader="none" w:pos="1297"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Distributions</w:t>
      </w:r>
      <w:r>
        <w:rPr>
          <w:rFonts w:ascii="Arial" w:cs="Arial" w:eastAsia="Arial" w:hAnsi="Arial"/>
          <w:sz w:val="18"/>
          <w:szCs w:val="18"/>
          <w:color w:val="auto"/>
        </w:rPr>
        <w:t>. The Company, or the trustee of the Trust, shall withhold from any payments made to a Participant under the Plan all</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and local income, employment and other taxes required to be withheld by the Company, or the trustee of the Trust, in connection with such payments, in amounts and in a manner to be determined in the sole discretion of the Company and the trustee of the Trust.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Article 4</w:t>
            </w:r>
          </w:p>
        </w:tc>
        <w:tc>
          <w:tcPr>
            <w:tcW w:w="17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4"/>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6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0"/>
              </w:rPr>
              <w:t>Short-Term Payout; In-Service Distributions; Unforeseeable Emergencies</w:t>
            </w:r>
          </w:p>
        </w:tc>
        <w:tc>
          <w:tcPr>
            <w:tcW w:w="2780" w:type="dxa"/>
            <w:vAlign w:val="bottom"/>
          </w:tcPr>
          <w:p>
            <w:pPr>
              <w:spacing w:after="0"/>
              <w:rPr>
                <w:sz w:val="16"/>
                <w:szCs w:val="16"/>
                <w:color w:val="auto"/>
              </w:rPr>
            </w:pPr>
          </w:p>
        </w:tc>
      </w:tr>
      <w:tr>
        <w:trPr>
          <w:trHeight w:val="358"/>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4"/>
                <w:szCs w:val="24"/>
                <w:color w:val="auto"/>
              </w:rPr>
            </w:pPr>
          </w:p>
        </w:tc>
        <w:tc>
          <w:tcPr>
            <w:tcW w:w="10580" w:type="dxa"/>
            <w:vAlign w:val="bottom"/>
            <w:gridSpan w:val="7"/>
          </w:tcPr>
          <w:p>
            <w:pPr>
              <w:spacing w:after="0"/>
              <w:rPr>
                <w:sz w:val="20"/>
                <w:szCs w:val="20"/>
                <w:color w:val="auto"/>
              </w:rPr>
            </w:pPr>
            <w:r>
              <w:rPr>
                <w:rFonts w:ascii="Arial" w:cs="Arial" w:eastAsia="Arial" w:hAnsi="Arial"/>
                <w:sz w:val="18"/>
                <w:szCs w:val="18"/>
                <w:b w:val="1"/>
                <w:bCs w:val="1"/>
                <w:color w:val="auto"/>
                <w:w w:val="94"/>
              </w:rPr>
              <w:t>Short-Term Payout</w:t>
            </w:r>
            <w:r>
              <w:rPr>
                <w:rFonts w:ascii="Arial" w:cs="Arial" w:eastAsia="Arial" w:hAnsi="Arial"/>
                <w:sz w:val="18"/>
                <w:szCs w:val="18"/>
                <w:color w:val="auto"/>
                <w:w w:val="94"/>
              </w:rPr>
              <w:t>. In connection with each election to defer a Deferral Amount, a Participant may irrevocably elect to receive a Short-Term</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80" w:type="dxa"/>
            <w:vAlign w:val="bottom"/>
            <w:gridSpan w:val="7"/>
          </w:tcPr>
          <w:p>
            <w:pPr>
              <w:spacing w:after="0"/>
              <w:rPr>
                <w:sz w:val="20"/>
                <w:szCs w:val="20"/>
                <w:color w:val="auto"/>
              </w:rPr>
            </w:pPr>
            <w:r>
              <w:rPr>
                <w:rFonts w:ascii="Arial" w:cs="Arial" w:eastAsia="Arial" w:hAnsi="Arial"/>
                <w:sz w:val="18"/>
                <w:szCs w:val="18"/>
                <w:color w:val="auto"/>
                <w:w w:val="91"/>
              </w:rPr>
              <w:t>Payout from the Plan with respect to all or a portion of such Deferral Amount. The Short-Term Payout shall be a lump sum payment in an amount</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80" w:type="dxa"/>
            <w:vAlign w:val="bottom"/>
            <w:gridSpan w:val="7"/>
          </w:tcPr>
          <w:p>
            <w:pPr>
              <w:spacing w:after="0"/>
              <w:rPr>
                <w:sz w:val="20"/>
                <w:szCs w:val="20"/>
                <w:color w:val="auto"/>
              </w:rPr>
            </w:pPr>
            <w:r>
              <w:rPr>
                <w:rFonts w:ascii="Arial" w:cs="Arial" w:eastAsia="Arial" w:hAnsi="Arial"/>
                <w:sz w:val="18"/>
                <w:szCs w:val="18"/>
                <w:color w:val="auto"/>
                <w:w w:val="90"/>
              </w:rPr>
              <w:t>that is equal to the portion of the Deferral Amount that the Participant elected to have distributed as a Short-Term Payout, plus amounts credited or</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80" w:type="dxa"/>
            <w:vAlign w:val="bottom"/>
            <w:gridSpan w:val="7"/>
          </w:tcPr>
          <w:p>
            <w:pPr>
              <w:spacing w:after="0"/>
              <w:rPr>
                <w:sz w:val="20"/>
                <w:szCs w:val="20"/>
                <w:color w:val="auto"/>
              </w:rPr>
            </w:pPr>
            <w:r>
              <w:rPr>
                <w:rFonts w:ascii="Arial" w:cs="Arial" w:eastAsia="Arial" w:hAnsi="Arial"/>
                <w:sz w:val="18"/>
                <w:szCs w:val="18"/>
                <w:color w:val="auto"/>
                <w:w w:val="93"/>
              </w:rPr>
              <w:t>debited in the manner provided in Section 3.5 above on that amount, calculated as of the close of business on or around the date on which the</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80" w:type="dxa"/>
            <w:vAlign w:val="bottom"/>
            <w:gridSpan w:val="7"/>
          </w:tcPr>
          <w:p>
            <w:pPr>
              <w:spacing w:after="0"/>
              <w:rPr>
                <w:sz w:val="20"/>
                <w:szCs w:val="20"/>
                <w:color w:val="auto"/>
              </w:rPr>
            </w:pPr>
            <w:r>
              <w:rPr>
                <w:rFonts w:ascii="Arial" w:cs="Arial" w:eastAsia="Arial" w:hAnsi="Arial"/>
                <w:sz w:val="18"/>
                <w:szCs w:val="18"/>
                <w:color w:val="auto"/>
                <w:w w:val="89"/>
              </w:rPr>
              <w:t>Short-Term Payout becomes payable, as determined by the Board in its sole discretion. Subject to the terms and conditions of the Plan, each Short-</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80" w:type="dxa"/>
            <w:vAlign w:val="bottom"/>
            <w:gridSpan w:val="7"/>
          </w:tcPr>
          <w:p>
            <w:pPr>
              <w:spacing w:after="0"/>
              <w:rPr>
                <w:sz w:val="20"/>
                <w:szCs w:val="20"/>
                <w:color w:val="auto"/>
              </w:rPr>
            </w:pPr>
            <w:r>
              <w:rPr>
                <w:rFonts w:ascii="Arial" w:cs="Arial" w:eastAsia="Arial" w:hAnsi="Arial"/>
                <w:sz w:val="18"/>
                <w:szCs w:val="18"/>
                <w:color w:val="auto"/>
                <w:w w:val="92"/>
              </w:rPr>
              <w:t>Term Payout elected shall be paid out during a sixty (60) day period commencing immediately after the last day of any Plan Year designated by</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80" w:type="dxa"/>
            <w:vAlign w:val="bottom"/>
            <w:gridSpan w:val="7"/>
          </w:tcPr>
          <w:p>
            <w:pPr>
              <w:spacing w:after="0"/>
              <w:rPr>
                <w:sz w:val="20"/>
                <w:szCs w:val="20"/>
                <w:color w:val="auto"/>
              </w:rPr>
            </w:pPr>
            <w:r>
              <w:rPr>
                <w:rFonts w:ascii="Arial" w:cs="Arial" w:eastAsia="Arial" w:hAnsi="Arial"/>
                <w:sz w:val="18"/>
                <w:szCs w:val="18"/>
                <w:color w:val="auto"/>
                <w:w w:val="91"/>
              </w:rPr>
              <w:t>the Participant. The Plan Year designated by the Participant must be at least five (5) Plan Years after the Plan Year in which the Deferral Amount</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80" w:type="dxa"/>
            <w:vAlign w:val="bottom"/>
            <w:gridSpan w:val="7"/>
          </w:tcPr>
          <w:p>
            <w:pPr>
              <w:spacing w:after="0"/>
              <w:rPr>
                <w:sz w:val="20"/>
                <w:szCs w:val="20"/>
                <w:color w:val="auto"/>
              </w:rPr>
            </w:pPr>
            <w:r>
              <w:rPr>
                <w:rFonts w:ascii="Arial" w:cs="Arial" w:eastAsia="Arial" w:hAnsi="Arial"/>
                <w:sz w:val="18"/>
                <w:szCs w:val="18"/>
                <w:color w:val="auto"/>
                <w:w w:val="95"/>
              </w:rPr>
              <w:t>is actually deferred. As an example, if a Short-Term Payout is elected for Deferral Amounts that are deferred in the Plan Year commencing</w:t>
            </w:r>
          </w:p>
        </w:tc>
      </w:tr>
      <w:tr>
        <w:trPr>
          <w:trHeight w:val="230"/>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80" w:type="dxa"/>
            <w:vAlign w:val="bottom"/>
            <w:gridSpan w:val="7"/>
          </w:tcPr>
          <w:p>
            <w:pPr>
              <w:spacing w:after="0"/>
              <w:rPr>
                <w:sz w:val="20"/>
                <w:szCs w:val="20"/>
                <w:color w:val="auto"/>
              </w:rPr>
            </w:pPr>
            <w:r>
              <w:rPr>
                <w:rFonts w:ascii="Arial" w:cs="Arial" w:eastAsia="Arial" w:hAnsi="Arial"/>
                <w:sz w:val="18"/>
                <w:szCs w:val="18"/>
                <w:color w:val="auto"/>
              </w:rPr>
              <w:t>January 1, 2005, the Short-Term Payout would become payable during a sixty (60) day period commencing January 1, 2011.</w:t>
            </w:r>
          </w:p>
        </w:tc>
      </w:tr>
      <w:tr>
        <w:trPr>
          <w:trHeight w:val="391"/>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4"/>
                <w:szCs w:val="24"/>
                <w:color w:val="auto"/>
              </w:rPr>
            </w:pPr>
          </w:p>
        </w:tc>
        <w:tc>
          <w:tcPr>
            <w:tcW w:w="10580" w:type="dxa"/>
            <w:vAlign w:val="bottom"/>
            <w:gridSpan w:val="7"/>
          </w:tcPr>
          <w:p>
            <w:pPr>
              <w:spacing w:after="0"/>
              <w:rPr>
                <w:sz w:val="20"/>
                <w:szCs w:val="20"/>
                <w:color w:val="auto"/>
              </w:rPr>
            </w:pPr>
            <w:r>
              <w:rPr>
                <w:rFonts w:ascii="Arial" w:cs="Arial" w:eastAsia="Arial" w:hAnsi="Arial"/>
                <w:sz w:val="18"/>
                <w:szCs w:val="18"/>
                <w:b w:val="1"/>
                <w:bCs w:val="1"/>
                <w:color w:val="auto"/>
                <w:w w:val="93"/>
              </w:rPr>
              <w:t>Other Benefits Take Precedence Over Short-Term</w:t>
            </w:r>
            <w:r>
              <w:rPr>
                <w:rFonts w:ascii="Arial" w:cs="Arial" w:eastAsia="Arial" w:hAnsi="Arial"/>
                <w:sz w:val="18"/>
                <w:szCs w:val="18"/>
                <w:color w:val="auto"/>
                <w:w w:val="93"/>
              </w:rPr>
              <w:t>. Should an event occur that triggers a benefit under Article 5, any Deferral Amount, plus</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300" w:type="dxa"/>
            <w:vAlign w:val="bottom"/>
            <w:gridSpan w:val="2"/>
            <w:shd w:val="clear" w:color="auto" w:fill="000000"/>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80" w:type="dxa"/>
            <w:vAlign w:val="bottom"/>
            <w:gridSpan w:val="7"/>
          </w:tcPr>
          <w:p>
            <w:pPr>
              <w:spacing w:after="0"/>
              <w:rPr>
                <w:sz w:val="20"/>
                <w:szCs w:val="20"/>
                <w:color w:val="auto"/>
              </w:rPr>
            </w:pPr>
            <w:r>
              <w:rPr>
                <w:rFonts w:ascii="Arial" w:cs="Arial" w:eastAsia="Arial" w:hAnsi="Arial"/>
                <w:sz w:val="18"/>
                <w:szCs w:val="18"/>
                <w:color w:val="auto"/>
                <w:w w:val="95"/>
              </w:rPr>
              <w:t>amounts credited or debited thereon, that is subject to a Short-Term Payout election under Section 4.1 shall not be paid in accordance with</w:t>
            </w:r>
          </w:p>
        </w:tc>
      </w:tr>
      <w:tr>
        <w:trPr>
          <w:trHeight w:val="230"/>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40" w:type="dxa"/>
            <w:vAlign w:val="bottom"/>
            <w:gridSpan w:val="5"/>
          </w:tcPr>
          <w:p>
            <w:pPr>
              <w:spacing w:after="0"/>
              <w:rPr>
                <w:sz w:val="20"/>
                <w:szCs w:val="20"/>
                <w:color w:val="auto"/>
              </w:rPr>
            </w:pPr>
            <w:r>
              <w:rPr>
                <w:rFonts w:ascii="Arial" w:cs="Arial" w:eastAsia="Arial" w:hAnsi="Arial"/>
                <w:sz w:val="18"/>
                <w:szCs w:val="18"/>
                <w:color w:val="auto"/>
              </w:rPr>
              <w:t>Section 4.1 but shall be paid in accordance with Article 5.</w:t>
            </w:r>
          </w:p>
        </w:tc>
        <w:tc>
          <w:tcPr>
            <w:tcW w:w="17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392"/>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4.3</w:t>
            </w:r>
          </w:p>
        </w:tc>
        <w:tc>
          <w:tcPr>
            <w:tcW w:w="6280" w:type="dxa"/>
            <w:vAlign w:val="bottom"/>
            <w:gridSpan w:val="6"/>
          </w:tcPr>
          <w:p>
            <w:pPr>
              <w:spacing w:after="0"/>
              <w:rPr>
                <w:sz w:val="20"/>
                <w:szCs w:val="20"/>
                <w:color w:val="auto"/>
              </w:rPr>
            </w:pPr>
            <w:r>
              <w:rPr>
                <w:rFonts w:ascii="Arial" w:cs="Arial" w:eastAsia="Arial" w:hAnsi="Arial"/>
                <w:sz w:val="18"/>
                <w:szCs w:val="18"/>
                <w:b w:val="1"/>
                <w:bCs w:val="1"/>
                <w:color w:val="auto"/>
                <w:w w:val="93"/>
              </w:rPr>
              <w:t>In-Service Distributions</w:t>
            </w:r>
            <w:r>
              <w:rPr>
                <w:rFonts w:ascii="Arial" w:cs="Arial" w:eastAsia="Arial" w:hAnsi="Arial"/>
                <w:sz w:val="18"/>
                <w:szCs w:val="18"/>
                <w:color w:val="auto"/>
                <w:w w:val="93"/>
              </w:rPr>
              <w:t>. Effective for the 2010 and 2011 Plan Years, a Participant,</w:t>
            </w: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w w:val="92"/>
              </w:rPr>
              <w:t>in connection with his or her participation in the Plan, could</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elect on an Election Form the month and year of distribution of the Deferral Amount allocated to that Class Year’s In-Service Account. The Participant was allowed to make unique Distribution Elections for the Base Salary and Bonus Deferral Amounts allocated to In-Service Accounts established for the 2010 and 2011 plan Years.</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Effective with the Plan Year beginning January 1, 2012, a participant may elect on an Election Form the month and year of distribution of each In-Service Account established. The Participant can make unique Distribution Elections for each established In-Service Account. The earliest permitted distribution date must be three (3) Plan Years from the Plan Year in which the In-Service Account is established.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016" w:right="3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example, for an In-Service Account established in 2012, the earliest distribution date would be January 2015.</w:t>
      </w:r>
    </w:p>
    <w:p>
      <w:pPr>
        <w:spacing w:after="0" w:line="225"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For all In-Service Accounts, the Participant may elect payment in a lump sum or pursuant to an Annual Installment Method not to exceed 10 years. If a Participant elects to direct Deferral Amounts to a new In-Service Account but does not indicate the year in which the payment is made, then it will be assumed that no In-Service election was made for that portion of the Deferral Amount allocated to that In-Service Account and all such deferrals will be directed to the Retirement Account, In addition, if a Participant makes an election to allocate deferrals to an In-Service Account and specifies a distribution date but fails to elect a form of payment, the distribution election will be assumed to be a Lump Sum. The lump sum payment shall be made or the installments shall commence within 60 days following the payment date elected by the Participant.</w:t>
      </w:r>
    </w:p>
    <w:p>
      <w:pPr>
        <w:spacing w:after="0" w:line="164" w:lineRule="exact"/>
        <w:rPr>
          <w:sz w:val="20"/>
          <w:szCs w:val="20"/>
          <w:color w:val="auto"/>
        </w:rPr>
      </w:pPr>
    </w:p>
    <w:p>
      <w:pPr>
        <w:jc w:val="both"/>
        <w:ind w:left="660"/>
        <w:spacing w:after="0" w:line="260" w:lineRule="auto"/>
        <w:rPr>
          <w:sz w:val="20"/>
          <w:szCs w:val="20"/>
          <w:color w:val="auto"/>
        </w:rPr>
      </w:pPr>
      <w:r>
        <w:rPr>
          <w:rFonts w:ascii="Arial" w:cs="Arial" w:eastAsia="Arial" w:hAnsi="Arial"/>
          <w:sz w:val="17"/>
          <w:szCs w:val="17"/>
          <w:color w:val="auto"/>
        </w:rPr>
        <w:t>If Termination of Employment for any reason, other than death, occurs prior to the year selected for the In-Service Distribution or prior to the complete payment of an In-Service Account in the process of being distributed in the form of an Annual Installment Method, then any remaining amount in the In-Service Account shall be paid to the Participant in accordance with the election made for the Retirement Account as outlined in section 5.1. If no Retirement Account is in effect for the associated Class Years of 2010 and 2011 or for Plan Years beginning in 2012, then payment will be made in a lump sum as soon as practicable following Termination of Employment but in no event later than the later of the end of Participant’s tax year or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calendar month following the month of termination of employment. As an example, the Participant elected to have 100% of 2012 and subsequent Deferral Amounts directed to In-Service Accounts. He terminates employment on November 1, 2015. Payment will not be made in accordance with the Elections made for the In-Service Accounts but rather in a lump sum no later than February 15, 2016.</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Termination of Employment occurs as a result of death, payment will be made in accordance with either Section 5.3 or 5.4.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 event will any Company Contribution Amount be available for an In-Service distribution.</w:t>
      </w:r>
    </w:p>
    <w:p>
      <w:pPr>
        <w:spacing w:after="0" w:line="221" w:lineRule="exact"/>
        <w:rPr>
          <w:sz w:val="20"/>
          <w:szCs w:val="20"/>
          <w:color w:val="auto"/>
        </w:rPr>
      </w:pPr>
    </w:p>
    <w:p>
      <w:pPr>
        <w:ind w:left="660" w:hanging="647"/>
        <w:spacing w:after="0" w:line="282"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b w:val="1"/>
          <w:bCs w:val="1"/>
          <w:u w:val="single" w:color="auto"/>
          <w:color w:val="auto"/>
        </w:rPr>
        <w:t>Change in Time or Form of Payment for In-Service Distribution</w:t>
      </w:r>
      <w:r>
        <w:rPr>
          <w:rFonts w:ascii="Arial" w:cs="Arial" w:eastAsia="Arial" w:hAnsi="Arial"/>
          <w:sz w:val="18"/>
          <w:szCs w:val="18"/>
          <w:color w:val="auto"/>
        </w:rPr>
        <w:t>. Notwithstanding the methods of payment, the Participant may elect to</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change the time of such payment under a subsequent election that meets the following requirements:</w:t>
      </w:r>
    </w:p>
    <w:p>
      <w:pPr>
        <w:spacing w:after="0" w:line="166" w:lineRule="exact"/>
        <w:rPr>
          <w:sz w:val="20"/>
          <w:szCs w:val="20"/>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subsequent election may not take effect until at least 12 months after the date on which the subsequent election is made.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subsequent election is made not less than 12 months prior to the date of the scheduled payment.</w:t>
      </w:r>
    </w:p>
    <w:p>
      <w:pPr>
        <w:spacing w:after="0" w:line="225" w:lineRule="exact"/>
        <w:rPr>
          <w:rFonts w:ascii="Arial" w:cs="Arial" w:eastAsia="Arial" w:hAnsi="Arial"/>
          <w:sz w:val="18"/>
          <w:szCs w:val="18"/>
          <w:color w:val="auto"/>
        </w:rPr>
      </w:pPr>
    </w:p>
    <w:p>
      <w:pPr>
        <w:ind w:left="1300" w:hanging="644"/>
        <w:spacing w:after="0" w:line="277" w:lineRule="auto"/>
        <w:tabs>
          <w:tab w:leader="none" w:pos="10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payment with respect to which the subsequent election is made must be deferred for a period of not less than five years from the date such payment would otherwise have been made.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subsequent election may not accelerate the time of any payment.</w:t>
      </w:r>
    </w:p>
    <w:p>
      <w:pPr>
        <w:spacing w:after="0" w:line="221"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b w:val="1"/>
          <w:bCs w:val="1"/>
          <w:u w:val="single" w:color="auto"/>
          <w:color w:val="auto"/>
        </w:rPr>
        <w:t>Payout/Suspensions for Unforeseeable Emergencies</w:t>
      </w:r>
      <w:r>
        <w:rPr>
          <w:rFonts w:ascii="Arial" w:cs="Arial" w:eastAsia="Arial" w:hAnsi="Arial"/>
          <w:sz w:val="18"/>
          <w:szCs w:val="18"/>
          <w:color w:val="auto"/>
        </w:rPr>
        <w:t>. If the Participant experiences an Unforeseeable Emergency, the Participant may petition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Board to receive a partial or full payout from the Plan attributable to Deferral Amounts. Company Contribution Amounts are not available for Unforeseeable Emergencies. Any payout will be made starting with the most recently completed Class Year and from that Class Year’s In-Service Account, if any, and progressing to each preceding Class Year as necessary. The Retirement Accounts will be used only upon exhausting all completed prior Class Year In-Service Accounts.</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an example, if a request for an Unforeseeable Emergency is made in 2012 and 2010 was the initial Class Year for the Participant; payment will come from the 2011 Class Year’s In-Service Account.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016" w:right="339" w:bottom="1440" w:gutter="0" w:footer="0" w:header="0"/>
        </w:sectPr>
      </w:pPr>
    </w:p>
    <w:bookmarkStart w:id="102" w:name="page103"/>
    <w:bookmarkEnd w:id="102"/>
    <w:p>
      <w:pPr>
        <w:jc w:val="both"/>
        <w:ind w:left="660"/>
        <w:spacing w:after="0" w:line="279" w:lineRule="auto"/>
        <w:rPr>
          <w:sz w:val="20"/>
          <w:szCs w:val="20"/>
          <w:color w:val="auto"/>
        </w:rPr>
      </w:pPr>
      <w:r>
        <w:rPr>
          <w:rFonts w:ascii="Arial" w:cs="Arial" w:eastAsia="Arial" w:hAnsi="Arial"/>
          <w:sz w:val="17"/>
          <w:szCs w:val="17"/>
          <w:color w:val="auto"/>
        </w:rPr>
        <w:t>the 2011 Class Year’s In-Service Account is insufficient, additional amounts will come from the 2010 Class Year’s In-Service Account. If the previously completed Class Year’s In-Service Accounts are insufficient or if none exist, then the payout or any remaining amount needed shall come from the 2011 Class Year’s Retirement Account and then from the 2010 Class Year’s Retirement Account. Only when all prior Class Years have been exhausted will the payout tap the 2012 Class Year and then from the In-Service Account first.</w:t>
      </w:r>
    </w:p>
    <w:p>
      <w:pPr>
        <w:spacing w:after="0" w:line="17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payout shall not exceed the lesser of the Participant’s Account Balance, calculated as if such Participant were receiving a Termination Benefit, or the amount reasonably needed to satisfy the Unforeseeable Emergency plus amounts necessary to pay taxes reasonably anticipated as a result of the payout, after taking into account the extent to which such Unforeseeable Emergency is or may be relieved through reimbursement or compensation by insurance or otherwise or by liquidation of the Participant’s assets (to the extent such liquidation would not itself cause severe financial hardship).</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If the Participant experiences an Unforeseeable Emergency, the Participant may request a suspension of Deferral Amounts. In that case, the suspension will apply for the entire Plan Year in which the request is made and deferrals to be made for the remainder of the Plan Year will be canceled.</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If, subject to the sole discretion of the Board, the petition for a suspension and/or payout is approved, suspension shall take effect upon the date of approval and any payout shall be made within 60 days of the date of approval.</w:t>
      </w:r>
    </w:p>
    <w:p>
      <w:pPr>
        <w:spacing w:after="0" w:line="16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b w:val="1"/>
          <w:bCs w:val="1"/>
          <w:u w:val="single" w:color="auto"/>
          <w:color w:val="auto"/>
        </w:rPr>
        <w:t>Benefits</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Retirement Benefit</w:t>
      </w:r>
      <w:r>
        <w:rPr>
          <w:rFonts w:ascii="Arial" w:cs="Arial" w:eastAsia="Arial" w:hAnsi="Arial"/>
          <w:sz w:val="16"/>
          <w:szCs w:val="16"/>
          <w:color w:val="auto"/>
        </w:rPr>
        <w:t>. A Participant who Retires shall receive, as a Retirement Benefit, his or her Account Balance.</w:t>
      </w:r>
    </w:p>
    <w:p>
      <w:pPr>
        <w:spacing w:after="0" w:line="229" w:lineRule="exact"/>
        <w:rPr>
          <w:sz w:val="20"/>
          <w:szCs w:val="20"/>
          <w:color w:val="auto"/>
        </w:rPr>
      </w:pPr>
    </w:p>
    <w:p>
      <w:pPr>
        <w:ind w:left="1300" w:hanging="644"/>
        <w:spacing w:after="0" w:line="263" w:lineRule="auto"/>
        <w:tabs>
          <w:tab w:leader="none" w:pos="11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that portion of his Account attributable to Deferral Amounts and Company Contribution Amounts made before January 1, 2010, a Participant shall receive those amounts in a lump sum payable no later than 60 days after the last day of the Plan Year in which the Participant Retires.</w:t>
      </w:r>
    </w:p>
    <w:p>
      <w:pPr>
        <w:spacing w:after="0" w:line="183" w:lineRule="exact"/>
        <w:rPr>
          <w:rFonts w:ascii="Arial" w:cs="Arial" w:eastAsia="Arial" w:hAnsi="Arial"/>
          <w:sz w:val="18"/>
          <w:szCs w:val="18"/>
          <w:color w:val="auto"/>
        </w:rPr>
      </w:pPr>
    </w:p>
    <w:p>
      <w:pPr>
        <w:ind w:left="1300" w:hanging="644"/>
        <w:spacing w:after="0" w:line="291" w:lineRule="auto"/>
        <w:tabs>
          <w:tab w:leader="none" w:pos="10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 that portion of his Account attributable to Deferral Amounts made for the 2010 and 2011 Plan Years, a Participant, in connection with his or her commencement of participation in the Plan and each subsequent Plan Year shall elect on an Election Form the form of payment with respect to that Class Year’s Deferral Amount. The Participant may elect payment in a lump sum or pursuant to an Annual Installment Method not to exceed 10 years. Thus, separate Retirement Benefit elections may apply to each Class Year but the Participant must make the same Distribution Election for the Base Salary and Bonus Deferral Election made on the Enrollment Form. If a Participant does not make any election with respect to the payment of the Retirement Benefit then such benefit shall be payable in a lump sum. The lump sum payment shall be made, or installment payments shall commence, within 60 days after Retirement.</w:t>
      </w:r>
    </w:p>
    <w:p>
      <w:pPr>
        <w:spacing w:after="0" w:line="166" w:lineRule="exact"/>
        <w:rPr>
          <w:rFonts w:ascii="Arial" w:cs="Arial" w:eastAsia="Arial" w:hAnsi="Arial"/>
          <w:sz w:val="16"/>
          <w:szCs w:val="16"/>
          <w:color w:val="auto"/>
        </w:rPr>
      </w:pPr>
    </w:p>
    <w:p>
      <w:pPr>
        <w:ind w:left="1300" w:hanging="644"/>
        <w:spacing w:after="0" w:line="269" w:lineRule="auto"/>
        <w:tabs>
          <w:tab w:leader="none" w:pos="105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For that portion of his Account attributable to Deferral Amounts made for Plan Years commencing in 2012, 2013 and 2014, a Participant, in connection with his or her commencement of participation in the Plan and each subsequent Plan Year shall elect on an Election Form the form of payment with respect to Deferral Amount allocated to the Retirement Account. The Participant may elect payment in a lump sum or pursuant to an Annual Installment Method not to exceed 10 years. Only one distribution election may apply to Deferral Amounts allocated to the Retirement Account for Plan Years commencing in 2012, 2013 and 2014, and that distribution election will apply to Base Salary and Bonus Deferral Amounts allocated to the Retirement Account for the 2012, 2013 and 2014 Plan Years. If a Participant does not make any election with respect to the payment of the Retirement Benefit for the 2012 Plan Year or, if later, for his or her initial period of eligibility with respect to the 2012, 2013 or 2014 Plan Years, then the distribution election with respect to Base Salary and Bonus Deferral Amounts allocated to the Retirement Account for the 2012, 2013 and 2014 Plan Years shall be deemed to be a lump sum and may only be changed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016" w:right="339" w:bottom="1440" w:gutter="0" w:footer="0" w:header="0"/>
        </w:sectPr>
      </w:pPr>
    </w:p>
    <w:bookmarkStart w:id="103" w:name="page104"/>
    <w:bookmarkEnd w:id="103"/>
    <w:p>
      <w:pPr>
        <w:ind w:left="1300" w:right="20"/>
        <w:spacing w:after="0" w:line="279" w:lineRule="auto"/>
        <w:rPr>
          <w:sz w:val="20"/>
          <w:szCs w:val="20"/>
          <w:color w:val="auto"/>
        </w:rPr>
      </w:pPr>
      <w:r>
        <w:rPr>
          <w:rFonts w:ascii="Arial" w:cs="Arial" w:eastAsia="Arial" w:hAnsi="Arial"/>
          <w:sz w:val="18"/>
          <w:szCs w:val="18"/>
          <w:color w:val="auto"/>
        </w:rPr>
        <w:t>the Participant in accordance with section 5.6. Any lump sum payment shall be made, or installment payments shall commence, in the seventh (7</w:t>
      </w:r>
      <w:r>
        <w:rPr>
          <w:rFonts w:ascii="Arial" w:cs="Arial" w:eastAsia="Arial" w:hAnsi="Arial"/>
          <w:sz w:val="23"/>
          <w:szCs w:val="23"/>
          <w:color w:val="auto"/>
          <w:vertAlign w:val="superscript"/>
        </w:rPr>
        <w:t>th</w:t>
      </w:r>
      <w:r>
        <w:rPr>
          <w:rFonts w:ascii="Arial" w:cs="Arial" w:eastAsia="Arial" w:hAnsi="Arial"/>
          <w:sz w:val="18"/>
          <w:szCs w:val="18"/>
          <w:color w:val="auto"/>
        </w:rPr>
        <w:t>) month following Retirement.</w:t>
      </w:r>
    </w:p>
    <w:p>
      <w:pPr>
        <w:spacing w:after="0" w:line="95" w:lineRule="exact"/>
        <w:rPr>
          <w:sz w:val="20"/>
          <w:szCs w:val="20"/>
          <w:color w:val="auto"/>
        </w:rPr>
      </w:pPr>
    </w:p>
    <w:p>
      <w:pPr>
        <w:ind w:left="1040" w:hanging="384"/>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Company Contribution Amount credited to the Participant shall be paid in a Lump Sum in the seventh (7</w:t>
      </w:r>
      <w:r>
        <w:rPr>
          <w:rFonts w:ascii="Arial" w:cs="Arial" w:eastAsia="Arial" w:hAnsi="Arial"/>
          <w:sz w:val="20"/>
          <w:szCs w:val="20"/>
          <w:color w:val="auto"/>
          <w:vertAlign w:val="superscript"/>
        </w:rPr>
        <w:t>th</w:t>
      </w:r>
      <w:r>
        <w:rPr>
          <w:rFonts w:ascii="Arial" w:cs="Arial" w:eastAsia="Arial" w:hAnsi="Arial"/>
          <w:sz w:val="16"/>
          <w:szCs w:val="16"/>
          <w:color w:val="auto"/>
        </w:rPr>
        <w:t>) month following Retirement.</w:t>
      </w:r>
    </w:p>
    <w:p>
      <w:pPr>
        <w:spacing w:after="0" w:line="207" w:lineRule="exact"/>
        <w:rPr>
          <w:rFonts w:ascii="Arial" w:cs="Arial" w:eastAsia="Arial" w:hAnsi="Arial"/>
          <w:sz w:val="16"/>
          <w:szCs w:val="16"/>
          <w:color w:val="auto"/>
        </w:rPr>
      </w:pPr>
    </w:p>
    <w:p>
      <w:pPr>
        <w:jc w:val="both"/>
        <w:ind w:left="1300" w:hanging="644"/>
        <w:spacing w:after="0" w:line="271" w:lineRule="auto"/>
        <w:tabs>
          <w:tab w:leader="none" w:pos="1297"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that portion of his Account attributable to Deferral Amounts made for the Plan Years beginning after December 31, 2014, a Participant, in connection with his or her commencement of participation in the Plan and each subsequent Plan Year shall elect on an Election Form the form of payment with respect to that Class Year’s Deferral Amount. The Participant may elect payment in a lump sum or pursuant to an Annual Installment Method not to exceed 10 years. Thus, separate Retirement Benefit distribution elections may apply to each Class Year but the Participant must make the same distribution election for the Base Salary and Bonus Deferral Election made on the Enrollment Form for a particular Class Year. If a Participant does not make any distribution election with respect to the payment of the Retirement Benefit then such benefit shall be payable in a lump sum. The lump sum payment shall be made, or installment payments shall commence, within 60 days after Retirement.</w:t>
      </w:r>
    </w:p>
    <w:p>
      <w:pPr>
        <w:spacing w:after="0" w:line="174"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u w:val="single" w:color="auto"/>
          <w:color w:val="auto"/>
        </w:rPr>
        <w:t>Termination Benefit</w:t>
      </w:r>
      <w:r>
        <w:rPr>
          <w:rFonts w:ascii="Arial" w:cs="Arial" w:eastAsia="Arial" w:hAnsi="Arial"/>
          <w:sz w:val="18"/>
          <w:szCs w:val="18"/>
          <w:color w:val="auto"/>
        </w:rPr>
        <w:t>. A Participant who experiences a Termination of Employment prior to Retirement shall receive as a Termination Benefit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his Account Balance attributable to Deferral Amounts and Company Contribution Amounts for Plan Years prior to 2012 in a lump sum payment which shall be made within 60 days of Termination of Employment.</w:t>
      </w:r>
    </w:p>
    <w:p>
      <w:pPr>
        <w:spacing w:after="0" w:line="180"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Commencing with the 2012 Plan Year, a Participant who experiences a Termination of Employment shall receive a Termination Benefit attributable to his Deferral Amounts in the same form as elected for his Retirement Account and such amount shall be made or shall commence, if installment payments were elected, in the seventh (7</w:t>
      </w:r>
      <w:r>
        <w:rPr>
          <w:rFonts w:ascii="Arial" w:cs="Arial" w:eastAsia="Arial" w:hAnsi="Arial"/>
          <w:sz w:val="23"/>
          <w:szCs w:val="23"/>
          <w:color w:val="auto"/>
          <w:vertAlign w:val="superscript"/>
        </w:rPr>
        <w:t>th</w:t>
      </w:r>
      <w:r>
        <w:rPr>
          <w:rFonts w:ascii="Arial" w:cs="Arial" w:eastAsia="Arial" w:hAnsi="Arial"/>
          <w:sz w:val="18"/>
          <w:szCs w:val="18"/>
          <w:color w:val="auto"/>
        </w:rPr>
        <w:t>) month following Termination of Employment. However, any Company Contribution Account shall be paid in a Lump Sum in the seventh (7</w:t>
      </w:r>
      <w:r>
        <w:rPr>
          <w:rFonts w:ascii="Arial" w:cs="Arial" w:eastAsia="Arial" w:hAnsi="Arial"/>
          <w:sz w:val="23"/>
          <w:szCs w:val="23"/>
          <w:color w:val="auto"/>
          <w:vertAlign w:val="superscript"/>
        </w:rPr>
        <w:t>th</w:t>
      </w:r>
      <w:r>
        <w:rPr>
          <w:rFonts w:ascii="Arial" w:cs="Arial" w:eastAsia="Arial" w:hAnsi="Arial"/>
          <w:sz w:val="18"/>
          <w:szCs w:val="18"/>
          <w:color w:val="auto"/>
        </w:rPr>
        <w:t>) month following Termination of Employment.</w:t>
      </w:r>
    </w:p>
    <w:p>
      <w:pPr>
        <w:spacing w:after="0" w:line="1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u w:val="single" w:color="auto"/>
          <w:color w:val="auto"/>
        </w:rPr>
        <w:t>Pre-Retirement and Pre-Termination Death Benefit</w:t>
      </w:r>
      <w:r>
        <w:rPr>
          <w:rFonts w:ascii="Arial" w:cs="Arial" w:eastAsia="Arial" w:hAnsi="Arial"/>
          <w:sz w:val="18"/>
          <w:szCs w:val="18"/>
          <w:color w:val="auto"/>
        </w:rPr>
        <w:t>. The Beneficiary of a Participant who dies prior to Retirement or Termination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Employment shall receive a Death Benefit in the form of a lump sum equal to the then remaining Account Balance, including any Installment Payment currently being distributed. The payment shall be made within sixty (60) days after death, but in no event later than December 31 of the first calendar year following the calendar year during which the death occurs, or such other deadline in compliance with the applicable requirements of Code Section 409A.</w:t>
      </w:r>
    </w:p>
    <w:p>
      <w:pPr>
        <w:spacing w:after="0" w:line="183"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b w:val="1"/>
          <w:bCs w:val="1"/>
          <w:u w:val="single" w:color="auto"/>
          <w:color w:val="auto"/>
        </w:rPr>
        <w:t>Post- Retirement and Post-Termination Death Benefit</w:t>
      </w:r>
      <w:r>
        <w:rPr>
          <w:rFonts w:ascii="Arial" w:cs="Arial" w:eastAsia="Arial" w:hAnsi="Arial"/>
          <w:sz w:val="17"/>
          <w:szCs w:val="17"/>
          <w:color w:val="auto"/>
        </w:rPr>
        <w:t>. If a Participant dies after Retirement or Termination of Employment but before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Account Balance is paid in full, the Participant’s unpaid Account Balance shall be paid to the Beneficiary in a lump sum. The payment shall be made within sixty (60) days after death, but in no event later than December 31 of the first calendar year following the calendar year during which the death occurs, or such other deadline in compliance with the applicable requirements of Code Section 409A.</w:t>
      </w:r>
    </w:p>
    <w:p>
      <w:pPr>
        <w:spacing w:after="0" w:line="16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b w:val="1"/>
          <w:bCs w:val="1"/>
          <w:u w:val="single" w:color="auto"/>
          <w:color w:val="auto"/>
        </w:rPr>
        <w:t>Disability Benefit</w:t>
      </w:r>
      <w:r>
        <w:rPr>
          <w:rFonts w:ascii="Arial" w:cs="Arial" w:eastAsia="Arial" w:hAnsi="Arial"/>
          <w:sz w:val="17"/>
          <w:szCs w:val="17"/>
          <w:color w:val="auto"/>
        </w:rPr>
        <w:t>. A Participant suffering a Disability shall, for benefit purposes under the Plan, be deemed to have experienced a Termination of</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Employment, in which case the Participant shall receive a Disability Benefit equal to his or her Account Balance. The Disability Benefit shall be paid in a lump sum within sixty (60) days of the Participant’s deemed Termination of Employment. However, if a Participant suffers a Disability but has met the requirements to be Retired, his Account shall be paid in accordance with the form elected under Section 5.1 and will be paid, or commence to be paid within sixty (60) days of the Participant’s deemed Retirement.</w:t>
      </w:r>
    </w:p>
    <w:p>
      <w:pPr>
        <w:spacing w:after="0" w:line="168"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b w:val="1"/>
          <w:bCs w:val="1"/>
          <w:u w:val="single" w:color="auto"/>
          <w:color w:val="auto"/>
        </w:rPr>
        <w:t>Change in Time or Form of Payment for Retirement Benefit</w:t>
      </w:r>
      <w:r>
        <w:rPr>
          <w:rFonts w:ascii="Arial" w:cs="Arial" w:eastAsia="Arial" w:hAnsi="Arial"/>
          <w:sz w:val="18"/>
          <w:szCs w:val="18"/>
          <w:color w:val="auto"/>
        </w:rPr>
        <w:t>. Notwithstanding the method of payment elected by a Participant on an Election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Form with respect to the Base Salary or Bonus deferred pursuant to section 5.1, the Participant may elect to change the time or form of such payment under a subsequent election that meets the following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016" w:right="339" w:bottom="1440" w:gutter="0" w:footer="0" w:header="0"/>
        </w:sectPr>
      </w:pPr>
    </w:p>
    <w:bookmarkStart w:id="104" w:name="page105"/>
    <w:bookmarkEnd w:id="104"/>
    <w:p>
      <w:pPr>
        <w:ind w:left="1040" w:hanging="384"/>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subsequent election may not take effect until at least 12 months after the date on which the subsequent election is made.</w:t>
      </w:r>
    </w:p>
    <w:p>
      <w:pPr>
        <w:spacing w:after="0" w:line="225" w:lineRule="exact"/>
        <w:rPr>
          <w:rFonts w:ascii="Arial" w:cs="Arial" w:eastAsia="Arial" w:hAnsi="Arial"/>
          <w:sz w:val="18"/>
          <w:szCs w:val="18"/>
          <w:color w:val="auto"/>
        </w:rPr>
      </w:pPr>
    </w:p>
    <w:p>
      <w:pPr>
        <w:ind w:left="1300" w:hanging="644"/>
        <w:spacing w:after="0" w:line="263" w:lineRule="auto"/>
        <w:tabs>
          <w:tab w:leader="none" w:pos="10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first payment with respect to which the subsequent election is made must be deferred for a period of not less than five years from the date such payment would otherwise have been made. This five year deferral shall not apply to any change in the Death Benefit or upon the occurrence of a Disability.</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subsequent election may not accelerate the time of any payment.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form of payment elected in a subsequent election must be a lump sum or an Annual Installment Method of between 2 and 10 years.</w:t>
      </w:r>
    </w:p>
    <w:p>
      <w:pPr>
        <w:spacing w:after="0" w:line="248"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In addition, each participant will be allowed to elect an Annual Installment Method with respect to the Deferral Amounts made for the 2008 and 2009 Plan Years, subject to the requirements in this section 5.6.</w:t>
      </w:r>
    </w:p>
    <w:p>
      <w:pPr>
        <w:spacing w:after="0" w:line="16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b w:val="1"/>
          <w:bCs w:val="1"/>
          <w:u w:val="single" w:color="auto"/>
          <w:color w:val="auto"/>
        </w:rPr>
        <w:t>Involuntary Cash Out Limit</w:t>
      </w:r>
      <w:r>
        <w:rPr>
          <w:rFonts w:ascii="Arial" w:cs="Arial" w:eastAsia="Arial" w:hAnsi="Arial"/>
          <w:sz w:val="18"/>
          <w:szCs w:val="18"/>
          <w:color w:val="auto"/>
        </w:rPr>
        <w:t>. If a Participant’s total Account Balance under this plan and all other such arrangements required to be aggregated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under Code Section 409A and regulations thereunder is less than or equal to the deferral limit in effect under section 402(g) of the Code for the calendar year in which the Participant experiences a Retirement or Termination of Employment, then, despite the election made by the Participant, the Company may, at its discretion, pay the Account Balance in a lump sum within sixty (60) days of Retirement or Termination of Employment. In addition, if the present value of any remaining installments due a Participant who had elected an Annual Installment Method falls below the deferral limit in effect under section 402(g) of the Code for the calendar year, then the Company may, at its discretion, pay the remaining Account Balance in a lump sum within sixty (60) days.</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b w:val="1"/>
          <w:bCs w:val="1"/>
          <w:u w:val="single" w:color="auto"/>
          <w:color w:val="auto"/>
        </w:rPr>
        <w:t>Limitation on Key Employees</w:t>
      </w:r>
      <w:r>
        <w:rPr>
          <w:rFonts w:ascii="Arial" w:cs="Arial" w:eastAsia="Arial" w:hAnsi="Arial"/>
          <w:sz w:val="18"/>
          <w:szCs w:val="18"/>
          <w:color w:val="auto"/>
        </w:rPr>
        <w:t>. Notwithstanding any other provision of the Plan to the contrary, the payment of a Retirement Benefit, Disability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Benefit, or Termination Benefit with respect to a “key employee” of the Company, within the meaning of Code Section 416(i)(1), if at that time any stock of the Company is publicly traded on an established securities market or otherwise, shall not be made within six months following his separation from service with the Company, except in the event of death.</w:t>
      </w:r>
    </w:p>
    <w:p>
      <w:pPr>
        <w:spacing w:after="0" w:line="18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u w:val="single" w:color="auto"/>
          <w:color w:val="auto"/>
        </w:rPr>
        <w:t>Beneficiary Designation</w:t>
      </w:r>
    </w:p>
    <w:p>
      <w:pPr>
        <w:spacing w:after="0" w:line="153"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b w:val="1"/>
          <w:bCs w:val="1"/>
          <w:u w:val="single" w:color="auto"/>
          <w:color w:val="auto"/>
        </w:rPr>
        <w:t>Beneficiary</w:t>
      </w:r>
      <w:r>
        <w:rPr>
          <w:rFonts w:ascii="Arial" w:cs="Arial" w:eastAsia="Arial" w:hAnsi="Arial"/>
          <w:sz w:val="17"/>
          <w:szCs w:val="17"/>
          <w:color w:val="auto"/>
        </w:rPr>
        <w:t>. Each Participant shall have the right, at any time, to designate his or her Beneficiary(ies) (both primary as well as contingent) to</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receive any benefits payable under the Plan to a beneficiary upon the death of a Participant. The Beneficiary designated under the Plan may be the same as or different from the Beneficiary designation under any other plan of the Company in which the Participant participates.</w:t>
      </w:r>
    </w:p>
    <w:p>
      <w:pPr>
        <w:spacing w:after="0" w:line="158"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u w:val="single" w:color="auto"/>
          <w:color w:val="auto"/>
        </w:rPr>
        <w:t>Beneficiary Designation; Change</w:t>
      </w:r>
      <w:r>
        <w:rPr>
          <w:rFonts w:ascii="Arial" w:cs="Arial" w:eastAsia="Arial" w:hAnsi="Arial"/>
          <w:sz w:val="16"/>
          <w:szCs w:val="16"/>
          <w:color w:val="auto"/>
        </w:rPr>
        <w:t>. A Participant shall designate his or her Beneficiary by completing and signing the Beneficiary Designation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Form, and returning it to the Board. A Participant shall have the right to change a Beneficiary by completing, signing and otherwise complying with the terms of the Beneficiary Designation Form and the Board’s rules and procedures, as in effect from time to time. Upon the acceptance by the Board of a new Beneficiary Designation Form, all Beneficiary designations previously filed shall be canceled. The Board shall be entitled to rely on the last Beneficiary Designation Form filed by the Participant and accepted by the Board prior to his or her death.</w:t>
      </w:r>
    </w:p>
    <w:p>
      <w:pPr>
        <w:spacing w:after="0" w:line="154"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b w:val="1"/>
          <w:bCs w:val="1"/>
          <w:u w:val="single" w:color="auto"/>
          <w:color w:val="auto"/>
        </w:rPr>
        <w:t>Acknowledgment</w:t>
      </w:r>
      <w:r>
        <w:rPr>
          <w:rFonts w:ascii="Arial" w:cs="Arial" w:eastAsia="Arial" w:hAnsi="Arial"/>
          <w:sz w:val="18"/>
          <w:szCs w:val="18"/>
          <w:color w:val="auto"/>
        </w:rPr>
        <w:t>. No designation or change in designation of a Beneficiary shall be effective until received and acknowledged in writing by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Board.</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b w:val="1"/>
          <w:bCs w:val="1"/>
          <w:u w:val="single" w:color="auto"/>
          <w:color w:val="auto"/>
        </w:rPr>
        <w:t>No Beneficiary Designation</w:t>
      </w:r>
      <w:r>
        <w:rPr>
          <w:rFonts w:ascii="Arial" w:cs="Arial" w:eastAsia="Arial" w:hAnsi="Arial"/>
          <w:sz w:val="18"/>
          <w:szCs w:val="18"/>
          <w:color w:val="auto"/>
        </w:rPr>
        <w:t>. If a Participant fails to designate a Beneficiary as provided in Sections 6.1, 6.2 and 6.3 above or, if all Beneficiaries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predecease the Participant or die prior to complete distribution of the Participant’s benefits, then the Participant’s Beneficiary shall be deemed to be his or her surviving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016" w:right="339" w:bottom="1440" w:gutter="0" w:footer="0" w:header="0"/>
        </w:sectPr>
      </w:pPr>
    </w:p>
    <w:bookmarkStart w:id="105" w:name="page106"/>
    <w:bookmarkEnd w:id="105"/>
    <w:p>
      <w:pPr>
        <w:ind w:left="660"/>
        <w:spacing w:after="0" w:line="277" w:lineRule="auto"/>
        <w:rPr>
          <w:sz w:val="20"/>
          <w:szCs w:val="20"/>
          <w:color w:val="auto"/>
        </w:rPr>
      </w:pPr>
      <w:r>
        <w:rPr>
          <w:rFonts w:ascii="Arial" w:cs="Arial" w:eastAsia="Arial" w:hAnsi="Arial"/>
          <w:sz w:val="18"/>
          <w:szCs w:val="18"/>
          <w:color w:val="auto"/>
        </w:rPr>
        <w:t>spouse. If the Participant has no surviving spouse, the benefits remaining under the Plan to be paid to a Beneficiary shall be payable to the Participant’s estate.</w:t>
      </w:r>
    </w:p>
    <w:p>
      <w:pPr>
        <w:spacing w:after="0" w:line="166" w:lineRule="exact"/>
        <w:rPr>
          <w:sz w:val="20"/>
          <w:szCs w:val="20"/>
          <w:color w:val="auto"/>
        </w:rPr>
      </w:pPr>
    </w:p>
    <w:p>
      <w:pPr>
        <w:jc w:val="both"/>
        <w:ind w:left="660" w:hanging="647"/>
        <w:spacing w:after="0" w:line="347"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u w:val="single" w:color="auto"/>
          <w:color w:val="auto"/>
        </w:rPr>
        <w:t>Doubt as to Beneficiary</w:t>
      </w:r>
      <w:r>
        <w:rPr>
          <w:rFonts w:ascii="Arial" w:cs="Arial" w:eastAsia="Arial" w:hAnsi="Arial"/>
          <w:sz w:val="16"/>
          <w:szCs w:val="16"/>
          <w:color w:val="auto"/>
        </w:rPr>
        <w:t>. If the Board has any doubt as to the proper Beneficiary to receive payments pursuant to the Plan, the Board shall have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right, exercisable in its discretion, to cause the Company to withhold such payments until this matter is resolved to the Board’s satisfaction.</w:t>
      </w:r>
    </w:p>
    <w:p>
      <w:pPr>
        <w:spacing w:after="0" w:line="11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b w:val="1"/>
          <w:bCs w:val="1"/>
          <w:u w:val="single" w:color="auto"/>
          <w:color w:val="auto"/>
        </w:rPr>
        <w:t>Discharge of Obligations</w:t>
      </w:r>
      <w:r>
        <w:rPr>
          <w:rFonts w:ascii="Arial" w:cs="Arial" w:eastAsia="Arial" w:hAnsi="Arial"/>
          <w:sz w:val="18"/>
          <w:szCs w:val="18"/>
          <w:color w:val="auto"/>
        </w:rPr>
        <w:t>. The payment of benefits under the Plan to a Beneficiary shall fully and completely discharge the Company and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Board from all further obligations under the Plan with respect to the Participant, and that Participant’s participation in the Plan shall terminate upon such full payment of benefits.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Leave of Absence</w:t>
      </w:r>
    </w:p>
    <w:p>
      <w:pPr>
        <w:spacing w:after="0" w:line="15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b w:val="1"/>
          <w:bCs w:val="1"/>
          <w:u w:val="single" w:color="auto"/>
          <w:color w:val="auto"/>
        </w:rPr>
        <w:t>Paid Leave of Absence</w:t>
      </w:r>
      <w:r>
        <w:rPr>
          <w:rFonts w:ascii="Arial" w:cs="Arial" w:eastAsia="Arial" w:hAnsi="Arial"/>
          <w:sz w:val="18"/>
          <w:szCs w:val="18"/>
          <w:color w:val="auto"/>
        </w:rPr>
        <w:t>. If a Participant is authorized by the Company for any reason to take a paid leave of absence from the employment of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Company, the Participant shall continue to be considered employed by the Company and the Deferral Amount shall continue to be withheld during such paid leave of absence in accordance with Section 3.1.</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u w:val="single" w:color="auto"/>
          <w:color w:val="auto"/>
        </w:rPr>
        <w:t>Unpaid Leave of Absence</w:t>
      </w:r>
      <w:r>
        <w:rPr>
          <w:rFonts w:ascii="Arial" w:cs="Arial" w:eastAsia="Arial" w:hAnsi="Arial"/>
          <w:sz w:val="18"/>
          <w:szCs w:val="18"/>
          <w:color w:val="auto"/>
        </w:rPr>
        <w:t>. If a Participant is authorized by the Company for any reason to take an unpaid leave of absence from the employment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of the Company, the Participant shall continue to be considered employed by the Company and the Participant shall be excused from making deferrals until the Participant returns to a paid employment status. Upon such return, deferrals shall resume for the remaining portion of the Plan Year in which the return occurs, based on the deferral election, if any, made for that Plan Year. If no election was made for that Plan Year, no deferral shall be withheld.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Amendment or Modification</w:t>
      </w:r>
    </w:p>
    <w:p>
      <w:pPr>
        <w:spacing w:after="0" w:line="16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Although the Company anticipates that it will continue the Plan for an indefinite period of time, there is no guarantee that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Company will continue the Plan or will not terminate the Plan at any time in the future. Accordingly, the Company reserves the right to terminate the Plan at any time with respect to any or all of its participating Employees, by action of the Board. Upon the termination of the Plan, further deferrals under the Plan shall terminate but all Account Balances shall remain subject to the terms of the Plan and the elections made in the applicable Election Forms.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The Company may, at any time, amend or modify the Plan in whole or in part by the action of the Board; provided, however, that:</w:t>
      </w:r>
    </w:p>
    <w:p>
      <w:pPr>
        <w:spacing w:after="0" w:line="27" w:lineRule="exact"/>
        <w:rPr>
          <w:sz w:val="20"/>
          <w:szCs w:val="20"/>
          <w:color w:val="auto"/>
        </w:rPr>
      </w:pPr>
    </w:p>
    <w:p>
      <w:pPr>
        <w:jc w:val="both"/>
        <w:ind w:left="660" w:hanging="4"/>
        <w:spacing w:after="0" w:line="251" w:lineRule="auto"/>
        <w:tabs>
          <w:tab w:leader="none" w:pos="8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amendment or modification shall be effective to decrease or restrict the value of a Participant’s Account Balance in existence at the time the amendment or modification is made, calculated as if the Participant had experienced a Termination of Employment as of the effective date of the amendment or modification or, if the amendment or modification occurs after the date upon which the Participant was eligible to Retire, the Participant had Retired as of the effective date of the amendment or modification, and (ii) no amendment or modification of this Section 8.2 of the Plan shall be effective. The amendment or modification of the Plan shall not affect any Participant or Beneficiary who has become entitled to the payment of benefits under the Plan as of the date of the amendment or modification. The Company specifically reserves the right to amend the Plan to conform the provisions of the Plan to the guidance issued by the Secretary of the Treasury with respect to Code Section 409A, in accordance with such guidance.</w:t>
      </w:r>
    </w:p>
    <w:p>
      <w:pPr>
        <w:spacing w:after="0" w:line="194" w:lineRule="exact"/>
        <w:rPr>
          <w:sz w:val="20"/>
          <w:szCs w:val="20"/>
          <w:color w:val="auto"/>
        </w:rPr>
      </w:pPr>
    </w:p>
    <w:p>
      <w:pPr>
        <w:ind w:left="660" w:hanging="647"/>
        <w:spacing w:after="0" w:line="282"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b w:val="1"/>
          <w:bCs w:val="1"/>
          <w:u w:val="single" w:color="auto"/>
          <w:color w:val="auto"/>
        </w:rPr>
        <w:t>Effect of Payment</w:t>
      </w:r>
      <w:r>
        <w:rPr>
          <w:rFonts w:ascii="Arial" w:cs="Arial" w:eastAsia="Arial" w:hAnsi="Arial"/>
          <w:sz w:val="18"/>
          <w:szCs w:val="18"/>
          <w:color w:val="auto"/>
        </w:rPr>
        <w:t>. The full payment of the applicable benefit under Articles 4 or 5 of the Plan shall completely discharge all obligations to 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Participant and his or her Beneficiaries under the Plan and the Participant’s participation in the Plan shall terminate.</w:t>
      </w:r>
    </w:p>
    <w:p>
      <w:pPr>
        <w:spacing w:after="0" w:line="16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016" w:right="339" w:bottom="1440" w:gutter="0" w:footer="0" w:header="0"/>
        </w:sectPr>
      </w:pPr>
    </w:p>
    <w:bookmarkStart w:id="106" w:name="page107"/>
    <w:bookmarkEnd w:id="106"/>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b w:val="1"/>
          <w:bCs w:val="1"/>
          <w:u w:val="single" w:color="auto"/>
          <w:color w:val="auto"/>
        </w:rPr>
        <w:t>Administrative Duties</w:t>
      </w:r>
      <w:r>
        <w:rPr>
          <w:rFonts w:ascii="Arial" w:cs="Arial" w:eastAsia="Arial" w:hAnsi="Arial"/>
          <w:sz w:val="17"/>
          <w:szCs w:val="17"/>
          <w:color w:val="auto"/>
        </w:rPr>
        <w:t>. To the extent that ERISA applies to the Plan, the Company shall be the “named fiduciary” of the Plan and the “plan</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administrator” of the Plan. The Board shall be responsible for the general administration of the Plan. The Board will, subject to the terms of the Plan, have the authority to: (i) approve for participation employees who are recommended for participation by the president and Chief Executive Officer of the Company, (ii) adopt, alter, and repeal administrative rules and practices governing the Plan, (iii) interpret the terms and provisions of the Plan, and (iv) otherwise supervise the administration of the Plan. All decisions by the Board will be made with the approval of not less than a majority of its members. The Board may delegate any of its authority, including the Board’s authority to amend or modify the Plan to certain other person or persons that it deems appropriate, subject to any limitations as the Board may provide.</w:t>
      </w:r>
    </w:p>
    <w:p>
      <w:pPr>
        <w:spacing w:after="0" w:line="200" w:lineRule="exact"/>
        <w:rPr>
          <w:sz w:val="20"/>
          <w:szCs w:val="20"/>
          <w:color w:val="auto"/>
        </w:rPr>
      </w:pPr>
    </w:p>
    <w:p>
      <w:pPr>
        <w:spacing w:after="0" w:line="21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u w:val="single" w:color="auto"/>
          <w:color w:val="auto"/>
        </w:rPr>
        <w:t>Agents</w:t>
      </w:r>
      <w:r>
        <w:rPr>
          <w:rFonts w:ascii="Arial" w:cs="Arial" w:eastAsia="Arial" w:hAnsi="Arial"/>
          <w:sz w:val="18"/>
          <w:szCs w:val="18"/>
          <w:color w:val="auto"/>
        </w:rPr>
        <w:t>. In the administration of the Plan, the Board may, from time to time, employ agents and delegate to them such administrative duties as it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sees fit (including acting through a duly appointed representative) and may from time to time consult with counsel who may be counsel to the Company.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b w:val="1"/>
          <w:bCs w:val="1"/>
          <w:u w:val="single" w:color="auto"/>
          <w:color w:val="auto"/>
        </w:rPr>
        <w:t>Binding Effect of Decisions</w:t>
      </w:r>
      <w:r>
        <w:rPr>
          <w:rFonts w:ascii="Arial" w:cs="Arial" w:eastAsia="Arial" w:hAnsi="Arial"/>
          <w:sz w:val="18"/>
          <w:szCs w:val="18"/>
          <w:color w:val="auto"/>
        </w:rPr>
        <w:t>. All decisions by the Board, and by any other person or persons to whom the Board has delegated authority, shall be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final and conclusive and binding upon all persons having any interest in the Plan.</w:t>
      </w:r>
    </w:p>
    <w:p>
      <w:pPr>
        <w:spacing w:after="0" w:line="162"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b w:val="1"/>
          <w:bCs w:val="1"/>
          <w:u w:val="single" w:color="auto"/>
          <w:color w:val="auto"/>
        </w:rPr>
        <w:t>Indemnity of Board</w:t>
      </w:r>
      <w:r>
        <w:rPr>
          <w:rFonts w:ascii="Arial" w:cs="Arial" w:eastAsia="Arial" w:hAnsi="Arial"/>
          <w:sz w:val="17"/>
          <w:szCs w:val="17"/>
          <w:color w:val="auto"/>
        </w:rPr>
        <w:t>. The Company shall indemnify and hold harmless the members of the Board and any Employee to whom the duties of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Board may be delegated against any and all claims, losses, damages, expenses or liabilities arising from any action or failure to act with respect to the Plan, except in the case of willful misconduct by the Board, any of its members, or any such Employee.</w:t>
      </w:r>
    </w:p>
    <w:p>
      <w:pPr>
        <w:spacing w:after="0" w:line="158"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b w:val="1"/>
          <w:bCs w:val="1"/>
          <w:u w:val="single" w:color="auto"/>
          <w:color w:val="auto"/>
        </w:rPr>
        <w:t>Information</w:t>
      </w:r>
      <w:r>
        <w:rPr>
          <w:rFonts w:ascii="Arial" w:cs="Arial" w:eastAsia="Arial" w:hAnsi="Arial"/>
          <w:sz w:val="18"/>
          <w:szCs w:val="18"/>
          <w:color w:val="auto"/>
        </w:rPr>
        <w:t>. To enable the Board to perform its functions, the Company shall supply full and timely information to the Board on all matters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relating to the compensation of its Participants, the date and circumstances of the Retirement, Disability, death or Termination of Employment of its Participants, and such other pertinent information as the Board may reasonably require.</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Benefits and Agreements</w:t>
      </w:r>
    </w:p>
    <w:p>
      <w:pPr>
        <w:spacing w:after="0" w:line="153" w:lineRule="exact"/>
        <w:rPr>
          <w:sz w:val="20"/>
          <w:szCs w:val="20"/>
          <w:color w:val="auto"/>
        </w:rPr>
      </w:pPr>
    </w:p>
    <w:p>
      <w:pPr>
        <w:jc w:val="both"/>
        <w:ind w:left="640" w:hanging="647"/>
        <w:spacing w:after="0" w:line="289"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b w:val="1"/>
          <w:bCs w:val="1"/>
          <w:u w:val="single" w:color="auto"/>
          <w:color w:val="auto"/>
        </w:rPr>
        <w:t>Coordination with Other Benefits</w:t>
      </w:r>
      <w:r>
        <w:rPr>
          <w:rFonts w:ascii="Arial" w:cs="Arial" w:eastAsia="Arial" w:hAnsi="Arial"/>
          <w:sz w:val="17"/>
          <w:szCs w:val="17"/>
          <w:color w:val="auto"/>
        </w:rPr>
        <w:t>. The benefits provided for a Participant and Participant’s Beneficiary under the Plan are in addition to any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other benefits available to such Participant under any other plan or program for employees of the Company. The Plan shall supplement and shall not supersede, modify or amend any other such plan or program except as may otherwise be expressly provided.</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u w:val="single" w:color="auto"/>
          <w:color w:val="auto"/>
        </w:rPr>
        <w:t>Claims Procedures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u w:val="single" w:color="auto"/>
          <w:color w:val="auto"/>
        </w:rPr>
        <w:t>Procedures for Handling Claims</w:t>
      </w:r>
    </w:p>
    <w:p>
      <w:pPr>
        <w:spacing w:after="0" w:line="229" w:lineRule="exact"/>
        <w:rPr>
          <w:sz w:val="20"/>
          <w:szCs w:val="20"/>
          <w:color w:val="auto"/>
        </w:rPr>
      </w:pPr>
    </w:p>
    <w:p>
      <w:pPr>
        <w:jc w:val="both"/>
        <w:ind w:left="660" w:hanging="4"/>
        <w:spacing w:after="0" w:line="259" w:lineRule="auto"/>
        <w:tabs>
          <w:tab w:leader="none" w:pos="7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accordance with the provisions of Section 503 of ERISA, the Company shall provide a procedure for handling claims for benefits under the Plan. The procedure shall be in accordance with the regulations issued by the Secretary of Labor and provide adequate written notice within a reasonable period of time with respect to a claim denial. The procedure shall also provide for a reasonable opportunity for a full and fair review by the Company of any claim denial.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Trust</w:t>
      </w:r>
    </w:p>
    <w:p>
      <w:pPr>
        <w:spacing w:after="0" w:line="153" w:lineRule="exact"/>
        <w:rPr>
          <w:sz w:val="20"/>
          <w:szCs w:val="20"/>
          <w:color w:val="auto"/>
        </w:rPr>
      </w:pPr>
    </w:p>
    <w:p>
      <w:pPr>
        <w:ind w:left="640" w:hanging="647"/>
        <w:spacing w:after="0" w:line="282"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b w:val="1"/>
          <w:bCs w:val="1"/>
          <w:u w:val="single" w:color="auto"/>
          <w:color w:val="auto"/>
        </w:rPr>
        <w:t>Establishment of the Trust</w:t>
      </w:r>
      <w:r>
        <w:rPr>
          <w:rFonts w:ascii="Arial" w:cs="Arial" w:eastAsia="Arial" w:hAnsi="Arial"/>
          <w:sz w:val="18"/>
          <w:szCs w:val="18"/>
          <w:color w:val="auto"/>
        </w:rPr>
        <w:t>. The Company may establish one or more Trusts to which the Company may transfer such assets as the Company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determines in its sole discretion to assist in meeting its obligations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012" w:right="339" w:bottom="1440" w:gutter="0" w:footer="0" w:header="0"/>
        </w:sectPr>
      </w:pPr>
    </w:p>
    <w:bookmarkStart w:id="107" w:name="page108"/>
    <w:bookmarkEnd w:id="107"/>
    <w:p>
      <w:pPr>
        <w:jc w:val="both"/>
        <w:ind w:left="640" w:hanging="647"/>
        <w:spacing w:after="0" w:line="266"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b w:val="1"/>
          <w:bCs w:val="1"/>
          <w:u w:val="single" w:color="auto"/>
          <w:color w:val="auto"/>
        </w:rPr>
        <w:t>Interrelationship of the Plan and the Trust</w:t>
      </w:r>
      <w:r>
        <w:rPr>
          <w:rFonts w:ascii="Arial" w:cs="Arial" w:eastAsia="Arial" w:hAnsi="Arial"/>
          <w:sz w:val="18"/>
          <w:szCs w:val="18"/>
          <w:color w:val="auto"/>
        </w:rPr>
        <w:t>. The provisions of the Plan and the Participant’s Election Forms shall govern the rights of 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Participant to receive distributions pursuant to the Plana The provisions of the Trust shall govern the rights of the Company, Participants and the creditors of the Company to the assets transferred to the Trust.</w:t>
      </w:r>
    </w:p>
    <w:p>
      <w:pPr>
        <w:spacing w:after="0" w:line="176"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b w:val="1"/>
          <w:bCs w:val="1"/>
          <w:u w:val="single" w:color="auto"/>
          <w:color w:val="auto"/>
        </w:rPr>
        <w:t>Distributions From the Trust</w:t>
      </w:r>
      <w:r>
        <w:rPr>
          <w:rFonts w:ascii="Arial" w:cs="Arial" w:eastAsia="Arial" w:hAnsi="Arial"/>
          <w:sz w:val="18"/>
          <w:szCs w:val="18"/>
          <w:color w:val="auto"/>
        </w:rPr>
        <w:t>. The Company’s obligations under the Plan may be satisfied with Trust assets distributed pursuant to the terms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Trust, and any such distribution shall reduce the Company’s obligations under the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53"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b w:val="1"/>
          <w:bCs w:val="1"/>
          <w:u w:val="single" w:color="auto"/>
          <w:color w:val="auto"/>
        </w:rPr>
        <w:t>Status of Plan</w:t>
      </w:r>
      <w:r>
        <w:rPr>
          <w:rFonts w:ascii="Arial" w:cs="Arial" w:eastAsia="Arial" w:hAnsi="Arial"/>
          <w:sz w:val="18"/>
          <w:szCs w:val="18"/>
          <w:color w:val="auto"/>
        </w:rPr>
        <w:t>. The Plan is intended to be a plan that is not qualified within the meaning of Code Section 401(a) and that “is unfunded and is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maintained by an employer primarily for the purpose of providing deferred compensation for a select group of management or highly compensated employee” within the meaning of Sections 201(2), 301(a)(3) and 401(a)(1) of ERISA. The Plan shall be administered and interpreted to the extent possible in a manner consistent with that intent.</w:t>
      </w:r>
    </w:p>
    <w:p>
      <w:pPr>
        <w:spacing w:after="0" w:line="180"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b w:val="1"/>
          <w:bCs w:val="1"/>
          <w:u w:val="single" w:color="auto"/>
          <w:color w:val="auto"/>
        </w:rPr>
        <w:t>Unsecured General Creditor</w:t>
      </w:r>
      <w:r>
        <w:rPr>
          <w:rFonts w:ascii="Arial" w:cs="Arial" w:eastAsia="Arial" w:hAnsi="Arial"/>
          <w:sz w:val="18"/>
          <w:szCs w:val="18"/>
          <w:color w:val="auto"/>
        </w:rPr>
        <w:t>. Participants and their Beneficiaries, heirs, successors and assigns shall have no legal or equitable rights, interests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or claims in any property or assets of the Company. For purposes of the payment of benefits under the Plan, any and all of the Company’s assets shall be, and remain, the general, unpledged unrestricted assets of the Company. The Company’s obligation under the Plan shall be merely that of an unfunded and unsecured promise to pay money in the future.</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u w:val="single" w:color="auto"/>
          <w:color w:val="auto"/>
        </w:rPr>
        <w:t>Company’s Liability</w:t>
      </w:r>
      <w:r>
        <w:rPr>
          <w:rFonts w:ascii="Arial" w:cs="Arial" w:eastAsia="Arial" w:hAnsi="Arial"/>
          <w:sz w:val="16"/>
          <w:szCs w:val="16"/>
          <w:color w:val="auto"/>
        </w:rPr>
        <w:t>. The Company’s liability for the payment of benefits shall be defined only by the Plan and the Participant’s Election Forms.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shall have no obligation to a Participant under the Plan except as expressly provided in the Plan and his or her Election Forms.</w:t>
      </w:r>
    </w:p>
    <w:p>
      <w:pPr>
        <w:spacing w:after="0" w:line="230" w:lineRule="exact"/>
        <w:rPr>
          <w:sz w:val="20"/>
          <w:szCs w:val="20"/>
          <w:color w:val="auto"/>
        </w:rPr>
      </w:pPr>
    </w:p>
    <w:p>
      <w:pPr>
        <w:jc w:val="both"/>
        <w:ind w:left="640" w:hanging="647"/>
        <w:spacing w:after="0" w:line="294" w:lineRule="auto"/>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b w:val="1"/>
          <w:bCs w:val="1"/>
          <w:u w:val="single" w:color="auto"/>
          <w:color w:val="auto"/>
        </w:rPr>
        <w:t>Nonassignability</w:t>
      </w:r>
      <w:r>
        <w:rPr>
          <w:rFonts w:ascii="Arial" w:cs="Arial" w:eastAsia="Arial" w:hAnsi="Arial"/>
          <w:sz w:val="16"/>
          <w:szCs w:val="16"/>
          <w:color w:val="auto"/>
        </w:rPr>
        <w:t>. Neither a Participant nor any other person shall have any right to commute, sell, assign, transfer, pledge, anticipate, mortgage or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160"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b w:val="1"/>
          <w:bCs w:val="1"/>
          <w:u w:val="single" w:color="auto"/>
          <w:color w:val="auto"/>
        </w:rPr>
        <w:t>Not a Contract of Employment</w:t>
      </w:r>
      <w:r>
        <w:rPr>
          <w:rFonts w:ascii="Arial" w:cs="Arial" w:eastAsia="Arial" w:hAnsi="Arial"/>
          <w:sz w:val="17"/>
          <w:szCs w:val="17"/>
          <w:color w:val="auto"/>
        </w:rPr>
        <w:t>. The terms and conditions of the Plan shall not be deemed to constitute a contract of employment between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Company and the Participant, either expressed or implied. Such employment is hereby acknowledged to be an “at will” employment relationship that can be terminated at any time for any reason, or no reason, with or without cause, and with or without notice, unless expressly provided in a written employment agreement. Nothing in the Plan shall be deemed to give a Participant the right to be retained in the service of the Company, or to interfere with the right of the Company to discipline or discharge the Participant at any time.</w:t>
      </w:r>
    </w:p>
    <w:p>
      <w:pPr>
        <w:spacing w:after="0" w:line="168"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b w:val="1"/>
          <w:bCs w:val="1"/>
          <w:u w:val="single" w:color="auto"/>
          <w:color w:val="auto"/>
        </w:rPr>
        <w:t>Furnishing Information</w:t>
      </w:r>
      <w:r>
        <w:rPr>
          <w:rFonts w:ascii="Arial" w:cs="Arial" w:eastAsia="Arial" w:hAnsi="Arial"/>
          <w:sz w:val="18"/>
          <w:szCs w:val="18"/>
          <w:color w:val="auto"/>
        </w:rPr>
        <w:t>. A Participant or his or her Beneficiary will cooperate with the Board by furnishing any and all information requested by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Board and take such other actions as may be requested in order to facilitate the administration of the Plan and the payments of benefits hereunder, including but not limited to taking such physical examinations as the Board may deem necessary.</w:t>
      </w:r>
    </w:p>
    <w:p>
      <w:pPr>
        <w:spacing w:after="0" w:line="17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b w:val="1"/>
          <w:bCs w:val="1"/>
          <w:u w:val="single" w:color="auto"/>
          <w:color w:val="auto"/>
        </w:rPr>
        <w:t>Terms</w:t>
      </w:r>
      <w:r>
        <w:rPr>
          <w:rFonts w:ascii="Arial" w:cs="Arial" w:eastAsia="Arial" w:hAnsi="Arial"/>
          <w:sz w:val="18"/>
          <w:szCs w:val="18"/>
          <w:color w:val="auto"/>
        </w:rPr>
        <w:t>. Whenever any words are used herein in the masculine, they shall be construed as though they were in the feminine in all cases where they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would so apply; and whenever any words are used herein in the singular or in the plural, they shall be construed as though they were used in the plural or the singular, as the case may be, in all cases where they would so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012" w:right="339" w:bottom="1440" w:gutter="0" w:footer="0" w:header="0"/>
        </w:sectPr>
      </w:pPr>
    </w:p>
    <w:bookmarkStart w:id="108" w:name="page109"/>
    <w:bookmarkEnd w:id="108"/>
    <w:p>
      <w:pPr>
        <w:jc w:val="both"/>
        <w:ind w:left="640" w:hanging="647"/>
        <w:spacing w:after="0" w:line="282" w:lineRule="auto"/>
        <w:tabs>
          <w:tab w:leader="none" w:pos="6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 The captions of the articles, sections and paragraphs of the Plan are for convenience only and shall not control or affect the meaning or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construction of any of its provisions.</w:t>
      </w:r>
    </w:p>
    <w:p>
      <w:pPr>
        <w:spacing w:after="0" w:line="162"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Subject to ERISA, the provisions of the Plan shall be construed and interpreted according to the internal laws of the State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Florida without regard to its conflicts of laws principles.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Any notice or filing required or permitted to be given to the Board under the Plan shall be sufficient if in writing and hand-delivered, or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sent by registered or certified mail, to the address below:</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MasTec, Inc.</w:t>
      </w:r>
    </w:p>
    <w:p>
      <w:pPr>
        <w:ind w:left="2620"/>
        <w:spacing w:after="0" w:line="218" w:lineRule="auto"/>
        <w:rPr>
          <w:sz w:val="20"/>
          <w:szCs w:val="20"/>
          <w:color w:val="auto"/>
        </w:rPr>
      </w:pPr>
      <w:r>
        <w:rPr>
          <w:rFonts w:ascii="Arial" w:cs="Arial" w:eastAsia="Arial" w:hAnsi="Arial"/>
          <w:sz w:val="18"/>
          <w:szCs w:val="18"/>
          <w:color w:val="auto"/>
        </w:rPr>
        <w:t>800 S Douglas Rd,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Coral Gables, FL 33134</w:t>
      </w:r>
    </w:p>
    <w:p>
      <w:pPr>
        <w:spacing w:after="0" w:line="22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on the receipt for registration or certification.</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Any notice or filing required or permitted to be given to a Participant under the Plan shall be sufficient if in writing and hand-delivered, or sent by mail, to the last known address of the Participant.</w:t>
      </w:r>
    </w:p>
    <w:p>
      <w:pPr>
        <w:spacing w:after="0" w:line="166"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The provisions of the Plan shall bind and inure to the benefit of the Company and its successors and assigns and the Participant and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Participant’s Beneficiaries.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8"/>
          <w:szCs w:val="18"/>
          <w:b w:val="1"/>
          <w:bCs w:val="1"/>
          <w:u w:val="single" w:color="auto"/>
          <w:color w:val="auto"/>
        </w:rPr>
        <w:t>Spouse’s Interest</w:t>
      </w:r>
      <w:r>
        <w:rPr>
          <w:rFonts w:ascii="Arial" w:cs="Arial" w:eastAsia="Arial" w:hAnsi="Arial"/>
          <w:sz w:val="18"/>
          <w:szCs w:val="18"/>
          <w:color w:val="auto"/>
        </w:rPr>
        <w:t>. The interest in the benefits hereunder of a spouse of a Participant who has predeceased the Participant shall automatically pass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to the Participant and shall not be transferable by such spouse in any manner, including but not limited to such spouse’s will, nor shall such interest pass under the laws of intestate succession.</w:t>
      </w:r>
    </w:p>
    <w:p>
      <w:pPr>
        <w:spacing w:after="0" w:line="176"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7"/>
          <w:szCs w:val="17"/>
          <w:b w:val="1"/>
          <w:bCs w:val="1"/>
          <w:u w:val="single" w:color="auto"/>
          <w:color w:val="auto"/>
        </w:rPr>
        <w:t>Validity</w:t>
      </w:r>
      <w:r>
        <w:rPr>
          <w:rFonts w:ascii="Arial" w:cs="Arial" w:eastAsia="Arial" w:hAnsi="Arial"/>
          <w:sz w:val="17"/>
          <w:szCs w:val="17"/>
          <w:color w:val="auto"/>
        </w:rPr>
        <w:t>. In case any provision of the Plan shall be illegal or invalid for any reason, said illegality or invalidity shall not affect the remaining parts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hereof, but the Plan shall be construed and enforced as if such illegal or invalid provision had never been inserted herein.</w:t>
      </w:r>
    </w:p>
    <w:p>
      <w:pPr>
        <w:spacing w:after="0" w:line="14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8"/>
          <w:szCs w:val="18"/>
          <w:b w:val="1"/>
          <w:bCs w:val="1"/>
          <w:u w:val="single" w:color="auto"/>
          <w:color w:val="auto"/>
        </w:rPr>
        <w:t>Incompetent</w:t>
      </w:r>
      <w:r>
        <w:rPr>
          <w:rFonts w:ascii="Arial" w:cs="Arial" w:eastAsia="Arial" w:hAnsi="Arial"/>
          <w:sz w:val="18"/>
          <w:szCs w:val="18"/>
          <w:color w:val="auto"/>
        </w:rPr>
        <w:t>. If the Board determines in its discretion that a benefit under the Plan is to be paid to a minor, a person declared incompetent or to 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person incapable of handling the disposition of that person’s property, the Board may direct payment of such benefit to the guardian, legal representative or person having the care and custody of such minor, incompetent or incapable person. The Board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for such payment amount.</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18"/>
          <w:szCs w:val="18"/>
          <w:color w:val="auto"/>
        </w:rPr>
        <w:t>13.15</w:t>
      </w:r>
      <w:r>
        <w:rPr>
          <w:sz w:val="20"/>
          <w:szCs w:val="20"/>
          <w:color w:val="auto"/>
        </w:rPr>
        <w:tab/>
      </w:r>
      <w:r>
        <w:rPr>
          <w:rFonts w:ascii="Arial" w:cs="Arial" w:eastAsia="Arial" w:hAnsi="Arial"/>
          <w:sz w:val="18"/>
          <w:szCs w:val="18"/>
          <w:b w:val="1"/>
          <w:bCs w:val="1"/>
          <w:u w:val="single" w:color="auto"/>
          <w:color w:val="auto"/>
        </w:rPr>
        <w:t>Court Order</w:t>
      </w:r>
      <w:r>
        <w:rPr>
          <w:rFonts w:ascii="Arial" w:cs="Arial" w:eastAsia="Arial" w:hAnsi="Arial"/>
          <w:sz w:val="18"/>
          <w:szCs w:val="18"/>
          <w:color w:val="auto"/>
        </w:rPr>
        <w:t>. The Board is authorized to make any payments directed by court order in any action in which the Plan or the Board has been named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as a party. In addition, if a court determines that a spouse or former spouse of a Participant has an interest in the Participant’s benefits under the Plan in connection with a property settlement or otherwise, the Board, in its sole discretion, shall have the right, notwithstanding any election made by a Participant, to immediately distribute the spouse’s or former spouse’s interest in the Participant’s benefits under the Plan to that spouse or former spouse.</w:t>
      </w:r>
    </w:p>
    <w:p>
      <w:pPr>
        <w:spacing w:after="0" w:line="183"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13.16</w:t>
      </w:r>
      <w:r>
        <w:rPr>
          <w:sz w:val="20"/>
          <w:szCs w:val="20"/>
          <w:color w:val="auto"/>
        </w:rPr>
        <w:tab/>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The Company, on its own behalf or on behalf of the trustee of the Trust, and, in its sole discretion, may apply for and procure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insurance on the life of the Participant, in such amounts and in such forms as the Trust may choose. The Company or the trustee of the Trust, as the case may be, shall be the sole owner and beneficiary of any such insurance. The Participant shall have no interest whatsoever in any such policy or policies, and at the request of the Company shall submit to medical examinations and supply such information and execute such documents as may be required by the insurance company or companies to whom the Company has applied for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012" w:right="339" w:bottom="1440" w:gutter="0" w:footer="0" w:header="0"/>
        </w:sectPr>
      </w:pPr>
    </w:p>
    <w:bookmarkStart w:id="109" w:name="page110"/>
    <w:bookmarkEnd w:id="109"/>
    <w:p>
      <w:pPr>
        <w:jc w:val="both"/>
        <w:ind w:left="640" w:hanging="647"/>
        <w:spacing w:after="0" w:line="282" w:lineRule="auto"/>
        <w:tabs>
          <w:tab w:leader="none" w:pos="620" w:val="left"/>
        </w:tabs>
        <w:rPr>
          <w:sz w:val="20"/>
          <w:szCs w:val="20"/>
          <w:color w:val="auto"/>
        </w:rPr>
      </w:pPr>
      <w:r>
        <w:rPr>
          <w:rFonts w:ascii="Arial" w:cs="Arial" w:eastAsia="Arial" w:hAnsi="Arial"/>
          <w:sz w:val="18"/>
          <w:szCs w:val="18"/>
          <w:color w:val="auto"/>
        </w:rPr>
        <w:t>13.17</w:t>
      </w:r>
      <w:r>
        <w:rPr>
          <w:sz w:val="20"/>
          <w:szCs w:val="20"/>
          <w:color w:val="auto"/>
        </w:rPr>
        <w:tab/>
      </w:r>
      <w:r>
        <w:rPr>
          <w:rFonts w:ascii="Arial" w:cs="Arial" w:eastAsia="Arial" w:hAnsi="Arial"/>
          <w:sz w:val="18"/>
          <w:szCs w:val="18"/>
          <w:b w:val="1"/>
          <w:bCs w:val="1"/>
          <w:u w:val="single" w:color="auto"/>
          <w:color w:val="auto"/>
        </w:rPr>
        <w:t>No Acceleration of Benefits</w:t>
      </w:r>
      <w:r>
        <w:rPr>
          <w:rFonts w:ascii="Arial" w:cs="Arial" w:eastAsia="Arial" w:hAnsi="Arial"/>
          <w:sz w:val="18"/>
          <w:szCs w:val="18"/>
          <w:color w:val="auto"/>
        </w:rPr>
        <w:t>. The acceleration of the time or schedule of any payment under the Plan is not permitted, except as provided in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regulations by the Secretary of the Treasury.</w:t>
      </w:r>
    </w:p>
    <w:p>
      <w:pPr>
        <w:spacing w:after="0" w:line="162"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18"/>
          <w:szCs w:val="18"/>
          <w:color w:val="auto"/>
        </w:rPr>
        <w:t>13.18</w:t>
      </w:r>
      <w:r>
        <w:rPr>
          <w:sz w:val="20"/>
          <w:szCs w:val="20"/>
          <w:color w:val="auto"/>
        </w:rPr>
        <w:tab/>
      </w:r>
      <w:r>
        <w:rPr>
          <w:rFonts w:ascii="Arial" w:cs="Arial" w:eastAsia="Arial" w:hAnsi="Arial"/>
          <w:sz w:val="17"/>
          <w:szCs w:val="17"/>
          <w:b w:val="1"/>
          <w:bCs w:val="1"/>
          <w:u w:val="single" w:color="auto"/>
          <w:color w:val="auto"/>
        </w:rPr>
        <w:t>Resolution of Conflict</w:t>
      </w:r>
      <w:r>
        <w:rPr>
          <w:rFonts w:ascii="Arial" w:cs="Arial" w:eastAsia="Arial" w:hAnsi="Arial"/>
          <w:sz w:val="17"/>
          <w:szCs w:val="17"/>
          <w:color w:val="auto"/>
        </w:rPr>
        <w:t>. Any and all disputes, claims and controversies between the parties hereto concerning the validity, interpretation,</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performance, termination or breach of this Plan, which cannot be resolved by the parties within ninety (90) days after such dispute, claim or controversy arises shall be referred to and finally settled by arbitration in front of one Arbitrator. Such arbitration shall be initiated by the initiating party giving notice (the “Arbitration Notice”) to the other party (the “Respondent”) that it intends to submit such dispute, claim or controversy to arbitration. The Arbitrator shall be appointed according to the rules of the American Arbitration Association as in effect on the date the notice of submission to arbitration is given (the “Rules”). Such arbitration shall be held in Miami, Florida in accordance with the Rules except as otherwise expressly provided herein. The Arbitrator shall render a written decision stating reasons therefore in reasonable detail within three (3) months after his/her appointment. Each party shall bear its own costs and attorney fees. All other costs and expenses of arbitration shall be apportioned between the parties by the Arbitrator. The awards of the Arbitrator shall be final and binding, and judgment thereon may be rendered by any court having jurisdiction thereof, or application may be made to such court for the judicial acceptance of the award and an order of enforcement as the case may be.</w:t>
      </w:r>
    </w:p>
    <w:p>
      <w:pPr>
        <w:spacing w:after="0" w:line="182" w:lineRule="exact"/>
        <w:rPr>
          <w:sz w:val="20"/>
          <w:szCs w:val="20"/>
          <w:color w:val="auto"/>
        </w:rPr>
      </w:pPr>
    </w:p>
    <w:p>
      <w:pPr>
        <w:jc w:val="both"/>
        <w:ind w:left="640" w:hanging="647"/>
        <w:spacing w:after="0" w:line="274" w:lineRule="auto"/>
        <w:tabs>
          <w:tab w:leader="none" w:pos="620" w:val="left"/>
        </w:tabs>
        <w:rPr>
          <w:sz w:val="20"/>
          <w:szCs w:val="20"/>
          <w:color w:val="auto"/>
        </w:rPr>
      </w:pPr>
      <w:r>
        <w:rPr>
          <w:rFonts w:ascii="Arial" w:cs="Arial" w:eastAsia="Arial" w:hAnsi="Arial"/>
          <w:sz w:val="18"/>
          <w:szCs w:val="18"/>
          <w:color w:val="auto"/>
        </w:rPr>
        <w:t>13.19</w:t>
      </w:r>
      <w:r>
        <w:rPr>
          <w:sz w:val="20"/>
          <w:szCs w:val="20"/>
          <w:color w:val="auto"/>
        </w:rPr>
        <w:tab/>
      </w:r>
      <w:r>
        <w:rPr>
          <w:rFonts w:ascii="Arial" w:cs="Arial" w:eastAsia="Arial" w:hAnsi="Arial"/>
          <w:sz w:val="17"/>
          <w:szCs w:val="17"/>
          <w:b w:val="1"/>
          <w:bCs w:val="1"/>
          <w:u w:val="single" w:color="auto"/>
          <w:color w:val="auto"/>
        </w:rPr>
        <w:t>Compliance with Code Section 409A</w:t>
      </w:r>
      <w:r>
        <w:rPr>
          <w:rFonts w:ascii="Arial" w:cs="Arial" w:eastAsia="Arial" w:hAnsi="Arial"/>
          <w:sz w:val="17"/>
          <w:szCs w:val="17"/>
          <w:color w:val="auto"/>
        </w:rPr>
        <w:t>. The Plan is intended to provide for the deferral of compensation in accordance with Code Section 409A</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for compensation earned, vested, or deferred after December 31, 2004. Notwithstanding any provisions of the Plan or any Election Form to the contrary, no otherwise permissible election under the Plan shall be given effect that would result in the taxation of any amount under Code Section 409A. This plan shall be construed in a manner consistent with the applicable requirements of Code Section 409A; and the Board, it its sole discretion and without the consent of any Participant or Beneficiary, may amend the provisions of this plan if and to the extent that such amendment is necessary or appropriate to comply with the applicable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20"/>
          </w:cols>
          <w:pgMar w:left="340" w:top="1012"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t>IN WITNESS WHEREOF, the Company has signed this Plan document on __________________, 2020.</w:t>
      </w:r>
    </w:p>
    <w:p>
      <w:pPr>
        <w:sectPr>
          <w:pgSz w:w="11900" w:h="16838" w:orient="portrait"/>
          <w:cols w:equalWidth="0" w:num="1">
            <w:col w:w="10139"/>
          </w:cols>
          <w:pgMar w:left="320" w:top="1421" w:right="1440" w:bottom="1440" w:gutter="0" w:footer="0" w:header="0"/>
        </w:sect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MasTec, Inc.</w:t>
      </w:r>
    </w:p>
    <w:p>
      <w:pPr>
        <w:spacing w:after="0" w:line="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139"/>
          </w:cols>
          <w:pgMar w:left="320" w:top="1421" w:right="1440"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____________</w:t>
      </w:r>
    </w:p>
    <w:p>
      <w:pPr>
        <w:spacing w:after="0" w:line="163"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AMENDED AND RESTATED 2011 EMPLOYEE STOCK PURCHASE PLAN</w:t>
      </w:r>
    </w:p>
    <w:p>
      <w:pPr>
        <w:sectPr>
          <w:pgSz w:w="11900" w:h="16838" w:orient="portrait"/>
          <w:cols w:equalWidth="0" w:num="1">
            <w:col w:w="10120"/>
          </w:cols>
          <w:pgMar w:left="1440" w:top="855"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__________________</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2011 EMPLOYEE STOCK PURCHASE PLAN</w:t>
      </w:r>
    </w:p>
    <w:p>
      <w:pPr>
        <w:spacing w:after="0" w:line="198" w:lineRule="exact"/>
        <w:rPr>
          <w:sz w:val="20"/>
          <w:szCs w:val="20"/>
          <w:color w:val="auto"/>
        </w:rPr>
      </w:pPr>
    </w:p>
    <w:p>
      <w:pPr>
        <w:jc w:val="both"/>
        <w:ind w:firstLine="656"/>
        <w:spacing w:after="0" w:line="256" w:lineRule="auto"/>
        <w:tabs>
          <w:tab w:leader="none" w:pos="1296"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Plan is to provide incentive for present and future employees of the Company and any Designated Subsidiary to acquire a</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interest (or increase an existing proprietary interest) in the Company through the purchase of Common Stock. It is the Company’s intention that the Plan qualify as an “employee stock purchase plan” under Section 423 of the Code. Accordingly, the provisions of the Plan shall be administered, interpreted and construed in a manner consistent with the requirements of that section of the Code.</w:t>
      </w:r>
    </w:p>
    <w:p>
      <w:pPr>
        <w:spacing w:after="0" w:line="1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Plan was originally adopted by the Board, effective July 1, 2011, and approved by the Company’s shareholders on May 5, 2011 at the Company’s 2011 Annual Meeting of Shareholders. The Plan was subsequently amended and restated effective July 1, 2013 and October 15, 2015. This amendment and restatement of the Plan shall be effective as of January 1, 2021 (the “Restatement Effective Date”).</w:t>
      </w:r>
    </w:p>
    <w:p>
      <w:pPr>
        <w:spacing w:after="0" w:line="142"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194" w:lineRule="exact"/>
        <w:rPr>
          <w:rFonts w:ascii="Arial" w:cs="Arial" w:eastAsia="Arial" w:hAnsi="Arial"/>
          <w:sz w:val="16"/>
          <w:szCs w:val="16"/>
          <w:i w:val="1"/>
          <w:iCs w:val="1"/>
          <w:color w:val="auto"/>
        </w:rPr>
      </w:pPr>
    </w:p>
    <w:p>
      <w:pPr>
        <w:jc w:val="both"/>
        <w:ind w:firstLine="1628"/>
        <w:spacing w:after="0" w:line="261" w:lineRule="auto"/>
        <w:tabs>
          <w:tab w:leader="none" w:pos="2232"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Percentage</w:t>
      </w:r>
      <w:r>
        <w:rPr>
          <w:rFonts w:ascii="Arial" w:cs="Arial" w:eastAsia="Arial" w:hAnsi="Arial"/>
          <w:sz w:val="16"/>
          <w:szCs w:val="16"/>
          <w:color w:val="auto"/>
        </w:rPr>
        <w:t>” means, with respect to each Offering Period, eighty-five percent (85%), unless and until such Applicable Percentage is increased by the Committee, in its sole discretion, provided that any such increase in the Applicable Percentage with respect to a given Offering Period must be established not less than one (1) calendar day prior to the Offering Date thereof.</w:t>
      </w:r>
    </w:p>
    <w:p>
      <w:pPr>
        <w:spacing w:after="0" w:line="142" w:lineRule="exact"/>
        <w:rPr>
          <w:rFonts w:ascii="Arial" w:cs="Arial" w:eastAsia="Arial" w:hAnsi="Arial"/>
          <w:sz w:val="16"/>
          <w:szCs w:val="16"/>
          <w:color w:val="auto"/>
        </w:rPr>
      </w:pPr>
    </w:p>
    <w:p>
      <w:pPr>
        <w:ind w:left="2120" w:hanging="492"/>
        <w:spacing w:after="0"/>
        <w:tabs>
          <w:tab w:leader="none" w:pos="2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180" w:lineRule="exact"/>
        <w:rPr>
          <w:rFonts w:ascii="Arial" w:cs="Arial" w:eastAsia="Arial" w:hAnsi="Arial"/>
          <w:sz w:val="16"/>
          <w:szCs w:val="16"/>
          <w:color w:val="auto"/>
        </w:rPr>
      </w:pPr>
    </w:p>
    <w:p>
      <w:pPr>
        <w:ind w:left="2100" w:hanging="472"/>
        <w:spacing w:after="0"/>
        <w:tabs>
          <w:tab w:leader="none" w:pos="21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and any successor thereto.</w:t>
      </w:r>
    </w:p>
    <w:p>
      <w:pPr>
        <w:spacing w:after="0" w:line="194" w:lineRule="exact"/>
        <w:rPr>
          <w:rFonts w:ascii="Arial" w:cs="Arial" w:eastAsia="Arial" w:hAnsi="Arial"/>
          <w:sz w:val="16"/>
          <w:szCs w:val="16"/>
          <w:color w:val="auto"/>
        </w:rPr>
      </w:pPr>
    </w:p>
    <w:p>
      <w:pPr>
        <w:ind w:left="2120" w:hanging="492"/>
        <w:spacing w:after="0"/>
        <w:tabs>
          <w:tab w:leader="none" w:pos="2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Compensation Committee of the Board or, if no such Committee exists, then the Board.</w:t>
      </w:r>
    </w:p>
    <w:p>
      <w:pPr>
        <w:spacing w:after="0" w:line="180" w:lineRule="exact"/>
        <w:rPr>
          <w:rFonts w:ascii="Arial" w:cs="Arial" w:eastAsia="Arial" w:hAnsi="Arial"/>
          <w:sz w:val="16"/>
          <w:szCs w:val="16"/>
          <w:color w:val="auto"/>
        </w:rPr>
      </w:pPr>
    </w:p>
    <w:p>
      <w:pPr>
        <w:ind w:left="2100" w:hanging="472"/>
        <w:spacing w:after="0"/>
        <w:tabs>
          <w:tab w:leader="none" w:pos="21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the Company’s common stock, par value $.10 per share.</w:t>
      </w:r>
    </w:p>
    <w:p>
      <w:pPr>
        <w:spacing w:after="0" w:line="180" w:lineRule="exact"/>
        <w:rPr>
          <w:rFonts w:ascii="Arial" w:cs="Arial" w:eastAsia="Arial" w:hAnsi="Arial"/>
          <w:sz w:val="16"/>
          <w:szCs w:val="16"/>
          <w:color w:val="auto"/>
        </w:rPr>
      </w:pPr>
    </w:p>
    <w:p>
      <w:pPr>
        <w:ind w:left="2120" w:hanging="492"/>
        <w:spacing w:after="0"/>
        <w:tabs>
          <w:tab w:leader="none" w:pos="2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MasTec, Inc., a Florida corporation.</w:t>
      </w:r>
    </w:p>
    <w:p>
      <w:pPr>
        <w:spacing w:after="0" w:line="194" w:lineRule="exact"/>
        <w:rPr>
          <w:rFonts w:ascii="Arial" w:cs="Arial" w:eastAsia="Arial" w:hAnsi="Arial"/>
          <w:sz w:val="16"/>
          <w:szCs w:val="16"/>
          <w:color w:val="auto"/>
        </w:rPr>
      </w:pPr>
    </w:p>
    <w:p>
      <w:pPr>
        <w:jc w:val="both"/>
        <w:ind w:firstLine="1628"/>
        <w:spacing w:after="0" w:line="252" w:lineRule="auto"/>
        <w:tabs>
          <w:tab w:leader="none" w:pos="2133"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means, with respect to each Participant for each pay period, the full base salary and overtime paid to such Participant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or a Designated Subsidiary. Except as otherwise determined by the Committee, “Compensation” does not include: (i) bonuses or commissions, (ii) any amounts contributed by the Company or a Designated Subsidiary to any pension plan, (iii) any automobile or relocation allowances (or reimbursement for any such expenses), (iv) any amounts paid as a starting bonus or finder’s fee, (v) any amounts realized from the exercise of any stock options or incentive awards, (vi) any amounts paid by the Company or a Designated Subsidiary for other fringe benefits, such as health and welfare, hospitalization and group life insurance benefits, or perquisites, or paid in lieu of such benefits, or (vii) other similar forms of extraordinary compensation.</w:t>
      </w:r>
    </w:p>
    <w:p>
      <w:pPr>
        <w:spacing w:after="0" w:line="150" w:lineRule="exact"/>
        <w:rPr>
          <w:rFonts w:ascii="Arial" w:cs="Arial" w:eastAsia="Arial" w:hAnsi="Arial"/>
          <w:sz w:val="16"/>
          <w:szCs w:val="16"/>
          <w:color w:val="auto"/>
        </w:rPr>
      </w:pPr>
    </w:p>
    <w:p>
      <w:pPr>
        <w:jc w:val="both"/>
        <w:ind w:firstLine="1628"/>
        <w:spacing w:after="0" w:line="286" w:lineRule="auto"/>
        <w:tabs>
          <w:tab w:leader="none" w:pos="2119" w:val="left"/>
        </w:tabs>
        <w:numPr>
          <w:ilvl w:val="1"/>
          <w:numId w:val="4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Continuous Status as an Employee</w:t>
      </w:r>
      <w:r>
        <w:rPr>
          <w:rFonts w:ascii="Arial" w:cs="Arial" w:eastAsia="Arial" w:hAnsi="Arial"/>
          <w:sz w:val="15"/>
          <w:szCs w:val="15"/>
          <w:color w:val="auto"/>
        </w:rPr>
        <w:t>” means the absence of any interruption or termination of service as an Employee. Continuous Status as an Employee shall not be considered interrupted in the case of a leave of absence agreed to in writing by the Company or the Designated Subsidiary that employs the Employee, provided that such leave is for a period of not more than 90 days or reemployment upon the expiration of such leave is guaranteed by contract or statute.</w:t>
      </w:r>
    </w:p>
    <w:p>
      <w:pPr>
        <w:spacing w:after="0" w:line="125" w:lineRule="exact"/>
        <w:rPr>
          <w:rFonts w:ascii="Arial" w:cs="Arial" w:eastAsia="Arial" w:hAnsi="Arial"/>
          <w:sz w:val="15"/>
          <w:szCs w:val="15"/>
          <w:color w:val="auto"/>
        </w:rPr>
      </w:pPr>
    </w:p>
    <w:p>
      <w:pPr>
        <w:ind w:firstLine="1628"/>
        <w:spacing w:after="0" w:line="275" w:lineRule="auto"/>
        <w:tabs>
          <w:tab w:leader="none" w:pos="211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Subsidiaries</w:t>
      </w:r>
      <w:r>
        <w:rPr>
          <w:rFonts w:ascii="Arial" w:cs="Arial" w:eastAsia="Arial" w:hAnsi="Arial"/>
          <w:sz w:val="16"/>
          <w:szCs w:val="16"/>
          <w:color w:val="auto"/>
        </w:rPr>
        <w:t>” means the Subsidiaries that have been designated by the Board or the Committee from time to time in their sole discretion as eligible to participate in the Plan.</w:t>
      </w:r>
    </w:p>
    <w:p>
      <w:pPr>
        <w:spacing w:after="0" w:line="145" w:lineRule="exact"/>
        <w:rPr>
          <w:rFonts w:ascii="Arial" w:cs="Arial" w:eastAsia="Arial" w:hAnsi="Arial"/>
          <w:sz w:val="16"/>
          <w:szCs w:val="16"/>
          <w:color w:val="auto"/>
        </w:rPr>
      </w:pPr>
    </w:p>
    <w:p>
      <w:pPr>
        <w:ind w:firstLine="1628"/>
        <w:spacing w:after="0" w:line="275" w:lineRule="auto"/>
        <w:tabs>
          <w:tab w:leader="none" w:pos="20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w:t>
      </w:r>
      <w:r>
        <w:rPr>
          <w:rFonts w:ascii="Arial" w:cs="Arial" w:eastAsia="Arial" w:hAnsi="Arial"/>
          <w:sz w:val="16"/>
          <w:szCs w:val="16"/>
          <w:color w:val="auto"/>
        </w:rPr>
        <w:t>” means any person, including an Officer, whose customary employment with the Company or one of its Designated Subsidiaries is at least twenty (20) hours per week.</w:t>
      </w:r>
    </w:p>
    <w:p>
      <w:pPr>
        <w:spacing w:after="0" w:line="131" w:lineRule="exact"/>
        <w:rPr>
          <w:rFonts w:ascii="Arial" w:cs="Arial" w:eastAsia="Arial" w:hAnsi="Arial"/>
          <w:sz w:val="16"/>
          <w:szCs w:val="16"/>
          <w:color w:val="auto"/>
        </w:rPr>
      </w:pPr>
    </w:p>
    <w:p>
      <w:pPr>
        <w:ind w:left="2120" w:hanging="492"/>
        <w:spacing w:after="0"/>
        <w:tabs>
          <w:tab w:leader="none" w:pos="2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Entry Date</w:t>
      </w:r>
      <w:r>
        <w:rPr>
          <w:rFonts w:ascii="Arial" w:cs="Arial" w:eastAsia="Arial" w:hAnsi="Arial"/>
          <w:sz w:val="16"/>
          <w:szCs w:val="16"/>
          <w:color w:val="auto"/>
        </w:rPr>
        <w:t>” means the first day of each Offering Period.</w:t>
      </w:r>
    </w:p>
    <w:p>
      <w:pPr>
        <w:spacing w:after="0" w:line="180" w:lineRule="exact"/>
        <w:rPr>
          <w:rFonts w:ascii="Arial" w:cs="Arial" w:eastAsia="Arial" w:hAnsi="Arial"/>
          <w:sz w:val="16"/>
          <w:szCs w:val="16"/>
          <w:color w:val="auto"/>
        </w:rPr>
      </w:pPr>
    </w:p>
    <w:p>
      <w:pPr>
        <w:ind w:left="2100" w:hanging="472"/>
        <w:spacing w:after="0"/>
        <w:tabs>
          <w:tab w:leader="none" w:pos="21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w:t>
      </w:r>
    </w:p>
    <w:p>
      <w:pPr>
        <w:spacing w:after="0" w:line="194" w:lineRule="exact"/>
        <w:rPr>
          <w:rFonts w:ascii="Arial" w:cs="Arial" w:eastAsia="Arial" w:hAnsi="Arial"/>
          <w:sz w:val="16"/>
          <w:szCs w:val="16"/>
          <w:color w:val="auto"/>
        </w:rPr>
      </w:pPr>
    </w:p>
    <w:p>
      <w:pPr>
        <w:ind w:left="2100" w:hanging="472"/>
        <w:spacing w:after="0"/>
        <w:tabs>
          <w:tab w:leader="none" w:pos="21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Exercise Date</w:t>
      </w:r>
      <w:r>
        <w:rPr>
          <w:rFonts w:ascii="Arial" w:cs="Arial" w:eastAsia="Arial" w:hAnsi="Arial"/>
          <w:sz w:val="16"/>
          <w:szCs w:val="16"/>
          <w:color w:val="auto"/>
        </w:rPr>
        <w:t>” means the last Trading Day of each Offering Period.</w:t>
      </w:r>
    </w:p>
    <w:p>
      <w:pPr>
        <w:spacing w:after="0" w:line="180" w:lineRule="exact"/>
        <w:rPr>
          <w:rFonts w:ascii="Arial" w:cs="Arial" w:eastAsia="Arial" w:hAnsi="Arial"/>
          <w:sz w:val="16"/>
          <w:szCs w:val="16"/>
          <w:color w:val="auto"/>
        </w:rPr>
      </w:pPr>
    </w:p>
    <w:p>
      <w:pPr>
        <w:ind w:left="2120" w:hanging="492"/>
        <w:spacing w:after="0"/>
        <w:tabs>
          <w:tab w:leader="none" w:pos="2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Reserved.</w:t>
      </w:r>
    </w:p>
    <w:p>
      <w:pPr>
        <w:spacing w:after="0" w:line="180" w:lineRule="exact"/>
        <w:rPr>
          <w:rFonts w:ascii="Arial" w:cs="Arial" w:eastAsia="Arial" w:hAnsi="Arial"/>
          <w:sz w:val="16"/>
          <w:szCs w:val="16"/>
          <w:color w:val="auto"/>
        </w:rPr>
      </w:pPr>
    </w:p>
    <w:p>
      <w:pPr>
        <w:ind w:left="2120" w:hanging="492"/>
        <w:spacing w:after="0"/>
        <w:tabs>
          <w:tab w:leader="none" w:pos="2120" w:val="left"/>
        </w:tabs>
        <w:numPr>
          <w:ilvl w:val="1"/>
          <w:numId w:val="4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Exercise Price</w:t>
      </w:r>
      <w:r>
        <w:rPr>
          <w:rFonts w:ascii="Arial" w:cs="Arial" w:eastAsia="Arial" w:hAnsi="Arial"/>
          <w:sz w:val="15"/>
          <w:szCs w:val="15"/>
          <w:color w:val="auto"/>
        </w:rPr>
        <w:t>” means the price per share of Common Stock offered in a given Offering Period determined as provided in Section 7(b).</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2</w:t>
      </w:r>
    </w:p>
    <w:p>
      <w:pPr>
        <w:sectPr>
          <w:pgSz w:w="11900" w:h="16838" w:orient="portrait"/>
          <w:cols w:equalWidth="0" w:num="1">
            <w:col w:w="11240"/>
          </w:cols>
          <w:pgMar w:left="320" w:top="855" w:right="339" w:bottom="1440" w:gutter="0" w:footer="0" w:header="0"/>
        </w:sectPr>
      </w:pPr>
    </w:p>
    <w:bookmarkStart w:id="113" w:name="page114"/>
    <w:bookmarkEnd w:id="113"/>
    <w:p>
      <w:pPr>
        <w:ind w:left="2120" w:hanging="492"/>
        <w:spacing w:after="0"/>
        <w:tabs>
          <w:tab w:leader="none" w:pos="21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 share of Common Stock, the Fair Market Value as determined under Section 7(c).</w:t>
      </w:r>
    </w:p>
    <w:p>
      <w:pPr>
        <w:spacing w:after="0" w:line="180" w:lineRule="exact"/>
        <w:rPr>
          <w:rFonts w:ascii="Arial" w:cs="Arial" w:eastAsia="Arial" w:hAnsi="Arial"/>
          <w:sz w:val="16"/>
          <w:szCs w:val="16"/>
          <w:color w:val="auto"/>
        </w:rPr>
      </w:pPr>
    </w:p>
    <w:p>
      <w:pPr>
        <w:ind w:left="2120" w:hanging="492"/>
        <w:spacing w:after="0"/>
        <w:tabs>
          <w:tab w:leader="none" w:pos="21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Offering Date</w:t>
      </w:r>
      <w:r>
        <w:rPr>
          <w:rFonts w:ascii="Arial" w:cs="Arial" w:eastAsia="Arial" w:hAnsi="Arial"/>
          <w:sz w:val="16"/>
          <w:szCs w:val="16"/>
          <w:color w:val="auto"/>
        </w:rPr>
        <w:t>” means July 1, 2011.</w:t>
      </w:r>
    </w:p>
    <w:p>
      <w:pPr>
        <w:spacing w:after="0" w:line="194" w:lineRule="exact"/>
        <w:rPr>
          <w:rFonts w:ascii="Arial" w:cs="Arial" w:eastAsia="Arial" w:hAnsi="Arial"/>
          <w:sz w:val="16"/>
          <w:szCs w:val="16"/>
          <w:color w:val="auto"/>
        </w:rPr>
      </w:pPr>
    </w:p>
    <w:p>
      <w:pPr>
        <w:ind w:left="2160" w:hanging="532"/>
        <w:spacing w:after="0"/>
        <w:tabs>
          <w:tab w:leader="none" w:pos="21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Insider Trading Policy</w:t>
      </w:r>
      <w:r>
        <w:rPr>
          <w:rFonts w:ascii="Arial" w:cs="Arial" w:eastAsia="Arial" w:hAnsi="Arial"/>
          <w:sz w:val="15"/>
          <w:szCs w:val="15"/>
          <w:color w:val="auto"/>
        </w:rPr>
        <w:t>” means Company’s Statement of Company Policy Regarding Insider Trading as in effect from time to time.</w:t>
      </w:r>
    </w:p>
    <w:p>
      <w:pPr>
        <w:spacing w:after="0" w:line="192" w:lineRule="exact"/>
        <w:rPr>
          <w:rFonts w:ascii="Arial" w:cs="Arial" w:eastAsia="Arial" w:hAnsi="Arial"/>
          <w:sz w:val="15"/>
          <w:szCs w:val="15"/>
          <w:color w:val="auto"/>
        </w:rPr>
      </w:pPr>
    </w:p>
    <w:p>
      <w:pPr>
        <w:ind w:left="2140" w:hanging="512"/>
        <w:spacing w:after="0"/>
        <w:tabs>
          <w:tab w:leader="none" w:pos="21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MNPI</w:t>
      </w:r>
      <w:r>
        <w:rPr>
          <w:rFonts w:ascii="Arial" w:cs="Arial" w:eastAsia="Arial" w:hAnsi="Arial"/>
          <w:sz w:val="16"/>
          <w:szCs w:val="16"/>
          <w:color w:val="auto"/>
        </w:rPr>
        <w:t>” means material non-public information (“MNPI”) relating to the Company.</w:t>
      </w:r>
    </w:p>
    <w:p>
      <w:pPr>
        <w:spacing w:after="0" w:line="180" w:lineRule="exact"/>
        <w:rPr>
          <w:rFonts w:ascii="Arial" w:cs="Arial" w:eastAsia="Arial" w:hAnsi="Arial"/>
          <w:sz w:val="16"/>
          <w:szCs w:val="16"/>
          <w:color w:val="auto"/>
        </w:rPr>
      </w:pPr>
    </w:p>
    <w:p>
      <w:pPr>
        <w:ind w:left="2100" w:hanging="472"/>
        <w:spacing w:after="0"/>
        <w:tabs>
          <w:tab w:leader="none" w:pos="21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Offering Date</w:t>
      </w:r>
      <w:r>
        <w:rPr>
          <w:rFonts w:ascii="Arial" w:cs="Arial" w:eastAsia="Arial" w:hAnsi="Arial"/>
          <w:sz w:val="16"/>
          <w:szCs w:val="16"/>
          <w:color w:val="auto"/>
        </w:rPr>
        <w:t>” means the first Trading Day of each Offering Period.</w:t>
      </w:r>
    </w:p>
    <w:p>
      <w:pPr>
        <w:spacing w:after="0" w:line="194" w:lineRule="exact"/>
        <w:rPr>
          <w:rFonts w:ascii="Arial" w:cs="Arial" w:eastAsia="Arial" w:hAnsi="Arial"/>
          <w:sz w:val="16"/>
          <w:szCs w:val="16"/>
          <w:color w:val="auto"/>
        </w:rPr>
      </w:pPr>
    </w:p>
    <w:p>
      <w:pPr>
        <w:jc w:val="both"/>
        <w:ind w:firstLine="1628"/>
        <w:spacing w:after="0" w:line="251" w:lineRule="auto"/>
        <w:tabs>
          <w:tab w:leader="none" w:pos="2133"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Offering Period</w:t>
      </w:r>
      <w:r>
        <w:rPr>
          <w:rFonts w:ascii="Arial" w:cs="Arial" w:eastAsia="Arial" w:hAnsi="Arial"/>
          <w:sz w:val="16"/>
          <w:szCs w:val="16"/>
          <w:color w:val="auto"/>
        </w:rPr>
        <w:t>” means, with respect to the Offering Period that begins on January 1, 2021, the period beginning on January 1, 2021 and ending on January 13, 2021. With respect to Offering Periods that begin on or after January 14, 2021, each fourteen (14) calendar day period that begins every second succeeding Thursday and ends fourteen (14) days later on the second succeeding Wednesday, beginning with the Thursday occurring on January 14, 2021. For example, the first Offering Period that begins after January 13, 2021, shall begin on Thursday, January 14, 2021 and end on Wednesday, January 27, 2021, the next Offering Period shall begin on Thursday, January 28, 2021 and end on Wednesday, February 10, 2021, and the next Offering Period shall begin on Thursday, February 11, 2021 and end on Wednesday, February 24, 2021, and subsequent Offering Periods shall continue as described in this Section 2(u). Each Offering Period shall be subject to adjustment as provided in Section 4(b).</w:t>
      </w:r>
    </w:p>
    <w:p>
      <w:pPr>
        <w:spacing w:after="0" w:line="151" w:lineRule="exact"/>
        <w:rPr>
          <w:rFonts w:ascii="Arial" w:cs="Arial" w:eastAsia="Arial" w:hAnsi="Arial"/>
          <w:sz w:val="16"/>
          <w:szCs w:val="16"/>
          <w:color w:val="auto"/>
        </w:rPr>
      </w:pPr>
    </w:p>
    <w:p>
      <w:pPr>
        <w:ind w:firstLine="1628"/>
        <w:spacing w:after="0" w:line="275" w:lineRule="auto"/>
        <w:tabs>
          <w:tab w:leader="none" w:pos="21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a person who is an officer of the Company within the meaning of Section 16 under the Exchange Act and the rules and regulations promulgated thereunder.</w:t>
      </w:r>
    </w:p>
    <w:p>
      <w:pPr>
        <w:spacing w:after="0" w:line="131" w:lineRule="exact"/>
        <w:rPr>
          <w:rFonts w:ascii="Arial" w:cs="Arial" w:eastAsia="Arial" w:hAnsi="Arial"/>
          <w:sz w:val="16"/>
          <w:szCs w:val="16"/>
          <w:color w:val="auto"/>
        </w:rPr>
      </w:pPr>
    </w:p>
    <w:p>
      <w:pPr>
        <w:ind w:left="2200" w:hanging="572"/>
        <w:spacing w:after="0"/>
        <w:tabs>
          <w:tab w:leader="none" w:pos="22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Participant</w:t>
      </w:r>
      <w:r>
        <w:rPr>
          <w:rFonts w:ascii="Arial" w:cs="Arial" w:eastAsia="Arial" w:hAnsi="Arial"/>
          <w:sz w:val="15"/>
          <w:szCs w:val="15"/>
          <w:color w:val="auto"/>
        </w:rPr>
        <w:t>” means an Employee who has elected to participate in the Plan by filing an enrollment agreement with the Company as</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provided in Section 5 hereof.</w:t>
      </w:r>
    </w:p>
    <w:p>
      <w:pPr>
        <w:spacing w:after="0" w:line="180" w:lineRule="exact"/>
        <w:rPr>
          <w:rFonts w:ascii="Arial" w:cs="Arial" w:eastAsia="Arial" w:hAnsi="Arial"/>
          <w:sz w:val="15"/>
          <w:szCs w:val="15"/>
          <w:color w:val="auto"/>
        </w:rPr>
      </w:pPr>
    </w:p>
    <w:p>
      <w:pPr>
        <w:ind w:left="2120" w:hanging="492"/>
        <w:spacing w:after="0"/>
        <w:tabs>
          <w:tab w:leader="none" w:pos="21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this MasTec, Inc. Amended and Restated 2011 Employee Stock Purchase Plan.</w:t>
      </w:r>
    </w:p>
    <w:p>
      <w:pPr>
        <w:spacing w:after="0" w:line="180" w:lineRule="exact"/>
        <w:rPr>
          <w:rFonts w:ascii="Arial" w:cs="Arial" w:eastAsia="Arial" w:hAnsi="Arial"/>
          <w:sz w:val="16"/>
          <w:szCs w:val="16"/>
          <w:color w:val="auto"/>
        </w:rPr>
      </w:pPr>
    </w:p>
    <w:p>
      <w:pPr>
        <w:jc w:val="both"/>
        <w:ind w:right="20" w:firstLine="1628"/>
        <w:spacing w:after="0" w:line="261" w:lineRule="auto"/>
        <w:tabs>
          <w:tab w:leader="none" w:pos="21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Plan Contributions</w:t>
      </w:r>
      <w:r>
        <w:rPr>
          <w:rFonts w:ascii="Arial" w:cs="Arial" w:eastAsia="Arial" w:hAnsi="Arial"/>
          <w:sz w:val="16"/>
          <w:szCs w:val="16"/>
          <w:color w:val="auto"/>
        </w:rPr>
        <w:t>” means, with respect to each Participant, the lump sum cash transfers, if any, made by the Participant to the Plan pursuant to Section 6 hereof, plus the after-tax payroll deductions, if any, withheld from the Compensation of the Participant and contributed to the Plan for the Participant as provided in Section 6 hereof, and any other amounts contributed to the Plan for the Participant in accordance with the terms of the Plan.</w:t>
      </w:r>
    </w:p>
    <w:p>
      <w:pPr>
        <w:spacing w:after="0" w:line="142" w:lineRule="exact"/>
        <w:rPr>
          <w:rFonts w:ascii="Arial" w:cs="Arial" w:eastAsia="Arial" w:hAnsi="Arial"/>
          <w:sz w:val="16"/>
          <w:szCs w:val="16"/>
          <w:color w:val="auto"/>
        </w:rPr>
      </w:pPr>
    </w:p>
    <w:p>
      <w:pPr>
        <w:jc w:val="both"/>
        <w:ind w:firstLine="1628"/>
        <w:spacing w:after="0" w:line="293" w:lineRule="auto"/>
        <w:tabs>
          <w:tab w:leader="none" w:pos="2137" w:val="left"/>
        </w:tabs>
        <w:numPr>
          <w:ilvl w:val="0"/>
          <w:numId w:val="4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Payroll Deduction Period</w:t>
      </w:r>
      <w:r>
        <w:rPr>
          <w:rFonts w:ascii="Arial" w:cs="Arial" w:eastAsia="Arial" w:hAnsi="Arial"/>
          <w:sz w:val="14"/>
          <w:szCs w:val="14"/>
          <w:color w:val="auto"/>
        </w:rPr>
        <w:t>” means, with respect to the Offering Period that begins on January 1, 2021 and ends on January 13, 2021, the period beginning on January 1, 2021 and ending on January 8, 2021, and with respect to Offering Periods that begin on or after January 14, 2021, the twelve (12) calendar day period that begins every Monday that immediately precedes the first day of the Offering Period to which the Payroll Deduction Period applies, and ends on the Friday that immediately precedes the last day of the Offering Period to which the Payroll Deduction Period applies. For example, the Payroll Deduction Period that applies to the Offering Period that begins on January 14, 2021 shall begin on Monday, January 11, 2021 and end on Friday, January 22, 2021, and the Payroll Deduction Period that applies to the Offering Period that begins on January 28, 2021, shall begin on Monday, January 25, 2021 and end on Friday, February 5, 2021, and subsequent Payroll Deduction Periods shall continue as described in this Section 2(z). Each Payroll Deduction Period shall be subject to adjustment as provided in Section 4(b).</w:t>
      </w:r>
    </w:p>
    <w:p>
      <w:pPr>
        <w:spacing w:after="0" w:line="136" w:lineRule="exact"/>
        <w:rPr>
          <w:sz w:val="20"/>
          <w:szCs w:val="20"/>
          <w:color w:val="auto"/>
        </w:rPr>
      </w:pPr>
    </w:p>
    <w:p>
      <w:pPr>
        <w:ind w:left="1980" w:hanging="352"/>
        <w:spacing w:after="0"/>
        <w:tabs>
          <w:tab w:leader="none" w:pos="1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Pre-Clearance Insider</w:t>
      </w:r>
      <w:r>
        <w:rPr>
          <w:rFonts w:ascii="Arial" w:cs="Arial" w:eastAsia="Arial" w:hAnsi="Arial"/>
          <w:sz w:val="16"/>
          <w:szCs w:val="16"/>
          <w:color w:val="auto"/>
        </w:rPr>
        <w:t>” shall have the meaning set forth in the Insider Trading Policy.</w:t>
      </w:r>
    </w:p>
    <w:p>
      <w:pPr>
        <w:spacing w:after="0" w:line="180" w:lineRule="exact"/>
        <w:rPr>
          <w:rFonts w:ascii="Arial" w:cs="Arial" w:eastAsia="Arial" w:hAnsi="Arial"/>
          <w:sz w:val="16"/>
          <w:szCs w:val="16"/>
          <w:color w:val="auto"/>
        </w:rPr>
      </w:pPr>
    </w:p>
    <w:p>
      <w:pPr>
        <w:ind w:firstLine="1628"/>
        <w:spacing w:after="0" w:line="275" w:lineRule="auto"/>
        <w:tabs>
          <w:tab w:leader="none" w:pos="2079" w:val="left"/>
        </w:tabs>
        <w:numPr>
          <w:ilvl w:val="0"/>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corporation, domestic or foreign, of which the Company owns, directly or indirectly, 50% or more of the total combined voting power of all classes of stock, and that otherwise qualifies as a “subsidiary corporation” within the meaning of Section 424(f) of the Code.</w:t>
      </w:r>
    </w:p>
    <w:p>
      <w:pPr>
        <w:spacing w:after="0" w:line="131" w:lineRule="exact"/>
        <w:rPr>
          <w:rFonts w:ascii="Arial" w:cs="Arial" w:eastAsia="Arial" w:hAnsi="Arial"/>
          <w:sz w:val="16"/>
          <w:szCs w:val="16"/>
          <w:color w:val="auto"/>
        </w:rPr>
      </w:pPr>
    </w:p>
    <w:p>
      <w:pPr>
        <w:ind w:left="1980" w:hanging="352"/>
        <w:spacing w:after="0"/>
        <w:tabs>
          <w:tab w:leader="none" w:pos="1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Trading Day</w:t>
      </w:r>
      <w:r>
        <w:rPr>
          <w:rFonts w:ascii="Arial" w:cs="Arial" w:eastAsia="Arial" w:hAnsi="Arial"/>
          <w:sz w:val="16"/>
          <w:szCs w:val="16"/>
          <w:color w:val="auto"/>
        </w:rPr>
        <w:t>” means a day on which the national stock exchanges and the Nasdaq system are open for trading.</w:t>
      </w:r>
    </w:p>
    <w:p>
      <w:pPr>
        <w:spacing w:after="0" w:line="194" w:lineRule="exact"/>
        <w:rPr>
          <w:rFonts w:ascii="Arial" w:cs="Arial" w:eastAsia="Arial" w:hAnsi="Arial"/>
          <w:sz w:val="16"/>
          <w:szCs w:val="16"/>
          <w:color w:val="auto"/>
        </w:rPr>
      </w:pPr>
    </w:p>
    <w:p>
      <w:pPr>
        <w:ind w:left="2000" w:hanging="372"/>
        <w:spacing w:after="0"/>
        <w:tabs>
          <w:tab w:leader="none" w:pos="200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“Trading Window</w:t>
      </w:r>
      <w:r>
        <w:rPr>
          <w:rFonts w:ascii="Arial" w:cs="Arial" w:eastAsia="Arial" w:hAnsi="Arial"/>
          <w:sz w:val="16"/>
          <w:szCs w:val="16"/>
          <w:color w:val="auto"/>
        </w:rPr>
        <w:t>” shall have the meaning set forth in the Insider Trading Policy.</w:t>
      </w:r>
    </w:p>
    <w:p>
      <w:pPr>
        <w:spacing w:after="0" w:line="181"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ind w:firstLine="1628"/>
        <w:spacing w:after="0" w:line="275" w:lineRule="auto"/>
        <w:tabs>
          <w:tab w:leader="none" w:pos="1944" w:val="left"/>
        </w:tabs>
        <w:numPr>
          <w:ilvl w:val="1"/>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First Offering Date</w:t>
      </w:r>
      <w:r>
        <w:rPr>
          <w:rFonts w:ascii="Arial" w:cs="Arial" w:eastAsia="Arial" w:hAnsi="Arial"/>
          <w:sz w:val="16"/>
          <w:szCs w:val="16"/>
          <w:color w:val="auto"/>
        </w:rPr>
        <w:t>. Any individual who is an Employee as of the First Offering Date and has been employed by the Company or any</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(or any predecessor) for 30 days preceding the First Offering Date shall be eligible to become a Participant as of the First Offering Date.</w:t>
      </w:r>
    </w:p>
    <w:p>
      <w:pPr>
        <w:spacing w:after="0" w:line="145" w:lineRule="exact"/>
        <w:rPr>
          <w:rFonts w:ascii="Arial" w:cs="Arial" w:eastAsia="Arial" w:hAnsi="Arial"/>
          <w:sz w:val="16"/>
          <w:szCs w:val="16"/>
          <w:i w:val="1"/>
          <w:iCs w:val="1"/>
          <w:color w:val="auto"/>
        </w:rPr>
      </w:pPr>
    </w:p>
    <w:p>
      <w:pPr>
        <w:jc w:val="both"/>
        <w:ind w:firstLine="1628"/>
        <w:spacing w:after="0" w:line="261" w:lineRule="auto"/>
        <w:tabs>
          <w:tab w:leader="none" w:pos="1944" w:val="left"/>
        </w:tabs>
        <w:numPr>
          <w:ilvl w:val="1"/>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Subsequent Offering Dates</w:t>
      </w:r>
      <w:r>
        <w:rPr>
          <w:rFonts w:ascii="Arial" w:cs="Arial" w:eastAsia="Arial" w:hAnsi="Arial"/>
          <w:sz w:val="16"/>
          <w:szCs w:val="16"/>
          <w:color w:val="auto"/>
        </w:rPr>
        <w:t>. Any individual who is an Employee as of the first Offering Date to occur in a given calendar month (the “</w:t>
      </w:r>
      <w:r>
        <w:rPr>
          <w:rFonts w:ascii="Arial" w:cs="Arial" w:eastAsia="Arial" w:hAnsi="Arial"/>
          <w:sz w:val="16"/>
          <w:szCs w:val="16"/>
          <w:i w:val="1"/>
          <w:iCs w:val="1"/>
          <w:color w:val="auto"/>
        </w:rPr>
        <w:t>First Eligible Offering Date</w:t>
      </w:r>
      <w:r>
        <w:rPr>
          <w:rFonts w:ascii="Arial" w:cs="Arial" w:eastAsia="Arial" w:hAnsi="Arial"/>
          <w:sz w:val="16"/>
          <w:szCs w:val="16"/>
          <w:color w:val="auto"/>
        </w:rPr>
        <w:t>”) and has been employed by the Company or any Subsidiary (or any predecessor) for thirty (30) days preceding the first day of the calendar month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First Eligible Offering Date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3</w:t>
      </w:r>
    </w:p>
    <w:p>
      <w:pPr>
        <w:sectPr>
          <w:pgSz w:w="11900" w:h="16838" w:orient="portrait"/>
          <w:cols w:equalWidth="0" w:num="1">
            <w:col w:w="11240"/>
          </w:cols>
          <w:pgMar w:left="320" w:top="859" w:right="339" w:bottom="1440" w:gutter="0" w:footer="0" w:header="0"/>
        </w:sectPr>
      </w:pPr>
    </w:p>
    <w:bookmarkStart w:id="114" w:name="page115"/>
    <w:bookmarkEnd w:id="114"/>
    <w:p>
      <w:pPr>
        <w:jc w:val="both"/>
        <w:spacing w:after="0" w:line="261" w:lineRule="auto"/>
        <w:rPr>
          <w:sz w:val="20"/>
          <w:szCs w:val="20"/>
          <w:color w:val="auto"/>
        </w:rPr>
      </w:pPr>
      <w:r>
        <w:rPr>
          <w:rFonts w:ascii="Arial" w:cs="Arial" w:eastAsia="Arial" w:hAnsi="Arial"/>
          <w:sz w:val="16"/>
          <w:szCs w:val="16"/>
          <w:color w:val="auto"/>
        </w:rPr>
        <w:t>occurs, shall be eligible to become a Participant as of the First Eligible Offering Date. For example, subject to the limitations set forth in Section 5(c), an individual that first became an Employee on January 22, 2021 would be eligible to become a Participant on the Offering Date occurring on March 11, 2021, provided that the individual remained an Employee on March 11, 2021.</w:t>
      </w:r>
    </w:p>
    <w:p>
      <w:pPr>
        <w:spacing w:after="0" w:line="142"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Offering Periods</w:t>
      </w:r>
      <w:r>
        <w:rPr>
          <w:rFonts w:ascii="Arial" w:cs="Arial" w:eastAsia="Arial" w:hAnsi="Arial"/>
          <w:sz w:val="16"/>
          <w:szCs w:val="16"/>
          <w:color w:val="auto"/>
        </w:rPr>
        <w:t>.</w:t>
      </w:r>
    </w:p>
    <w:p>
      <w:pPr>
        <w:spacing w:after="0" w:line="194" w:lineRule="exact"/>
        <w:rPr>
          <w:rFonts w:ascii="Arial" w:cs="Arial" w:eastAsia="Arial" w:hAnsi="Arial"/>
          <w:sz w:val="16"/>
          <w:szCs w:val="16"/>
          <w:i w:val="1"/>
          <w:iCs w:val="1"/>
          <w:color w:val="auto"/>
        </w:rPr>
      </w:pPr>
    </w:p>
    <w:p>
      <w:pPr>
        <w:ind w:firstLine="1628"/>
        <w:spacing w:after="0" w:line="275" w:lineRule="auto"/>
        <w:tabs>
          <w:tab w:leader="none" w:pos="1944" w:val="left"/>
        </w:tabs>
        <w:numPr>
          <w:ilvl w:val="1"/>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In General</w:t>
      </w:r>
      <w:r>
        <w:rPr>
          <w:rFonts w:ascii="Arial" w:cs="Arial" w:eastAsia="Arial" w:hAnsi="Arial"/>
          <w:sz w:val="16"/>
          <w:szCs w:val="16"/>
          <w:color w:val="auto"/>
        </w:rPr>
        <w:t>. The Plan shall generally be implemented by a series of Offering Periods the first of which shall begin on January 1, 2021. The</w:t>
      </w:r>
      <w:r>
        <w:rPr>
          <w:rFonts w:ascii="Arial" w:cs="Arial" w:eastAsia="Arial" w:hAnsi="Arial"/>
          <w:sz w:val="16"/>
          <w:szCs w:val="16"/>
          <w:i w:val="1"/>
          <w:iCs w:val="1"/>
          <w:color w:val="auto"/>
        </w:rPr>
        <w:t xml:space="preserve"> </w:t>
      </w:r>
      <w:r>
        <w:rPr>
          <w:rFonts w:ascii="Arial" w:cs="Arial" w:eastAsia="Arial" w:hAnsi="Arial"/>
          <w:sz w:val="16"/>
          <w:szCs w:val="16"/>
          <w:color w:val="auto"/>
        </w:rPr>
        <w:t>duration of any Offering Period shall be subject to adjustment as provided in Section 4(b).</w:t>
      </w:r>
    </w:p>
    <w:p>
      <w:pPr>
        <w:spacing w:after="0" w:line="131" w:lineRule="exact"/>
        <w:rPr>
          <w:rFonts w:ascii="Arial" w:cs="Arial" w:eastAsia="Arial" w:hAnsi="Arial"/>
          <w:sz w:val="16"/>
          <w:szCs w:val="16"/>
          <w:i w:val="1"/>
          <w:iCs w:val="1"/>
          <w:color w:val="auto"/>
        </w:rPr>
      </w:pPr>
    </w:p>
    <w:p>
      <w:pPr>
        <w:ind w:left="1960" w:hanging="332"/>
        <w:spacing w:after="0"/>
        <w:tabs>
          <w:tab w:leader="none" w:pos="1960" w:val="left"/>
        </w:tabs>
        <w:numPr>
          <w:ilvl w:val="1"/>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Changes by Committee</w:t>
      </w:r>
      <w:r>
        <w:rPr>
          <w:rFonts w:ascii="Arial" w:cs="Arial" w:eastAsia="Arial" w:hAnsi="Arial"/>
          <w:sz w:val="16"/>
          <w:szCs w:val="16"/>
          <w:color w:val="auto"/>
        </w:rPr>
        <w:t>.</w:t>
      </w:r>
    </w:p>
    <w:p>
      <w:pPr>
        <w:spacing w:after="0" w:line="181" w:lineRule="exact"/>
        <w:rPr>
          <w:sz w:val="20"/>
          <w:szCs w:val="20"/>
          <w:color w:val="auto"/>
        </w:rPr>
      </w:pPr>
    </w:p>
    <w:p>
      <w:pPr>
        <w:jc w:val="both"/>
        <w:ind w:firstLine="1858"/>
        <w:spacing w:after="0" w:line="261" w:lineRule="auto"/>
        <w:rPr>
          <w:sz w:val="20"/>
          <w:szCs w:val="20"/>
          <w:color w:val="auto"/>
        </w:rPr>
      </w:pPr>
      <w:r>
        <w:rPr>
          <w:rFonts w:ascii="Arial" w:cs="Arial" w:eastAsia="Arial" w:hAnsi="Arial"/>
          <w:sz w:val="16"/>
          <w:szCs w:val="16"/>
          <w:color w:val="auto"/>
        </w:rPr>
        <w:t>i.The Committee shall have the power to make other changes to the duration and/or the frequency of Offering Periods and the corresponding Payroll Deduction Periods with respect to future offerings if such change is announced at least one (1) calendar day prior to the scheduled beginning of the first Offering Period to be affected.</w:t>
      </w:r>
    </w:p>
    <w:p>
      <w:pPr>
        <w:spacing w:after="0" w:line="156" w:lineRule="exact"/>
        <w:rPr>
          <w:sz w:val="20"/>
          <w:szCs w:val="20"/>
          <w:color w:val="auto"/>
        </w:rPr>
      </w:pPr>
    </w:p>
    <w:p>
      <w:pPr>
        <w:jc w:val="both"/>
        <w:ind w:firstLine="1813"/>
        <w:spacing w:after="0" w:line="286" w:lineRule="auto"/>
        <w:rPr>
          <w:sz w:val="20"/>
          <w:szCs w:val="20"/>
          <w:color w:val="auto"/>
        </w:rPr>
      </w:pPr>
      <w:r>
        <w:rPr>
          <w:rFonts w:ascii="Arial" w:cs="Arial" w:eastAsia="Arial" w:hAnsi="Arial"/>
          <w:sz w:val="15"/>
          <w:szCs w:val="15"/>
          <w:color w:val="auto"/>
        </w:rPr>
        <w:t>ii.The Committee may shorten the duration of any Offering Period and the corresponding Payroll Deduction Period then in progress by requiring that the Offering Period end immediately following the close of any Trading Day within that Offering Period (after the purchase of Common Stock on that Trading Day), if such change is announced at least one (1) calendar day prior to the Trading Day on which the Committee proposes that the Offering Period terminate.</w:t>
      </w:r>
    </w:p>
    <w:p>
      <w:pPr>
        <w:spacing w:after="0" w:line="126" w:lineRule="exact"/>
        <w:rPr>
          <w:sz w:val="20"/>
          <w:szCs w:val="20"/>
          <w:color w:val="auto"/>
        </w:rPr>
      </w:pPr>
    </w:p>
    <w:p>
      <w:pPr>
        <w:jc w:val="both"/>
        <w:ind w:firstLine="1768"/>
        <w:spacing w:after="0" w:line="274" w:lineRule="auto"/>
        <w:rPr>
          <w:sz w:val="20"/>
          <w:szCs w:val="20"/>
          <w:color w:val="auto"/>
        </w:rPr>
      </w:pPr>
      <w:r>
        <w:rPr>
          <w:rFonts w:ascii="Arial" w:cs="Arial" w:eastAsia="Arial" w:hAnsi="Arial"/>
          <w:sz w:val="15"/>
          <w:szCs w:val="15"/>
          <w:color w:val="auto"/>
        </w:rPr>
        <w:t>iii.If the Company determines that the accounting treatment of purchases under the Plan will change or has changed in a manner that is detrimental to the Company’s best interests, then the Committee may, in its discretion, take any or all of the following actions: (A) terminate any Offering Period and corresponding Payroll Deduction Period that is then ongoing immediately following the close of any Trading Day within that Offering Period (after the purchase of Common Stock on that Trading Day); (B) amend the Plan so that each offering under the Plan will reduce the effect of such detrimental accounting treatment; or (C) terminate any ongoing Offering Period and corresponding Payroll Deduction Period at any time and refund any contributions to the applicable Participants.</w:t>
      </w:r>
    </w:p>
    <w:p>
      <w:pPr>
        <w:spacing w:after="0" w:line="136"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Participation</w:t>
      </w:r>
      <w:r>
        <w:rPr>
          <w:rFonts w:ascii="Arial" w:cs="Arial" w:eastAsia="Arial" w:hAnsi="Arial"/>
          <w:sz w:val="16"/>
          <w:szCs w:val="16"/>
          <w:color w:val="auto"/>
        </w:rPr>
        <w:t>.</w:t>
      </w:r>
    </w:p>
    <w:p>
      <w:pPr>
        <w:spacing w:after="0" w:line="194" w:lineRule="exact"/>
        <w:rPr>
          <w:rFonts w:ascii="Arial" w:cs="Arial" w:eastAsia="Arial" w:hAnsi="Arial"/>
          <w:sz w:val="16"/>
          <w:szCs w:val="16"/>
          <w:i w:val="1"/>
          <w:iCs w:val="1"/>
          <w:color w:val="auto"/>
        </w:rPr>
      </w:pPr>
    </w:p>
    <w:p>
      <w:pPr>
        <w:jc w:val="both"/>
        <w:ind w:firstLine="1628"/>
        <w:spacing w:after="0" w:line="250" w:lineRule="auto"/>
        <w:tabs>
          <w:tab w:leader="none" w:pos="1944" w:val="left"/>
        </w:tabs>
        <w:numPr>
          <w:ilvl w:val="1"/>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Entry Dates</w:t>
      </w:r>
      <w:r>
        <w:rPr>
          <w:rFonts w:ascii="Arial" w:cs="Arial" w:eastAsia="Arial" w:hAnsi="Arial"/>
          <w:sz w:val="16"/>
          <w:szCs w:val="16"/>
          <w:color w:val="auto"/>
        </w:rPr>
        <w:t>. Employees meeting the eligibility requirements of Section 3(b) hereof after the First Offering Date may elect to participate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commencing on any Entry Date by completing an enrollment agreement on the form provided by the Company and filing the enrollment agreement with the Company. For the Offering Period that begins on January 1, 2021, the deadline for filing the enrollment agreement with the Company shall be December 31, 2020. For all Offering Periods that begin on or after January 14, 2021, the enrollment agreement shall be effective as of the first Offering Period that begins after the date the Company receives the enrollment agreement, provided that the Company received the enrollment agreement on or before the sixth (6rd) calendar day (a Friday) preceding the Entry Date of the Offering Period to which such enrollment agreement relates, unless a different time for filing the enrollment agreement is set by the Company for all eligible Employees with respect to a given Offering Period. For example, the deadline for completing and filing the enrollment form for the Offering Period beginning February 11, 2021 would be February 5, 2021.</w:t>
      </w:r>
    </w:p>
    <w:p>
      <w:pPr>
        <w:spacing w:after="0" w:line="154" w:lineRule="exact"/>
        <w:rPr>
          <w:rFonts w:ascii="Arial" w:cs="Arial" w:eastAsia="Arial" w:hAnsi="Arial"/>
          <w:sz w:val="16"/>
          <w:szCs w:val="16"/>
          <w:i w:val="1"/>
          <w:iCs w:val="1"/>
          <w:color w:val="auto"/>
        </w:rPr>
      </w:pPr>
    </w:p>
    <w:p>
      <w:pPr>
        <w:jc w:val="both"/>
        <w:ind w:firstLine="1628"/>
        <w:spacing w:after="0" w:line="261" w:lineRule="auto"/>
        <w:tabs>
          <w:tab w:leader="none" w:pos="1944" w:val="left"/>
        </w:tabs>
        <w:numPr>
          <w:ilvl w:val="1"/>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Special Rule for First Offering Date</w:t>
      </w:r>
      <w:r>
        <w:rPr>
          <w:rFonts w:ascii="Arial" w:cs="Arial" w:eastAsia="Arial" w:hAnsi="Arial"/>
          <w:sz w:val="16"/>
          <w:szCs w:val="16"/>
          <w:color w:val="auto"/>
        </w:rPr>
        <w:t>. All Employees who are eligible as of the First Offering Date may elect to participate in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as of the First Offering Date by completing an enrollment agreement on the form provided by the Company and filing the enrollment agreement with the Company on or prior the deadline prescribed by the Company for initial enrollment.</w:t>
      </w:r>
    </w:p>
    <w:p>
      <w:pPr>
        <w:spacing w:after="0" w:line="142" w:lineRule="exact"/>
        <w:rPr>
          <w:rFonts w:ascii="Arial" w:cs="Arial" w:eastAsia="Arial" w:hAnsi="Arial"/>
          <w:sz w:val="16"/>
          <w:szCs w:val="16"/>
          <w:i w:val="1"/>
          <w:iCs w:val="1"/>
          <w:color w:val="auto"/>
        </w:rPr>
      </w:pPr>
    </w:p>
    <w:p>
      <w:pPr>
        <w:jc w:val="both"/>
        <w:ind w:firstLine="1628"/>
        <w:spacing w:after="0" w:line="278" w:lineRule="auto"/>
        <w:tabs>
          <w:tab w:leader="none" w:pos="1935" w:val="left"/>
        </w:tabs>
        <w:numPr>
          <w:ilvl w:val="1"/>
          <w:numId w:val="50"/>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Certain Limitations on Participation. </w:t>
      </w:r>
      <w:r>
        <w:rPr>
          <w:rFonts w:ascii="Arial" w:cs="Arial" w:eastAsia="Arial" w:hAnsi="Arial"/>
          <w:sz w:val="15"/>
          <w:szCs w:val="15"/>
          <w:color w:val="auto"/>
        </w:rPr>
        <w:t>Notwithstanding anything to the contrary set forth in this Plan, no Employee that is otherwise eligible to</w:t>
      </w:r>
      <w:r>
        <w:rPr>
          <w:rFonts w:ascii="Arial" w:cs="Arial" w:eastAsia="Arial" w:hAnsi="Arial"/>
          <w:sz w:val="15"/>
          <w:szCs w:val="15"/>
          <w:i w:val="1"/>
          <w:iCs w:val="1"/>
          <w:color w:val="auto"/>
        </w:rPr>
        <w:t xml:space="preserve"> </w:t>
      </w:r>
      <w:r>
        <w:rPr>
          <w:rFonts w:ascii="Arial" w:cs="Arial" w:eastAsia="Arial" w:hAnsi="Arial"/>
          <w:sz w:val="15"/>
          <w:szCs w:val="15"/>
          <w:color w:val="auto"/>
        </w:rPr>
        <w:t>elect to become a Participant may do so if such Employee has knowledge of any MNPI at the time such Employee files the enrollment agreement with the Company; provided, further, that an Employee who is otherwise eligible to elect to become a Participant and who is a Pre-Clearance Insider, may do so only during a Trading Window and only if such Employee has pre-cleared such election with the Company’s General Counsel in accordance with the Insider Trading Policy.</w:t>
      </w:r>
    </w:p>
    <w:p>
      <w:pPr>
        <w:spacing w:after="0" w:line="145" w:lineRule="exact"/>
        <w:rPr>
          <w:rFonts w:ascii="Arial" w:cs="Arial" w:eastAsia="Arial" w:hAnsi="Arial"/>
          <w:sz w:val="15"/>
          <w:szCs w:val="15"/>
          <w:i w:val="1"/>
          <w:iCs w:val="1"/>
          <w:color w:val="auto"/>
        </w:rPr>
      </w:pPr>
    </w:p>
    <w:p>
      <w:pPr>
        <w:ind w:left="1300" w:hanging="644"/>
        <w:spacing w:after="0"/>
        <w:tabs>
          <w:tab w:leader="none" w:pos="130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Plan Contributions</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jc w:val="both"/>
        <w:ind w:firstLine="1628"/>
        <w:spacing w:after="0" w:line="253" w:lineRule="auto"/>
        <w:tabs>
          <w:tab w:leader="none" w:pos="1944" w:val="left"/>
        </w:tabs>
        <w:numPr>
          <w:ilvl w:val="1"/>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Contribution by Payroll Deduction or Direct Payment</w:t>
      </w:r>
      <w:r>
        <w:rPr>
          <w:rFonts w:ascii="Arial" w:cs="Arial" w:eastAsia="Arial" w:hAnsi="Arial"/>
          <w:sz w:val="16"/>
          <w:szCs w:val="16"/>
          <w:color w:val="auto"/>
        </w:rPr>
        <w:t>. Except as otherwise authorized by the Committee, all contributions to the Plan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only by payroll deductions or by direct after-tax contributions to the Plan. The direct after-tax contributions to the Plan shall be made in accordance with Section 6(g) and at such other times and subject to such terms and conditions as the Committee may in its discretion determine. All direct after-tax contributions to the Plan shall be made in a manner consistent with the provisions of the Plan and the provisions of Section 423 of the Code or any successor thereto, and shall be treated in the same manner as payroll deductions contributed to the Plan as provided herein.</w:t>
      </w:r>
    </w:p>
    <w:p>
      <w:pPr>
        <w:spacing w:after="0" w:line="150" w:lineRule="exact"/>
        <w:rPr>
          <w:rFonts w:ascii="Arial" w:cs="Arial" w:eastAsia="Arial" w:hAnsi="Arial"/>
          <w:sz w:val="16"/>
          <w:szCs w:val="16"/>
          <w:i w:val="1"/>
          <w:iCs w:val="1"/>
          <w:color w:val="auto"/>
        </w:rPr>
      </w:pPr>
    </w:p>
    <w:p>
      <w:pPr>
        <w:jc w:val="both"/>
        <w:ind w:right="20" w:firstLine="1628"/>
        <w:spacing w:after="0" w:line="286" w:lineRule="auto"/>
        <w:tabs>
          <w:tab w:leader="none" w:pos="1944" w:val="left"/>
        </w:tabs>
        <w:numPr>
          <w:ilvl w:val="1"/>
          <w:numId w:val="50"/>
        </w:numPr>
        <w:rPr>
          <w:rFonts w:ascii="Arial" w:cs="Arial" w:eastAsia="Arial" w:hAnsi="Arial"/>
          <w:sz w:val="15"/>
          <w:szCs w:val="15"/>
          <w:i w:val="1"/>
          <w:iCs w:val="1"/>
          <w:color w:val="auto"/>
        </w:rPr>
      </w:pPr>
      <w:r>
        <w:rPr>
          <w:rFonts w:ascii="Arial" w:cs="Arial" w:eastAsia="Arial" w:hAnsi="Arial"/>
          <w:sz w:val="15"/>
          <w:szCs w:val="15"/>
          <w:i w:val="1"/>
          <w:iCs w:val="1"/>
          <w:color w:val="auto"/>
        </w:rPr>
        <w:t>Payroll Deduction Election on Enrollment Agreement</w:t>
      </w:r>
      <w:r>
        <w:rPr>
          <w:rFonts w:ascii="Arial" w:cs="Arial" w:eastAsia="Arial" w:hAnsi="Arial"/>
          <w:sz w:val="15"/>
          <w:szCs w:val="15"/>
          <w:color w:val="auto"/>
        </w:rPr>
        <w:t>. At the time a Participant files the enrollment agreement with respect to an Offering</w:t>
      </w:r>
      <w:r>
        <w:rPr>
          <w:rFonts w:ascii="Arial" w:cs="Arial" w:eastAsia="Arial" w:hAnsi="Arial"/>
          <w:sz w:val="15"/>
          <w:szCs w:val="15"/>
          <w:i w:val="1"/>
          <w:iCs w:val="1"/>
          <w:color w:val="auto"/>
        </w:rPr>
        <w:t xml:space="preserve"> </w:t>
      </w:r>
      <w:r>
        <w:rPr>
          <w:rFonts w:ascii="Arial" w:cs="Arial" w:eastAsia="Arial" w:hAnsi="Arial"/>
          <w:sz w:val="15"/>
          <w:szCs w:val="15"/>
          <w:color w:val="auto"/>
        </w:rPr>
        <w:t>Period, the Participant may authorize payroll deductions to be made on each payroll date during the Payroll Deduction Period with respect to a given Offering Period that he or she is a Participant in an amount (i) not less than 1% and not more than 15% of the Participant's Compensation on each payroll date during the Payroll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4</w:t>
      </w:r>
    </w:p>
    <w:p>
      <w:pPr>
        <w:sectPr>
          <w:pgSz w:w="11900" w:h="16838" w:orient="portrait"/>
          <w:cols w:equalWidth="0" w:num="1">
            <w:col w:w="11240"/>
          </w:cols>
          <w:pgMar w:left="320" w:top="859" w:right="339" w:bottom="1440" w:gutter="0" w:footer="0" w:header="0"/>
        </w:sectPr>
      </w:pPr>
    </w:p>
    <w:bookmarkStart w:id="115" w:name="page116"/>
    <w:bookmarkEnd w:id="115"/>
    <w:p>
      <w:pPr>
        <w:jc w:val="both"/>
        <w:spacing w:after="0" w:line="261" w:lineRule="auto"/>
        <w:rPr>
          <w:sz w:val="20"/>
          <w:szCs w:val="20"/>
          <w:color w:val="auto"/>
        </w:rPr>
      </w:pPr>
      <w:r>
        <w:rPr>
          <w:rFonts w:ascii="Arial" w:cs="Arial" w:eastAsia="Arial" w:hAnsi="Arial"/>
          <w:sz w:val="16"/>
          <w:szCs w:val="16"/>
          <w:color w:val="auto"/>
        </w:rPr>
        <w:t>Deduction Period, or (ii) denominated in dollars of not less than $5 and not more than $500 of the Participant's Compensation on each payroll date during the Payroll Deduction Period. The amount of payroll deductions must be a whole percentage (e.g., 1%, 2%, 3%, etc.), or a whole dollar amount, as applicable, of the Participant’s Compensation.</w:t>
      </w:r>
    </w:p>
    <w:p>
      <w:pPr>
        <w:spacing w:after="0" w:line="142" w:lineRule="exact"/>
        <w:rPr>
          <w:sz w:val="20"/>
          <w:szCs w:val="20"/>
          <w:color w:val="auto"/>
        </w:rPr>
      </w:pPr>
    </w:p>
    <w:p>
      <w:pPr>
        <w:jc w:val="both"/>
        <w:ind w:firstLine="1628"/>
        <w:spacing w:after="0" w:line="286" w:lineRule="auto"/>
        <w:tabs>
          <w:tab w:leader="none" w:pos="1935" w:val="left"/>
        </w:tabs>
        <w:numPr>
          <w:ilvl w:val="1"/>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Commencement of Payroll Deductions</w:t>
      </w:r>
      <w:r>
        <w:rPr>
          <w:rFonts w:ascii="Arial" w:cs="Arial" w:eastAsia="Arial" w:hAnsi="Arial"/>
          <w:sz w:val="15"/>
          <w:szCs w:val="15"/>
          <w:color w:val="auto"/>
        </w:rPr>
        <w:t>. Except as otherwise determined by the Committee under rules applicable to all Participants, payroll</w:t>
      </w:r>
      <w:r>
        <w:rPr>
          <w:rFonts w:ascii="Arial" w:cs="Arial" w:eastAsia="Arial" w:hAnsi="Arial"/>
          <w:sz w:val="15"/>
          <w:szCs w:val="15"/>
          <w:i w:val="1"/>
          <w:iCs w:val="1"/>
          <w:color w:val="auto"/>
        </w:rPr>
        <w:t xml:space="preserve"> </w:t>
      </w:r>
      <w:r>
        <w:rPr>
          <w:rFonts w:ascii="Arial" w:cs="Arial" w:eastAsia="Arial" w:hAnsi="Arial"/>
          <w:sz w:val="15"/>
          <w:szCs w:val="15"/>
          <w:color w:val="auto"/>
        </w:rPr>
        <w:t>deductions for Participants enrolling in the Plan shall commence with the earliest administratively practicable payroll date that occurs within the Payroll Deduction Period for the applicable Offering Period with respect to which the Participant files an enrollment agreement in accordance with Section 5.</w:t>
      </w:r>
    </w:p>
    <w:p>
      <w:pPr>
        <w:spacing w:after="0" w:line="139" w:lineRule="exact"/>
        <w:rPr>
          <w:rFonts w:ascii="Arial" w:cs="Arial" w:eastAsia="Arial" w:hAnsi="Arial"/>
          <w:sz w:val="15"/>
          <w:szCs w:val="15"/>
          <w:i w:val="1"/>
          <w:iCs w:val="1"/>
          <w:color w:val="auto"/>
        </w:rPr>
      </w:pPr>
    </w:p>
    <w:p>
      <w:pPr>
        <w:jc w:val="both"/>
        <w:ind w:firstLine="1628"/>
        <w:spacing w:after="0" w:line="304" w:lineRule="auto"/>
        <w:tabs>
          <w:tab w:leader="none" w:pos="1944" w:val="left"/>
        </w:tabs>
        <w:numPr>
          <w:ilvl w:val="1"/>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Automatic Continuation of Payroll Deductions</w:t>
      </w:r>
      <w:r>
        <w:rPr>
          <w:rFonts w:ascii="Arial" w:cs="Arial" w:eastAsia="Arial" w:hAnsi="Arial"/>
          <w:sz w:val="14"/>
          <w:szCs w:val="14"/>
          <w:color w:val="auto"/>
        </w:rPr>
        <w:t>. Once a Participant enrolls in an Offering Period, or if the Participant elects changes in</w:t>
      </w:r>
      <w:r>
        <w:rPr>
          <w:rFonts w:ascii="Arial" w:cs="Arial" w:eastAsia="Arial" w:hAnsi="Arial"/>
          <w:sz w:val="14"/>
          <w:szCs w:val="14"/>
          <w:i w:val="1"/>
          <w:iCs w:val="1"/>
          <w:color w:val="auto"/>
        </w:rPr>
        <w:t xml:space="preserve"> </w:t>
      </w:r>
      <w:r>
        <w:rPr>
          <w:rFonts w:ascii="Arial" w:cs="Arial" w:eastAsia="Arial" w:hAnsi="Arial"/>
          <w:sz w:val="14"/>
          <w:szCs w:val="14"/>
          <w:color w:val="auto"/>
        </w:rPr>
        <w:t>accordance with Sections 6(e) or 6(f), such Participant shall be deemed (i) to have elected to participate in the immediately succeeding Offering Periods (and, for purposes of such succeeding Offering Periods the Participant’s “Entry Date” shall be deemed to be the first day of such Offering Period) and (ii) to have authorized the same payroll deduction for the immediately succeeding Offering Periods as was in effect for the Participant immediately prior to the commencement of the succeeding Offering Periods.</w:t>
      </w:r>
    </w:p>
    <w:p>
      <w:pPr>
        <w:spacing w:after="0" w:line="115" w:lineRule="exact"/>
        <w:rPr>
          <w:rFonts w:ascii="Arial" w:cs="Arial" w:eastAsia="Arial" w:hAnsi="Arial"/>
          <w:sz w:val="14"/>
          <w:szCs w:val="14"/>
          <w:i w:val="1"/>
          <w:iCs w:val="1"/>
          <w:color w:val="auto"/>
        </w:rPr>
      </w:pPr>
    </w:p>
    <w:p>
      <w:pPr>
        <w:jc w:val="both"/>
        <w:ind w:firstLine="1628"/>
        <w:spacing w:after="0" w:line="288" w:lineRule="auto"/>
        <w:tabs>
          <w:tab w:leader="none" w:pos="1935" w:val="left"/>
        </w:tabs>
        <w:numPr>
          <w:ilvl w:val="1"/>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Change of Payroll Deduction Election Prior to Payroll Deduction Period</w:t>
      </w:r>
      <w:r>
        <w:rPr>
          <w:rFonts w:ascii="Arial" w:cs="Arial" w:eastAsia="Arial" w:hAnsi="Arial"/>
          <w:sz w:val="14"/>
          <w:szCs w:val="14"/>
          <w:color w:val="auto"/>
        </w:rPr>
        <w:t>. A Participant may decrease or increase the rate or amount of his or</w:t>
      </w:r>
      <w:r>
        <w:rPr>
          <w:rFonts w:ascii="Arial" w:cs="Arial" w:eastAsia="Arial" w:hAnsi="Arial"/>
          <w:sz w:val="14"/>
          <w:szCs w:val="14"/>
          <w:i w:val="1"/>
          <w:iCs w:val="1"/>
          <w:color w:val="auto"/>
        </w:rPr>
        <w:t xml:space="preserve"> </w:t>
      </w:r>
      <w:r>
        <w:rPr>
          <w:rFonts w:ascii="Arial" w:cs="Arial" w:eastAsia="Arial" w:hAnsi="Arial"/>
          <w:sz w:val="14"/>
          <w:szCs w:val="14"/>
          <w:color w:val="auto"/>
        </w:rPr>
        <w:t>her payroll deductions applicable to a future Payroll Deduction Period with respect to a given Offering Period (within the limitations of Section 6(b) above) by completing and filing with the Company a new enrollment agreement authorizing a change in the rate or amount of payroll deductions; provided, however, that no Participant may change the rate or amount of such Participant’s payroll deductions if the Participant has knowledge of any MNPI at the time the Participant files the new enrollment agreement with the Company; provided, further, that a Participant who is a Pre-Clearance Insider may effect any such change only during a Trading Window and if such Participant has pre-cleared such change with the Company’s General Counsel in accordance with the Insider Trading Policy. Except as otherwise determined by the Committee under rules applicable to all Participants, the change in rate or amount of payroll deductions shall be effective as of the first Payroll Deduction Period that begins after the date the Company receives the new enrollment agreement, provided that the Company received the new enrollment agreement on or before the third (3rd) calendar day (a Friday) preceding the first day of the Payroll Deduction Period to which such new enrollment agreement relates. For example, the deadline for completing and filing the new enrollment form for the Payroll Deduction Period beginning Monday, January 25, 2021 would be Friday, January 22, 2021. A Participant may not change the rate or amount of his or her payroll deductions with respect to any Payroll Deduction Period that is ongoing at the time the Company receives the new enrollment agreement.</w:t>
      </w:r>
    </w:p>
    <w:p>
      <w:pPr>
        <w:spacing w:after="0" w:line="129" w:lineRule="exact"/>
        <w:rPr>
          <w:rFonts w:ascii="Arial" w:cs="Arial" w:eastAsia="Arial" w:hAnsi="Arial"/>
          <w:sz w:val="14"/>
          <w:szCs w:val="14"/>
          <w:i w:val="1"/>
          <w:iCs w:val="1"/>
          <w:color w:val="auto"/>
        </w:rPr>
      </w:pPr>
    </w:p>
    <w:p>
      <w:pPr>
        <w:jc w:val="both"/>
        <w:ind w:firstLine="1628"/>
        <w:spacing w:after="0" w:line="251" w:lineRule="auto"/>
        <w:tabs>
          <w:tab w:leader="none" w:pos="1935" w:val="left"/>
        </w:tabs>
        <w:numPr>
          <w:ilvl w:val="1"/>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Automatic Changes in Payroll Deduction</w:t>
      </w:r>
      <w:r>
        <w:rPr>
          <w:rFonts w:ascii="Arial" w:cs="Arial" w:eastAsia="Arial" w:hAnsi="Arial"/>
          <w:sz w:val="16"/>
          <w:szCs w:val="16"/>
          <w:color w:val="auto"/>
        </w:rPr>
        <w:t>. Notwithstanding the foregoing, to the extent necessary to comply with Section 423(b)(8)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Code, Section 7(d) hereof, or any other applicable law, a Participant's payroll deductions may be decreased, including to zero dollars or 0% of the Participant’s Compensation, as applicable, at such time during any Payroll Deduction Period with respect to any Offering Period which is scheduled to end during the current calendar year that the aggregate of all payroll deductions accumulated with respect to such Offering Period and any other Offering Period ending within the same calendar year are equal to the product of $25,000 multiplied by the Applicable Percentage for the calendar year. Payroll deductions shall recommence at the rate or amount provided in the Participant’s enrollment agreement at the beginning of the Payroll Deduction Period that applies to the first Offering Period which is scheduled to begin in the following calendar year, unless the Participant terminates participation as provided in Section 13(a).</w:t>
      </w:r>
    </w:p>
    <w:p>
      <w:pPr>
        <w:spacing w:after="0" w:line="165" w:lineRule="exact"/>
        <w:rPr>
          <w:rFonts w:ascii="Arial" w:cs="Arial" w:eastAsia="Arial" w:hAnsi="Arial"/>
          <w:sz w:val="16"/>
          <w:szCs w:val="16"/>
          <w:i w:val="1"/>
          <w:iCs w:val="1"/>
          <w:color w:val="auto"/>
        </w:rPr>
      </w:pPr>
    </w:p>
    <w:p>
      <w:pPr>
        <w:jc w:val="both"/>
        <w:ind w:firstLine="1628"/>
        <w:spacing w:after="0" w:line="250" w:lineRule="auto"/>
        <w:tabs>
          <w:tab w:leader="none" w:pos="1944" w:val="left"/>
        </w:tabs>
        <w:numPr>
          <w:ilvl w:val="1"/>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Contribution by Direct Payment. </w:t>
      </w:r>
      <w:r>
        <w:rPr>
          <w:rFonts w:ascii="Arial" w:cs="Arial" w:eastAsia="Arial" w:hAnsi="Arial"/>
          <w:sz w:val="16"/>
          <w:szCs w:val="16"/>
          <w:color w:val="auto"/>
        </w:rPr>
        <w:t>A Participant may make a direct after-tax contribution to the Plan that shall be added to the balance of his or</w:t>
      </w:r>
      <w:r>
        <w:rPr>
          <w:rFonts w:ascii="Arial" w:cs="Arial" w:eastAsia="Arial" w:hAnsi="Arial"/>
          <w:sz w:val="16"/>
          <w:szCs w:val="16"/>
          <w:i w:val="1"/>
          <w:iCs w:val="1"/>
          <w:color w:val="auto"/>
        </w:rPr>
        <w:t xml:space="preserve"> </w:t>
      </w:r>
      <w:r>
        <w:rPr>
          <w:rFonts w:ascii="Arial" w:cs="Arial" w:eastAsia="Arial" w:hAnsi="Arial"/>
          <w:sz w:val="16"/>
          <w:szCs w:val="16"/>
          <w:color w:val="auto"/>
        </w:rPr>
        <w:t>her Plan Contributions during the Payroll Deduction Period with respect to a given Offering Period; provided, that no Participant may make such a contribution while in possession of MNPI, and provided further that a Participant who is a Pre-Clearance Insider may make such a contribution only during a Trading Window and if such Participant has pre-cleared such contribution with the Company’s General Counsel in accordance with the Insider Trading Policy. Direct after-tax contributions that are received by the Company shall be applied to the first Payroll Deduction Period that begins after the date the Company receives the after-tax contribution, provided that the Company received the after-tax contribution on or before the third (3rd) calendar day (a Friday) preceding the first day of the Payroll Deduction Period to which such after-tax contribution shall apply. For example, the deadline for making a direct after-tax contribution applicable to the Payroll Deduction Period beginning Monday, January 25, 2021 would be Friday, January 22, 2021.</w:t>
      </w:r>
    </w:p>
    <w:p>
      <w:pPr>
        <w:spacing w:after="0" w:line="154" w:lineRule="exact"/>
        <w:rPr>
          <w:rFonts w:ascii="Arial" w:cs="Arial" w:eastAsia="Arial" w:hAnsi="Arial"/>
          <w:sz w:val="16"/>
          <w:szCs w:val="16"/>
          <w:i w:val="1"/>
          <w:iCs w:val="1"/>
          <w:color w:val="auto"/>
        </w:rPr>
      </w:pPr>
    </w:p>
    <w:p>
      <w:pPr>
        <w:ind w:left="1300" w:hanging="644"/>
        <w:spacing w:after="0"/>
        <w:tabs>
          <w:tab w:leader="none" w:pos="130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Grant of Option</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jc w:val="both"/>
        <w:ind w:firstLine="1628"/>
        <w:spacing w:after="0" w:line="253" w:lineRule="auto"/>
        <w:tabs>
          <w:tab w:leader="none" w:pos="1944" w:val="left"/>
        </w:tabs>
        <w:numPr>
          <w:ilvl w:val="1"/>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Shares of Common Stock Subject to Option. </w:t>
      </w:r>
      <w:r>
        <w:rPr>
          <w:rFonts w:ascii="Arial" w:cs="Arial" w:eastAsia="Arial" w:hAnsi="Arial"/>
          <w:sz w:val="16"/>
          <w:szCs w:val="16"/>
          <w:color w:val="auto"/>
        </w:rPr>
        <w:t>On a Participant’s Entry Date, subject to the limitations set forth in Section 7(d) and this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7(a), the Participant shall be granted an option to purchase on the Exercise Date during the Offering Period in which such Entry Date occurs (at the Exercise Price determined as provided in Section 7(b) below) up to a number of shares of Common Stock determined by dividing such Participant’s Plan Contributions accumulated during the Payroll Contribution Period applicable to the Offering Period by the Exercise Price; provided, that the maximum number of shares a Participant may purchase during any Offering Period shall be 5,000 shares.</w:t>
      </w:r>
    </w:p>
    <w:p>
      <w:pPr>
        <w:spacing w:after="0" w:line="164" w:lineRule="exact"/>
        <w:rPr>
          <w:rFonts w:ascii="Arial" w:cs="Arial" w:eastAsia="Arial" w:hAnsi="Arial"/>
          <w:sz w:val="16"/>
          <w:szCs w:val="16"/>
          <w:i w:val="1"/>
          <w:iCs w:val="1"/>
          <w:color w:val="auto"/>
        </w:rPr>
      </w:pPr>
    </w:p>
    <w:p>
      <w:pPr>
        <w:ind w:firstLine="1628"/>
        <w:spacing w:after="0" w:line="275" w:lineRule="auto"/>
        <w:tabs>
          <w:tab w:leader="none" w:pos="1944" w:val="left"/>
        </w:tabs>
        <w:numPr>
          <w:ilvl w:val="1"/>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The Exercise Price per share of Common Stock offered to each Participant in a given Offering Period shall be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the Fair Market Value of a share of Common Stock on the Exercise Date.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5</w:t>
      </w:r>
    </w:p>
    <w:p>
      <w:pPr>
        <w:sectPr>
          <w:pgSz w:w="11900" w:h="16838" w:orient="portrait"/>
          <w:cols w:equalWidth="0" w:num="1">
            <w:col w:w="11240"/>
          </w:cols>
          <w:pgMar w:left="320" w:top="859" w:right="339" w:bottom="1440" w:gutter="0" w:footer="0" w:header="0"/>
        </w:sectPr>
      </w:pPr>
    </w:p>
    <w:bookmarkStart w:id="116" w:name="page117"/>
    <w:bookmarkEnd w:id="116"/>
    <w:p>
      <w:pPr>
        <w:jc w:val="both"/>
        <w:ind w:firstLine="1628"/>
        <w:spacing w:after="0" w:line="278" w:lineRule="auto"/>
        <w:tabs>
          <w:tab w:leader="none" w:pos="1935" w:val="left"/>
        </w:tabs>
        <w:numPr>
          <w:ilvl w:val="1"/>
          <w:numId w:val="53"/>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Fair Market Value. </w:t>
      </w:r>
      <w:r>
        <w:rPr>
          <w:rFonts w:ascii="Arial" w:cs="Arial" w:eastAsia="Arial" w:hAnsi="Arial"/>
          <w:sz w:val="15"/>
          <w:szCs w:val="15"/>
          <w:color w:val="auto"/>
        </w:rPr>
        <w:t>The Fair Market Value of a share of Common Stock on a given date shall be determined by the Committee or under</w:t>
      </w:r>
      <w:r>
        <w:rPr>
          <w:rFonts w:ascii="Arial" w:cs="Arial" w:eastAsia="Arial" w:hAnsi="Arial"/>
          <w:sz w:val="15"/>
          <w:szCs w:val="15"/>
          <w:i w:val="1"/>
          <w:iCs w:val="1"/>
          <w:color w:val="auto"/>
        </w:rPr>
        <w:t xml:space="preserve"> </w:t>
      </w:r>
      <w:r>
        <w:rPr>
          <w:rFonts w:ascii="Arial" w:cs="Arial" w:eastAsia="Arial" w:hAnsi="Arial"/>
          <w:sz w:val="15"/>
          <w:szCs w:val="15"/>
          <w:color w:val="auto"/>
        </w:rPr>
        <w:t>procedures established by the Committee. Unless otherwise determined by the Committee, the Fair Market Value of a share of Common Stock as of any given date shall be the closing sale price per share reported on a consolidated basis for stock listed on the principal stock exchange or market on which shares are traded on the date as of which such value is being determined, or, if there is no sale on that date, then on the last previous day on which a sale was reported.</w:t>
      </w:r>
    </w:p>
    <w:p>
      <w:pPr>
        <w:spacing w:after="0" w:line="132" w:lineRule="exact"/>
        <w:rPr>
          <w:rFonts w:ascii="Arial" w:cs="Arial" w:eastAsia="Arial" w:hAnsi="Arial"/>
          <w:sz w:val="15"/>
          <w:szCs w:val="15"/>
          <w:i w:val="1"/>
          <w:iCs w:val="1"/>
          <w:color w:val="auto"/>
        </w:rPr>
      </w:pPr>
    </w:p>
    <w:p>
      <w:pPr>
        <w:jc w:val="both"/>
        <w:ind w:firstLine="1628"/>
        <w:spacing w:after="0" w:line="270" w:lineRule="auto"/>
        <w:tabs>
          <w:tab w:leader="none" w:pos="1944" w:val="left"/>
        </w:tabs>
        <w:numPr>
          <w:ilvl w:val="1"/>
          <w:numId w:val="53"/>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Limitation on Option that may be Granted. </w:t>
      </w:r>
      <w:r>
        <w:rPr>
          <w:rFonts w:ascii="Arial" w:cs="Arial" w:eastAsia="Arial" w:hAnsi="Arial"/>
          <w:sz w:val="15"/>
          <w:szCs w:val="15"/>
          <w:color w:val="auto"/>
        </w:rPr>
        <w:t>Notwithstanding any provision of the Plan to the contrary, no Participant shall be granted an option</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Plan (i) to the extent that if, immediately after the grant, such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to the extent that his or her rights to purchase stock under all employee stock purchase plans of the Company and its Subsidiaries intended to qualify under Section 423 of the Code accrue at a rate which exceeds $25,000 of Fair Market Value of Common Stock (determined at the time such option is granted) for each calendar year in which such option is outstanding at any time. The limitations set forth in this Section 7(d) shall be applied in conformance with applicable regulations under Section 423(b)(8) of the Code.</w:t>
      </w:r>
    </w:p>
    <w:p>
      <w:pPr>
        <w:spacing w:after="0" w:line="153" w:lineRule="exact"/>
        <w:rPr>
          <w:rFonts w:ascii="Arial" w:cs="Arial" w:eastAsia="Arial" w:hAnsi="Arial"/>
          <w:sz w:val="15"/>
          <w:szCs w:val="15"/>
          <w:i w:val="1"/>
          <w:iCs w:val="1"/>
          <w:color w:val="auto"/>
        </w:rPr>
      </w:pPr>
    </w:p>
    <w:p>
      <w:pPr>
        <w:ind w:left="1940" w:hanging="312"/>
        <w:spacing w:after="0"/>
        <w:tabs>
          <w:tab w:leader="none" w:pos="1940" w:val="left"/>
        </w:tabs>
        <w:numPr>
          <w:ilvl w:val="1"/>
          <w:numId w:val="53"/>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No Rights as Shareholder. </w:t>
      </w:r>
      <w:r>
        <w:rPr>
          <w:rFonts w:ascii="Arial" w:cs="Arial" w:eastAsia="Arial" w:hAnsi="Arial"/>
          <w:sz w:val="15"/>
          <w:szCs w:val="15"/>
          <w:color w:val="auto"/>
        </w:rPr>
        <w:t>A Participant will have no interest or voting right in shares covered by his or her option until such option has been</w:t>
      </w:r>
    </w:p>
    <w:p>
      <w:pPr>
        <w:spacing w:after="0" w:line="30" w:lineRule="exact"/>
        <w:rPr>
          <w:rFonts w:ascii="Arial" w:cs="Arial" w:eastAsia="Arial" w:hAnsi="Arial"/>
          <w:sz w:val="15"/>
          <w:szCs w:val="15"/>
          <w:i w:val="1"/>
          <w:iCs w:val="1"/>
          <w:color w:val="auto"/>
        </w:rPr>
      </w:pPr>
    </w:p>
    <w:p>
      <w:pPr>
        <w:spacing w:after="0"/>
        <w:rPr>
          <w:rFonts w:ascii="Arial" w:cs="Arial" w:eastAsia="Arial" w:hAnsi="Arial"/>
          <w:sz w:val="15"/>
          <w:szCs w:val="15"/>
          <w:i w:val="1"/>
          <w:iCs w:val="1"/>
          <w:color w:val="auto"/>
        </w:rPr>
      </w:pPr>
      <w:r>
        <w:rPr>
          <w:rFonts w:ascii="Arial" w:cs="Arial" w:eastAsia="Arial" w:hAnsi="Arial"/>
          <w:sz w:val="16"/>
          <w:szCs w:val="16"/>
          <w:color w:val="auto"/>
        </w:rPr>
        <w:t>exercised.</w:t>
      </w:r>
    </w:p>
    <w:p>
      <w:pPr>
        <w:spacing w:after="0" w:line="166" w:lineRule="exact"/>
        <w:rPr>
          <w:rFonts w:ascii="Arial" w:cs="Arial" w:eastAsia="Arial" w:hAnsi="Arial"/>
          <w:sz w:val="15"/>
          <w:szCs w:val="15"/>
          <w:i w:val="1"/>
          <w:iCs w:val="1"/>
          <w:color w:val="auto"/>
        </w:rPr>
      </w:pPr>
    </w:p>
    <w:p>
      <w:pPr>
        <w:ind w:left="1300" w:hanging="644"/>
        <w:spacing w:after="0"/>
        <w:tabs>
          <w:tab w:leader="none" w:pos="130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Exercise of Options</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jc w:val="both"/>
        <w:ind w:firstLine="1628"/>
        <w:spacing w:after="0" w:line="256" w:lineRule="auto"/>
        <w:tabs>
          <w:tab w:leader="none" w:pos="1944" w:val="left"/>
        </w:tabs>
        <w:numPr>
          <w:ilvl w:val="1"/>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Automatic Exercise</w:t>
      </w:r>
      <w:r>
        <w:rPr>
          <w:rFonts w:ascii="Arial" w:cs="Arial" w:eastAsia="Arial" w:hAnsi="Arial"/>
          <w:sz w:val="16"/>
          <w:szCs w:val="16"/>
          <w:color w:val="auto"/>
        </w:rPr>
        <w:t>. A Participant’s option for the purchase of shares shall be exercised automatically on each Exercise Date,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number of full and partial shares subject to the option shall be purchased for the Participant at the applicable Exercise Price with the Plan Contributions accumulated during the Payroll Contribution Period applicable to the Offering Period in which such Exercise Date occurs. During a Participant’s lifetime, a Participant’s option to purchase shares hereunder is exercisable only by the Participant.</w:t>
      </w:r>
    </w:p>
    <w:p>
      <w:pPr>
        <w:spacing w:after="0" w:line="159" w:lineRule="exact"/>
        <w:rPr>
          <w:rFonts w:ascii="Arial" w:cs="Arial" w:eastAsia="Arial" w:hAnsi="Arial"/>
          <w:sz w:val="16"/>
          <w:szCs w:val="16"/>
          <w:i w:val="1"/>
          <w:iCs w:val="1"/>
          <w:color w:val="auto"/>
        </w:rPr>
      </w:pPr>
    </w:p>
    <w:p>
      <w:pPr>
        <w:jc w:val="both"/>
        <w:ind w:firstLine="1628"/>
        <w:spacing w:after="0" w:line="252" w:lineRule="auto"/>
        <w:tabs>
          <w:tab w:leader="none" w:pos="1944" w:val="left"/>
        </w:tabs>
        <w:numPr>
          <w:ilvl w:val="1"/>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Carryover of Excess Contributions</w:t>
      </w:r>
      <w:r>
        <w:rPr>
          <w:rFonts w:ascii="Arial" w:cs="Arial" w:eastAsia="Arial" w:hAnsi="Arial"/>
          <w:sz w:val="16"/>
          <w:szCs w:val="16"/>
          <w:color w:val="auto"/>
        </w:rPr>
        <w:t>. Any portion of the Plan Contributions accumulated during a Payroll Contribution Period applicable to a</w:t>
      </w:r>
      <w:r>
        <w:rPr>
          <w:rFonts w:ascii="Arial" w:cs="Arial" w:eastAsia="Arial" w:hAnsi="Arial"/>
          <w:sz w:val="16"/>
          <w:szCs w:val="16"/>
          <w:i w:val="1"/>
          <w:iCs w:val="1"/>
          <w:color w:val="auto"/>
        </w:rPr>
        <w:t xml:space="preserve"> </w:t>
      </w:r>
      <w:r>
        <w:rPr>
          <w:rFonts w:ascii="Arial" w:cs="Arial" w:eastAsia="Arial" w:hAnsi="Arial"/>
          <w:sz w:val="16"/>
          <w:szCs w:val="16"/>
          <w:color w:val="auto"/>
        </w:rPr>
        <w:t>given Offering Period, which remains after the purchase of shares by the Participant on an Exercise Date and is insufficient to purchase a full share of Common Stock shall remain in the Participant’s account and be added to the Plan Contributions accumulated during the next Payroll Contribution Period that is applicable to the next Offering Period, unless the Participant timely withdraws from participation in the Plan. Any portion of the Plan Contributions accumulated during a Payroll Contribution Period applicable to a given Offering Period, which remains after the purchase of shares by the Participant on an Exercise Date and is sufficient to purchase one or more full shares of Common Stock shall be distributed automatically to the Participant.</w:t>
      </w:r>
    </w:p>
    <w:p>
      <w:pPr>
        <w:spacing w:after="0" w:line="150" w:lineRule="exact"/>
        <w:rPr>
          <w:rFonts w:ascii="Arial" w:cs="Arial" w:eastAsia="Arial" w:hAnsi="Arial"/>
          <w:sz w:val="16"/>
          <w:szCs w:val="16"/>
          <w:i w:val="1"/>
          <w:iCs w:val="1"/>
          <w:color w:val="auto"/>
        </w:rPr>
      </w:pPr>
    </w:p>
    <w:p>
      <w:pPr>
        <w:ind w:left="1300" w:hanging="644"/>
        <w:spacing w:after="0"/>
        <w:tabs>
          <w:tab w:leader="none" w:pos="130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Issuance of Shares</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jc w:val="both"/>
        <w:ind w:firstLine="1628"/>
        <w:spacing w:after="0" w:line="268" w:lineRule="auto"/>
        <w:tabs>
          <w:tab w:leader="none" w:pos="1944" w:val="left"/>
        </w:tabs>
        <w:numPr>
          <w:ilvl w:val="1"/>
          <w:numId w:val="54"/>
        </w:numPr>
        <w:rPr>
          <w:rFonts w:ascii="Arial" w:cs="Arial" w:eastAsia="Arial" w:hAnsi="Arial"/>
          <w:sz w:val="15"/>
          <w:szCs w:val="15"/>
          <w:i w:val="1"/>
          <w:iCs w:val="1"/>
          <w:color w:val="auto"/>
        </w:rPr>
      </w:pPr>
      <w:r>
        <w:rPr>
          <w:rFonts w:ascii="Arial" w:cs="Arial" w:eastAsia="Arial" w:hAnsi="Arial"/>
          <w:sz w:val="15"/>
          <w:szCs w:val="15"/>
          <w:i w:val="1"/>
          <w:iCs w:val="1"/>
          <w:color w:val="auto"/>
        </w:rPr>
        <w:t>Delivery of Shares</w:t>
      </w:r>
      <w:r>
        <w:rPr>
          <w:rFonts w:ascii="Arial" w:cs="Arial" w:eastAsia="Arial" w:hAnsi="Arial"/>
          <w:sz w:val="15"/>
          <w:szCs w:val="15"/>
          <w:color w:val="auto"/>
        </w:rPr>
        <w:t>. As promptly as practicable after each Exercise Date, the Company shall arrange for the delivery to each Participant (or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Participant’s beneficiary), as appropriate, or to a custodial account held by a custodian appointed by the Company for the benefit of each Participant (or the Participant’s beneficiary) as appropriate, of a certificate representing the shares purchased upon exercise of the Participant’s option or, at the Company’s option, through appropriate book entry procedures. Unless otherwise permitted by the Committee, based upon rules and procedures that are uniformly applied to all Participants, all shares purchased upon exercise of the Participant’s option that are delivered to a custodial account held by a custodian appointed by the Company for the benefit of the Participant shall not be eligible for transfer out of the custodial account held by a custodian appointed by the Company for the benefit of the Participant, until the later of (i) the two-year anniversary of the Offering Date on which the Participant’s option to purchase such shares was granted, and (ii) the one-year anniversary of the Exercise Date on which the Participant purchased the shares, unless the transfer would be considered a “disposition of stock” for purposes of Section 423 of the Code, which generally includes any sale, exchange, gift, or any transfer of legal title of the shares other than transfers to the Participant’s estate or by bequest or inheritance, certain tax-free exchanges, a mere pledge or hypothecation, or a transfer to the Participant’s spouse or incident to divorce (as described in Section 1041(a) of the Code).</w:t>
      </w:r>
    </w:p>
    <w:p>
      <w:pPr>
        <w:spacing w:after="0" w:line="152" w:lineRule="exact"/>
        <w:rPr>
          <w:rFonts w:ascii="Arial" w:cs="Arial" w:eastAsia="Arial" w:hAnsi="Arial"/>
          <w:sz w:val="15"/>
          <w:szCs w:val="15"/>
          <w:i w:val="1"/>
          <w:iCs w:val="1"/>
          <w:color w:val="auto"/>
        </w:rPr>
      </w:pPr>
    </w:p>
    <w:p>
      <w:pPr>
        <w:ind w:firstLine="1628"/>
        <w:spacing w:after="0" w:line="275" w:lineRule="auto"/>
        <w:tabs>
          <w:tab w:leader="none" w:pos="1944" w:val="left"/>
        </w:tabs>
        <w:numPr>
          <w:ilvl w:val="1"/>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Registration of Shares</w:t>
      </w:r>
      <w:r>
        <w:rPr>
          <w:rFonts w:ascii="Arial" w:cs="Arial" w:eastAsia="Arial" w:hAnsi="Arial"/>
          <w:sz w:val="16"/>
          <w:szCs w:val="16"/>
          <w:color w:val="auto"/>
        </w:rPr>
        <w:t>. Shares to be delivered to a Participant under the Plan will be registered in the name of the Participant or in the name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and his or her spouse, as requested by the Participant.</w:t>
      </w:r>
    </w:p>
    <w:p>
      <w:pPr>
        <w:spacing w:after="0" w:line="131" w:lineRule="exact"/>
        <w:rPr>
          <w:rFonts w:ascii="Arial" w:cs="Arial" w:eastAsia="Arial" w:hAnsi="Arial"/>
          <w:sz w:val="16"/>
          <w:szCs w:val="16"/>
          <w:i w:val="1"/>
          <w:iCs w:val="1"/>
          <w:color w:val="auto"/>
        </w:rPr>
      </w:pPr>
    </w:p>
    <w:p>
      <w:pPr>
        <w:jc w:val="both"/>
        <w:ind w:firstLine="1628"/>
        <w:spacing w:after="0" w:line="251" w:lineRule="auto"/>
        <w:tabs>
          <w:tab w:leader="none" w:pos="1935" w:val="left"/>
        </w:tabs>
        <w:numPr>
          <w:ilvl w:val="1"/>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Compliance with Applicable Laws</w:t>
      </w:r>
      <w:r>
        <w:rPr>
          <w:rFonts w:ascii="Arial" w:cs="Arial" w:eastAsia="Arial" w:hAnsi="Arial"/>
          <w:sz w:val="16"/>
          <w:szCs w:val="16"/>
          <w:color w:val="auto"/>
        </w:rPr>
        <w:t>. The Plan, the grant and exercise of options to purchase shares under the Plan, and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to sell and deliver shares upon the exercise of options to purchase shares shall be subject to compliance with all applicable federal, state and foreign laws, rules and regulations and the requirements of any stock exchange on which the shares may then be listed. In accordance with the foregoing sentence, no options shall be exercised, and no shares shall be purchased, on June 30, 2015, or any other Exercise Date, unless a Form S-8 for the Plan has been filed and is fully effective in accordance with the requirements of the Securities Act of 1933, as amended, and the rules and regulations of the Securities and Exchange Commission thereunder, on the applicable Exercise Date. Any Plan Contributions accumulated during a Payroll Contribution Period applicable to a given Offering Period and held by the Company on any Exercise Date for which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6</w:t>
      </w:r>
    </w:p>
    <w:p>
      <w:pPr>
        <w:sectPr>
          <w:pgSz w:w="11900" w:h="16838" w:orient="portrait"/>
          <w:cols w:equalWidth="0" w:num="1">
            <w:col w:w="11240"/>
          </w:cols>
          <w:pgMar w:left="320" w:top="859" w:right="339" w:bottom="1440" w:gutter="0" w:footer="0" w:header="0"/>
        </w:sectPr>
      </w:pPr>
    </w:p>
    <w:bookmarkStart w:id="117" w:name="page118"/>
    <w:bookmarkEnd w:id="117"/>
    <w:p>
      <w:pPr>
        <w:ind w:right="20"/>
        <w:spacing w:after="0" w:line="275" w:lineRule="auto"/>
        <w:rPr>
          <w:sz w:val="20"/>
          <w:szCs w:val="20"/>
          <w:color w:val="auto"/>
        </w:rPr>
      </w:pPr>
      <w:r>
        <w:rPr>
          <w:rFonts w:ascii="Arial" w:cs="Arial" w:eastAsia="Arial" w:hAnsi="Arial"/>
          <w:sz w:val="16"/>
          <w:szCs w:val="16"/>
          <w:color w:val="auto"/>
        </w:rPr>
        <w:t>purchases may not be made pursuant to the preceding sentence shall be returned to the Participants who made those Plan Contributions as soon as administratively practicable after the applicable Exercise Date.</w:t>
      </w:r>
    </w:p>
    <w:p>
      <w:pPr>
        <w:spacing w:after="0" w:line="132" w:lineRule="exact"/>
        <w:rPr>
          <w:sz w:val="20"/>
          <w:szCs w:val="20"/>
          <w:color w:val="auto"/>
        </w:rPr>
      </w:pPr>
    </w:p>
    <w:p>
      <w:pPr>
        <w:jc w:val="both"/>
        <w:ind w:firstLine="1628"/>
        <w:spacing w:after="0" w:line="315" w:lineRule="auto"/>
        <w:tabs>
          <w:tab w:leader="none" w:pos="1944" w:val="left"/>
        </w:tabs>
        <w:numPr>
          <w:ilvl w:val="1"/>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Withholding</w:t>
      </w:r>
      <w:r>
        <w:rPr>
          <w:rFonts w:ascii="Arial" w:cs="Arial" w:eastAsia="Arial" w:hAnsi="Arial"/>
          <w:sz w:val="14"/>
          <w:szCs w:val="14"/>
          <w:color w:val="auto"/>
        </w:rPr>
        <w:t>. The Company may make such provisions as it deems appropriate for withholding by the Company pursuant to federal or state tax</w:t>
      </w:r>
      <w:r>
        <w:rPr>
          <w:rFonts w:ascii="Arial" w:cs="Arial" w:eastAsia="Arial" w:hAnsi="Arial"/>
          <w:sz w:val="14"/>
          <w:szCs w:val="14"/>
          <w:i w:val="1"/>
          <w:iCs w:val="1"/>
          <w:color w:val="auto"/>
        </w:rPr>
        <w:t xml:space="preserve"> </w:t>
      </w:r>
      <w:r>
        <w:rPr>
          <w:rFonts w:ascii="Arial" w:cs="Arial" w:eastAsia="Arial" w:hAnsi="Arial"/>
          <w:sz w:val="14"/>
          <w:szCs w:val="14"/>
          <w:color w:val="auto"/>
        </w:rPr>
        <w:t>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22" w:lineRule="exact"/>
        <w:rPr>
          <w:rFonts w:ascii="Arial" w:cs="Arial" w:eastAsia="Arial" w:hAnsi="Arial"/>
          <w:sz w:val="14"/>
          <w:szCs w:val="14"/>
          <w:i w:val="1"/>
          <w:iCs w:val="1"/>
          <w:color w:val="auto"/>
        </w:rPr>
      </w:pPr>
    </w:p>
    <w:p>
      <w:pPr>
        <w:ind w:left="1300" w:hanging="644"/>
        <w:spacing w:after="0"/>
        <w:tabs>
          <w:tab w:leader="none" w:pos="130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Participant Accounts</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jc w:val="both"/>
        <w:ind w:firstLine="1628"/>
        <w:spacing w:after="0" w:line="252" w:lineRule="auto"/>
        <w:tabs>
          <w:tab w:leader="none" w:pos="1944" w:val="left"/>
        </w:tabs>
        <w:numPr>
          <w:ilvl w:val="1"/>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Bookkeeping Accounts Maintained</w:t>
      </w:r>
      <w:r>
        <w:rPr>
          <w:rFonts w:ascii="Arial" w:cs="Arial" w:eastAsia="Arial" w:hAnsi="Arial"/>
          <w:sz w:val="16"/>
          <w:szCs w:val="16"/>
          <w:color w:val="auto"/>
        </w:rPr>
        <w:t>. Individual bookkeeping accounts will be maintained for each Participant in the Plan to account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of his or her Plan Contributions during the Payroll Deduction Period with respect to a given Offering Period, options issued, and shares purchased under the Plan. However, all Plan Contributions made for a Participant shall be deposited in the Company’s or a Designated Subsidiary’s general corporate accounts, and no interest shall accrue or be credited with respect to a Participant’s Plan Contributions. All Plan Contributions received or held by the Company or a Designated Subsidiary may be used by the Company or a Designated Subsidiary for any corporate purpose, and neither the Company nor a Designated Subsidiary shall be obligated to segregate or otherwise set apart such Plan Contributions from any other corporate funds.</w:t>
      </w:r>
    </w:p>
    <w:p>
      <w:pPr>
        <w:spacing w:after="0" w:line="150" w:lineRule="exact"/>
        <w:rPr>
          <w:rFonts w:ascii="Arial" w:cs="Arial" w:eastAsia="Arial" w:hAnsi="Arial"/>
          <w:sz w:val="16"/>
          <w:szCs w:val="16"/>
          <w:i w:val="1"/>
          <w:iCs w:val="1"/>
          <w:color w:val="auto"/>
        </w:rPr>
      </w:pPr>
    </w:p>
    <w:p>
      <w:pPr>
        <w:jc w:val="both"/>
        <w:ind w:firstLine="1628"/>
        <w:spacing w:after="0" w:line="286" w:lineRule="auto"/>
        <w:tabs>
          <w:tab w:leader="none" w:pos="1944" w:val="left"/>
        </w:tabs>
        <w:numPr>
          <w:ilvl w:val="1"/>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Withdrawal of Account Balance Following Exercise Date</w:t>
      </w:r>
      <w:r>
        <w:rPr>
          <w:rFonts w:ascii="Arial" w:cs="Arial" w:eastAsia="Arial" w:hAnsi="Arial"/>
          <w:sz w:val="15"/>
          <w:szCs w:val="15"/>
          <w:color w:val="auto"/>
        </w:rPr>
        <w:t>. Any portion of the Plan Contributions accumulated during a Payroll Contribution</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applicable to a given Offering Period, which remains after the purchase of shares by the Participant on an Exercise Date and is sufficient to purchase one or more full shares of Common Stock shall be distributed automatically to the Participant as soon as administratively practicable following such Exercise Date.</w:t>
      </w:r>
    </w:p>
    <w:p>
      <w:pPr>
        <w:spacing w:after="0" w:line="139" w:lineRule="exact"/>
        <w:rPr>
          <w:rFonts w:ascii="Arial" w:cs="Arial" w:eastAsia="Arial" w:hAnsi="Arial"/>
          <w:sz w:val="15"/>
          <w:szCs w:val="15"/>
          <w:i w:val="1"/>
          <w:iCs w:val="1"/>
          <w:color w:val="auto"/>
        </w:rPr>
      </w:pPr>
    </w:p>
    <w:p>
      <w:pPr>
        <w:ind w:left="1300" w:hanging="644"/>
        <w:spacing w:after="0"/>
        <w:tabs>
          <w:tab w:leader="none" w:pos="130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Designation of Beneficiary</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jc w:val="both"/>
        <w:ind w:firstLine="1628"/>
        <w:spacing w:after="0" w:line="256" w:lineRule="auto"/>
        <w:tabs>
          <w:tab w:leader="none" w:pos="1944" w:val="left"/>
        </w:tabs>
        <w:numPr>
          <w:ilvl w:val="1"/>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Designation</w:t>
      </w:r>
      <w:r>
        <w:rPr>
          <w:rFonts w:ascii="Arial" w:cs="Arial" w:eastAsia="Arial" w:hAnsi="Arial"/>
          <w:sz w:val="16"/>
          <w:szCs w:val="16"/>
          <w:color w:val="auto"/>
        </w:rPr>
        <w:t>. A Participant may file a written designation of a beneficiary who is to receive any shares and cash, if any, from the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under the Plan in the event of the Participant’s death subsequent to an Exercise Date on which the Participant’s option hereunder is exercised but prior to delivery to the Participant of such shares and cash. In addition, a Participant may file a written designation of a beneficiary who is to receive any cash from the Participant’s account under the Plan in the event of the Participant’s death prior to the exercise of the option.</w:t>
      </w:r>
    </w:p>
    <w:p>
      <w:pPr>
        <w:spacing w:after="0" w:line="146" w:lineRule="exact"/>
        <w:rPr>
          <w:rFonts w:ascii="Arial" w:cs="Arial" w:eastAsia="Arial" w:hAnsi="Arial"/>
          <w:sz w:val="16"/>
          <w:szCs w:val="16"/>
          <w:i w:val="1"/>
          <w:iCs w:val="1"/>
          <w:color w:val="auto"/>
        </w:rPr>
      </w:pPr>
    </w:p>
    <w:p>
      <w:pPr>
        <w:jc w:val="both"/>
        <w:ind w:firstLine="1628"/>
        <w:spacing w:after="0" w:line="274" w:lineRule="auto"/>
        <w:tabs>
          <w:tab w:leader="none" w:pos="1944" w:val="left"/>
        </w:tabs>
        <w:numPr>
          <w:ilvl w:val="1"/>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Change of Designation</w:t>
      </w:r>
      <w:r>
        <w:rPr>
          <w:rFonts w:ascii="Arial" w:cs="Arial" w:eastAsia="Arial" w:hAnsi="Arial"/>
          <w:sz w:val="15"/>
          <w:szCs w:val="15"/>
          <w:color w:val="auto"/>
        </w:rPr>
        <w:t>. A Participant’s beneficiary designation may be changed by the Participant at any time by written notice. In the event</w:t>
      </w:r>
      <w:r>
        <w:rPr>
          <w:rFonts w:ascii="Arial" w:cs="Arial" w:eastAsia="Arial" w:hAnsi="Arial"/>
          <w:sz w:val="15"/>
          <w:szCs w:val="15"/>
          <w:i w:val="1"/>
          <w:iCs w:val="1"/>
          <w:color w:val="auto"/>
        </w:rPr>
        <w:t xml:space="preserve"> </w:t>
      </w:r>
      <w:r>
        <w:rPr>
          <w:rFonts w:ascii="Arial" w:cs="Arial" w:eastAsia="Arial" w:hAnsi="Arial"/>
          <w:sz w:val="15"/>
          <w:szCs w:val="15"/>
          <w:color w:val="auto"/>
        </w:rPr>
        <w:t>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49" w:lineRule="exact"/>
        <w:rPr>
          <w:rFonts w:ascii="Arial" w:cs="Arial" w:eastAsia="Arial" w:hAnsi="Arial"/>
          <w:sz w:val="15"/>
          <w:szCs w:val="15"/>
          <w:i w:val="1"/>
          <w:iCs w:val="1"/>
          <w:color w:val="auto"/>
        </w:rPr>
      </w:pPr>
    </w:p>
    <w:p>
      <w:pPr>
        <w:jc w:val="both"/>
        <w:ind w:firstLine="656"/>
        <w:spacing w:after="0" w:line="256" w:lineRule="auto"/>
        <w:tabs>
          <w:tab w:leader="none" w:pos="1296"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Neither Plan Contributions credited to a Participant’s account nor any rights to exercise any option or receive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Plan may be assigned, transferred, pledged or otherwise disposed of in any way (other than by will or the laws of descent and distribution, or as provided in Section 11). Any attempted assignment, transfer, pledge or other distribution shall be without effect, except that the Company may treat such act as an election to withdraw in accordance with Section 13(a).</w:t>
      </w:r>
    </w:p>
    <w:p>
      <w:pPr>
        <w:spacing w:after="0" w:line="146" w:lineRule="exact"/>
        <w:rPr>
          <w:rFonts w:ascii="Arial" w:cs="Arial" w:eastAsia="Arial" w:hAnsi="Arial"/>
          <w:sz w:val="16"/>
          <w:szCs w:val="16"/>
          <w:i w:val="1"/>
          <w:iCs w:val="1"/>
          <w:color w:val="auto"/>
        </w:rPr>
      </w:pPr>
    </w:p>
    <w:p>
      <w:pPr>
        <w:ind w:left="1300" w:hanging="644"/>
        <w:spacing w:after="0"/>
        <w:tabs>
          <w:tab w:leader="none" w:pos="130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Withdrawal; Termination of Employment</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jc w:val="both"/>
        <w:ind w:firstLine="1628"/>
        <w:spacing w:after="0" w:line="249" w:lineRule="auto"/>
        <w:tabs>
          <w:tab w:leader="none" w:pos="1944" w:val="left"/>
        </w:tabs>
        <w:numPr>
          <w:ilvl w:val="1"/>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Withdrawal</w:t>
      </w:r>
      <w:r>
        <w:rPr>
          <w:rFonts w:ascii="Arial" w:cs="Arial" w:eastAsia="Arial" w:hAnsi="Arial"/>
          <w:sz w:val="16"/>
          <w:szCs w:val="16"/>
          <w:color w:val="auto"/>
        </w:rPr>
        <w:t>. A Participant may withdraw from participation in future Offering Periods under the Plan by giving written notice to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otherwise determined by the Committee under rules applicable to all Participants, the Plan withdrawal shall be effective as of the first Offering Period that begins after the date the Company receives the Participant’s written notice of withdrawal, provided that the Company received the Participant’s written notice of withdrawal on or before the sixth (6th) calendar day (a Friday) preceding the first day of the Offering Period to which the Participant’s written notice of withdrawal relates. For example, the deadline for completing and filing the Participant’s written notice of withdrawal for the Offering Period beginning Thursday, January 28, 2021 would be Friday, January 22, 2021. Payroll deductions, if any have been authorized, shall cease with respect to the Payroll Deduction Period applicable to the Offering Period to which the Participant’s written notice of withdrawal relates and is effective and, subject to administrative practicability, no further purchases shall be made for the Participant’s account. The Participant’s unexercised options to purchase shares pursuant to the Plan automatically will be terminated. Payroll deductions will not resume on behalf of a Participant who has withdrawn from the Plan (a “</w:t>
      </w:r>
      <w:r>
        <w:rPr>
          <w:rFonts w:ascii="Arial" w:cs="Arial" w:eastAsia="Arial" w:hAnsi="Arial"/>
          <w:sz w:val="16"/>
          <w:szCs w:val="16"/>
          <w:i w:val="1"/>
          <w:iCs w:val="1"/>
          <w:color w:val="auto"/>
        </w:rPr>
        <w:t>Former Participant</w:t>
      </w:r>
      <w:r>
        <w:rPr>
          <w:rFonts w:ascii="Arial" w:cs="Arial" w:eastAsia="Arial" w:hAnsi="Arial"/>
          <w:sz w:val="16"/>
          <w:szCs w:val="16"/>
          <w:color w:val="auto"/>
        </w:rPr>
        <w:t>”) unless the Former Participant enrolls in a subsequent Offering Period in accordance with Section 5(a) and Section 13(b).</w:t>
      </w:r>
    </w:p>
    <w:p>
      <w:pPr>
        <w:spacing w:after="0" w:line="170" w:lineRule="exact"/>
        <w:rPr>
          <w:rFonts w:ascii="Arial" w:cs="Arial" w:eastAsia="Arial" w:hAnsi="Arial"/>
          <w:sz w:val="16"/>
          <w:szCs w:val="16"/>
          <w:i w:val="1"/>
          <w:iCs w:val="1"/>
          <w:color w:val="auto"/>
        </w:rPr>
      </w:pPr>
    </w:p>
    <w:p>
      <w:pPr>
        <w:jc w:val="both"/>
        <w:ind w:right="20" w:firstLine="1628"/>
        <w:spacing w:after="0" w:line="261" w:lineRule="auto"/>
        <w:tabs>
          <w:tab w:leader="none" w:pos="1944" w:val="left"/>
        </w:tabs>
        <w:numPr>
          <w:ilvl w:val="1"/>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Effect of Withdrawal on Subsequent Participation</w:t>
      </w:r>
      <w:r>
        <w:rPr>
          <w:rFonts w:ascii="Arial" w:cs="Arial" w:eastAsia="Arial" w:hAnsi="Arial"/>
          <w:sz w:val="16"/>
          <w:szCs w:val="16"/>
          <w:color w:val="auto"/>
        </w:rPr>
        <w:t>. A Former Participant who has withdrawn from the Plan pursuant to Section 13(a)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to participate in the Plan again by submitting a new enrollment agreement in accordance with Section 5(a); provided, that if a Participant makes frequent withdrawals and re-entries into the Plan, such</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7</w:t>
      </w:r>
    </w:p>
    <w:p>
      <w:pPr>
        <w:sectPr>
          <w:pgSz w:w="11900" w:h="16838" w:orient="portrait"/>
          <w:cols w:equalWidth="0" w:num="1">
            <w:col w:w="11240"/>
          </w:cols>
          <w:pgMar w:left="320" w:top="859" w:right="339" w:bottom="1440" w:gutter="0" w:footer="0" w:header="0"/>
        </w:sectPr>
      </w:pPr>
    </w:p>
    <w:bookmarkStart w:id="118" w:name="page119"/>
    <w:bookmarkEnd w:id="118"/>
    <w:p>
      <w:pPr>
        <w:ind w:right="20"/>
        <w:spacing w:after="0" w:line="275" w:lineRule="auto"/>
        <w:rPr>
          <w:sz w:val="20"/>
          <w:szCs w:val="20"/>
          <w:color w:val="auto"/>
        </w:rPr>
      </w:pPr>
      <w:r>
        <w:rPr>
          <w:rFonts w:ascii="Arial" w:cs="Arial" w:eastAsia="Arial" w:hAnsi="Arial"/>
          <w:sz w:val="16"/>
          <w:szCs w:val="16"/>
          <w:color w:val="auto"/>
        </w:rPr>
        <w:t>Participant may be made ineligible, by the Committee in its sole and absolute discretion, to participate in the Plan for a period of time to the extent necessary to comply with applicable requirements under the Exchange Act, including without limitation Rule 10b5-1.</w:t>
      </w:r>
    </w:p>
    <w:p>
      <w:pPr>
        <w:spacing w:after="0" w:line="132" w:lineRule="exact"/>
        <w:rPr>
          <w:sz w:val="20"/>
          <w:szCs w:val="20"/>
          <w:color w:val="auto"/>
        </w:rPr>
      </w:pPr>
    </w:p>
    <w:p>
      <w:pPr>
        <w:jc w:val="both"/>
        <w:ind w:firstLine="1628"/>
        <w:spacing w:after="0" w:line="288" w:lineRule="auto"/>
        <w:tabs>
          <w:tab w:leader="none" w:pos="1935" w:val="left"/>
        </w:tabs>
        <w:numPr>
          <w:ilvl w:val="1"/>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of Employment</w:t>
      </w:r>
      <w:r>
        <w:rPr>
          <w:rFonts w:ascii="Arial" w:cs="Arial" w:eastAsia="Arial" w:hAnsi="Arial"/>
          <w:sz w:val="14"/>
          <w:szCs w:val="14"/>
          <w:color w:val="auto"/>
        </w:rPr>
        <w:t>. If a Participant’s Continuous Status as an Employee terminates during an Offering Period for any reason,</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retirement or death, the maximum number of full and partial shares subject to the option granted to the Participant on the Entry Date of the Offering Period in which the Participant’s Continuous Status as an Employee terminates shall be purchased for the Participant at the applicable Exercise Price with the Plan Contributions accumulated during the Payroll Contribution Period applicable to the Offering Period in which Participant’s Continuous Status as an Employee terminates. Notwithstanding the foregoing, any Plan Contributions credited to the Participant’s account during the Payroll Deduction Period with respect to an Offering Period that follows the Offering Period in which the Participant’s Continuous Status as an Employee terminates shall be returned to the Participant or, in the case of death, to the Participant’s beneficiary as determined pursuant to Section 11, and the Participant’s option to purchase shares under the Plan will automatically terminate. For example, if a Participant’s Continuous Status as an Employee terminates on February 9, 2021, (i) the Participant’s Plan Contributions accumulated during the Payroll Contribution Period applicable to the Offering Period beginning Thursday, January 28, 2021 and ending Wednesday, February 10, 2021 shall be used to purchase shares on the February 10, 2021 Exercise Date, and (ii) the Participant’s Plan Contributions, if any, accumulated during the Payroll Contribution Period applicable to the Offering Period beginning Thursday, February 11, 2021 and ending Wednesday, February 24, 2021 shall be returned to the Participant or, in the case of death, to the Participant’s beneficiary.</w:t>
      </w:r>
    </w:p>
    <w:p>
      <w:pPr>
        <w:spacing w:after="0" w:line="142" w:lineRule="exact"/>
        <w:rPr>
          <w:rFonts w:ascii="Arial" w:cs="Arial" w:eastAsia="Arial" w:hAnsi="Arial"/>
          <w:sz w:val="14"/>
          <w:szCs w:val="14"/>
          <w:i w:val="1"/>
          <w:iCs w:val="1"/>
          <w:color w:val="auto"/>
        </w:rPr>
      </w:pPr>
    </w:p>
    <w:p>
      <w:pPr>
        <w:ind w:left="1300" w:hanging="644"/>
        <w:spacing w:after="0"/>
        <w:tabs>
          <w:tab w:leader="none" w:pos="130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Common Stock Available under the Plan</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jc w:val="both"/>
        <w:ind w:firstLine="1628"/>
        <w:spacing w:after="0" w:line="298" w:lineRule="auto"/>
        <w:tabs>
          <w:tab w:leader="none" w:pos="1944" w:val="left"/>
        </w:tabs>
        <w:numPr>
          <w:ilvl w:val="1"/>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Shares</w:t>
      </w:r>
      <w:r>
        <w:rPr>
          <w:rFonts w:ascii="Arial" w:cs="Arial" w:eastAsia="Arial" w:hAnsi="Arial"/>
          <w:sz w:val="14"/>
          <w:szCs w:val="14"/>
          <w:color w:val="auto"/>
        </w:rPr>
        <w:t>. Subject to adjustment as provided in Section 14(b) below, the maximum number of shares of the Company’s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that shall be made available for sale under the Plan shall be 2,000,000 shares. Shares of Common Stock subject to the Plan may be newly issued shares or shares reacquired in private transactions or open market purchases. If and to the extent that any right to purchase reserved shares shall not be exercised by any Participant for any reason or if such right to purchase shall terminate as provided herein, shares that have not been so purchased hereunder shall again become available for the purpose of the Plan unless the Plan shall have been terminated, but all shares sold under the Plan, regardless of source, shall be counted against the limitation set forth above.</w:t>
      </w:r>
    </w:p>
    <w:p>
      <w:pPr>
        <w:spacing w:after="0" w:line="120" w:lineRule="exact"/>
        <w:rPr>
          <w:rFonts w:ascii="Arial" w:cs="Arial" w:eastAsia="Arial" w:hAnsi="Arial"/>
          <w:sz w:val="14"/>
          <w:szCs w:val="14"/>
          <w:i w:val="1"/>
          <w:iCs w:val="1"/>
          <w:color w:val="auto"/>
        </w:rPr>
      </w:pPr>
    </w:p>
    <w:p>
      <w:pPr>
        <w:ind w:left="1960" w:hanging="332"/>
        <w:spacing w:after="0"/>
        <w:tabs>
          <w:tab w:leader="none" w:pos="1960" w:val="left"/>
        </w:tabs>
        <w:numPr>
          <w:ilvl w:val="1"/>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Adjustments Upon Changes in Capitalization; Corporate Transactions</w:t>
      </w:r>
      <w:r>
        <w:rPr>
          <w:rFonts w:ascii="Arial" w:cs="Arial" w:eastAsia="Arial" w:hAnsi="Arial"/>
          <w:sz w:val="16"/>
          <w:szCs w:val="16"/>
          <w:color w:val="auto"/>
        </w:rPr>
        <w:t>.</w:t>
      </w:r>
    </w:p>
    <w:p>
      <w:pPr>
        <w:spacing w:after="0" w:line="194" w:lineRule="exact"/>
        <w:rPr>
          <w:rFonts w:ascii="Arial" w:cs="Arial" w:eastAsia="Arial" w:hAnsi="Arial"/>
          <w:sz w:val="16"/>
          <w:szCs w:val="16"/>
          <w:i w:val="1"/>
          <w:iCs w:val="1"/>
          <w:color w:val="auto"/>
        </w:rPr>
      </w:pPr>
    </w:p>
    <w:p>
      <w:pPr>
        <w:jc w:val="both"/>
        <w:ind w:firstLine="1866"/>
        <w:spacing w:after="0" w:line="256" w:lineRule="auto"/>
        <w:tabs>
          <w:tab w:leader="none" w:pos="1987" w:val="left"/>
        </w:tabs>
        <w:numPr>
          <w:ilvl w:val="3"/>
          <w:numId w:val="58"/>
        </w:numPr>
        <w:rPr>
          <w:rFonts w:ascii="Arial" w:cs="Arial" w:eastAsia="Arial" w:hAnsi="Arial"/>
          <w:sz w:val="16"/>
          <w:szCs w:val="16"/>
          <w:color w:val="auto"/>
        </w:rPr>
      </w:pPr>
      <w:r>
        <w:rPr>
          <w:rFonts w:ascii="Arial" w:cs="Arial" w:eastAsia="Arial" w:hAnsi="Arial"/>
          <w:sz w:val="16"/>
          <w:szCs w:val="16"/>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then the Committee shall, in such manner as it may deem equitable, substitute, exchange or adjust any or all of the number and/or kind of shares, and the per-share option price thereof, which may be issued in the aggregate and to any Participant upon exercise of options granted under the Plan.</w:t>
      </w:r>
    </w:p>
    <w:p>
      <w:pPr>
        <w:spacing w:after="0" w:line="146" w:lineRule="exact"/>
        <w:rPr>
          <w:rFonts w:ascii="Arial" w:cs="Arial" w:eastAsia="Arial" w:hAnsi="Arial"/>
          <w:sz w:val="16"/>
          <w:szCs w:val="16"/>
          <w:color w:val="auto"/>
        </w:rPr>
      </w:pPr>
    </w:p>
    <w:p>
      <w:pPr>
        <w:ind w:firstLine="1821"/>
        <w:spacing w:after="0" w:line="275" w:lineRule="auto"/>
        <w:tabs>
          <w:tab w:leader="none" w:pos="2022" w:val="left"/>
        </w:tabs>
        <w:numPr>
          <w:ilvl w:val="3"/>
          <w:numId w:val="58"/>
        </w:numPr>
        <w:rPr>
          <w:rFonts w:ascii="Arial" w:cs="Arial" w:eastAsia="Arial" w:hAnsi="Arial"/>
          <w:sz w:val="16"/>
          <w:szCs w:val="16"/>
          <w:color w:val="auto"/>
        </w:rPr>
      </w:pPr>
      <w:r>
        <w:rPr>
          <w:rFonts w:ascii="Arial" w:cs="Arial" w:eastAsia="Arial" w:hAnsi="Arial"/>
          <w:sz w:val="16"/>
          <w:szCs w:val="16"/>
          <w:color w:val="auto"/>
        </w:rPr>
        <w:t>In the event of the proposed dissolution or liquidation of the Company, the Offering Period will terminate immediately prior to the consummation of such proposed action, unless otherwise provided by the Committee.</w:t>
      </w:r>
    </w:p>
    <w:p>
      <w:pPr>
        <w:spacing w:after="0" w:line="131" w:lineRule="exact"/>
        <w:rPr>
          <w:rFonts w:ascii="Arial" w:cs="Arial" w:eastAsia="Arial" w:hAnsi="Arial"/>
          <w:sz w:val="16"/>
          <w:szCs w:val="16"/>
          <w:color w:val="auto"/>
        </w:rPr>
      </w:pPr>
    </w:p>
    <w:p>
      <w:pPr>
        <w:jc w:val="both"/>
        <w:ind w:firstLine="1776"/>
        <w:spacing w:after="0" w:line="286" w:lineRule="auto"/>
        <w:tabs>
          <w:tab w:leader="none" w:pos="2010" w:val="left"/>
        </w:tabs>
        <w:numPr>
          <w:ilvl w:val="3"/>
          <w:numId w:val="58"/>
        </w:numPr>
        <w:rPr>
          <w:rFonts w:ascii="Arial" w:cs="Arial" w:eastAsia="Arial" w:hAnsi="Arial"/>
          <w:sz w:val="14"/>
          <w:szCs w:val="14"/>
          <w:color w:val="auto"/>
        </w:rPr>
      </w:pPr>
      <w:r>
        <w:rPr>
          <w:rFonts w:ascii="Arial" w:cs="Arial" w:eastAsia="Arial" w:hAnsi="Arial"/>
          <w:sz w:val="14"/>
          <w:szCs w:val="14"/>
          <w:color w:val="auto"/>
        </w:rPr>
        <w:t>In the event of a proposed sale of all or substantially all of the Company’s assets, or the merger of the Company with or into another corporation (each, a “Sale Transaction”),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to shorten the Offering Period then in progress by setting a new Exercise Date (the “New Exercise Date”). If the Committee shortens the Offering Period then in progress in lieu of assumption or substitution in the event of a Sale Transaction, the Committee shall notify each Participant in writing, at least one (1) calendar day prior to the New Exercise Date, that the exercise date for such Participant’s option has been changed to the New Exercise Date and that such Participant’s option will be exercised automatically on the New Exercise Date, unless prior to such date the Participant has withdrawn from the Plan as provided in Section 13(a). For purposes of this Section 14(b), an option granted under the Plan shall be deemed to have been assumed if, following the Sale Transaction, the option confers the right to purchase, for each share of option stock subject to the option immediately prior to the Sale Transaction, the consideration (whether stock, cash or other securities or property) received in the Sale Transaction by holders of Common Stock for each share of Common Stock held on the effective date of the Sale Transaction (and if such holders were offered a choice of consideration, the type of consideration chosen by the holders of a majority of the outstanding shares of Common Stock); provided, that if the consideration received in the Sale Transaction was not solely common stock of the successor corporation or its parent (as defined in Section 424(e) of the Code), the Committee may, with the consent of the successor corporation, provide for the consideration to be received upon exercise of the option to be solely common stock of the successor corporation or its parent equal in fair market value (as determined by the Committee in its sole and absolute discretion) to the per share consideration received by the holders of Common Stock in the Sale Transaction.</w:t>
      </w:r>
    </w:p>
    <w:p>
      <w:pPr>
        <w:spacing w:after="0" w:line="149" w:lineRule="exact"/>
        <w:rPr>
          <w:rFonts w:ascii="Arial" w:cs="Arial" w:eastAsia="Arial" w:hAnsi="Arial"/>
          <w:sz w:val="14"/>
          <w:szCs w:val="14"/>
          <w:color w:val="auto"/>
        </w:rPr>
      </w:pPr>
    </w:p>
    <w:p>
      <w:pPr>
        <w:jc w:val="both"/>
        <w:ind w:firstLine="1785"/>
        <w:spacing w:after="0" w:line="261" w:lineRule="auto"/>
        <w:tabs>
          <w:tab w:leader="none" w:pos="1991" w:val="left"/>
        </w:tabs>
        <w:numPr>
          <w:ilvl w:val="2"/>
          <w:numId w:val="58"/>
        </w:numPr>
        <w:rPr>
          <w:rFonts w:ascii="Arial" w:cs="Arial" w:eastAsia="Arial" w:hAnsi="Arial"/>
          <w:sz w:val="16"/>
          <w:szCs w:val="16"/>
          <w:color w:val="auto"/>
        </w:rPr>
      </w:pPr>
      <w:r>
        <w:rPr>
          <w:rFonts w:ascii="Arial" w:cs="Arial" w:eastAsia="Arial" w:hAnsi="Arial"/>
          <w:sz w:val="16"/>
          <w:szCs w:val="16"/>
          <w:color w:val="auto"/>
        </w:rPr>
        <w:t>In all cases, the Committee shall have sole discretion to exercise any of the powers and authority provided under this Section 14, and the Committee’s actions hereunder shall be final and binding on all Participants. Fractional shares of Common Stock may be issued under the Plan pursuant to any adjustment authorized under the provisions of this Section 14.</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8</w:t>
      </w:r>
    </w:p>
    <w:p>
      <w:pPr>
        <w:sectPr>
          <w:pgSz w:w="11900" w:h="16838" w:orient="portrait"/>
          <w:cols w:equalWidth="0" w:num="1">
            <w:col w:w="11240"/>
          </w:cols>
          <w:pgMar w:left="320" w:top="859" w:right="339" w:bottom="1440" w:gutter="0" w:footer="0" w:header="0"/>
        </w:sectPr>
      </w:pPr>
    </w:p>
    <w:bookmarkStart w:id="119" w:name="page120"/>
    <w:bookmarkEnd w:id="119"/>
    <w:p>
      <w:pPr>
        <w:ind w:left="1300" w:hanging="644"/>
        <w:spacing w:after="0"/>
        <w:tabs>
          <w:tab w:leader="none" w:pos="1300" w:val="left"/>
        </w:tabs>
        <w:numPr>
          <w:ilvl w:val="1"/>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jc w:val="both"/>
        <w:ind w:firstLine="1628"/>
        <w:spacing w:after="0" w:line="261" w:lineRule="auto"/>
        <w:tabs>
          <w:tab w:leader="none" w:pos="1944" w:val="left"/>
        </w:tabs>
        <w:numPr>
          <w:ilvl w:val="2"/>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Committee</w:t>
      </w:r>
      <w:r>
        <w:rPr>
          <w:rFonts w:ascii="Arial" w:cs="Arial" w:eastAsia="Arial" w:hAnsi="Arial"/>
          <w:sz w:val="16"/>
          <w:szCs w:val="16"/>
          <w:color w:val="auto"/>
        </w:rPr>
        <w:t>. The Plan shall be administered by the Committee. The Committee shall have the authority to interpret the Plan, to prescribe,</w:t>
      </w:r>
      <w:r>
        <w:rPr>
          <w:rFonts w:ascii="Arial" w:cs="Arial" w:eastAsia="Arial" w:hAnsi="Arial"/>
          <w:sz w:val="16"/>
          <w:szCs w:val="16"/>
          <w:i w:val="1"/>
          <w:iCs w:val="1"/>
          <w:color w:val="auto"/>
        </w:rPr>
        <w:t xml:space="preserve"> </w:t>
      </w:r>
      <w:r>
        <w:rPr>
          <w:rFonts w:ascii="Arial" w:cs="Arial" w:eastAsia="Arial" w:hAnsi="Arial"/>
          <w:sz w:val="16"/>
          <w:szCs w:val="16"/>
          <w:color w:val="auto"/>
        </w:rPr>
        <w:t>amend and rescind rules and regulations relating to the Plan, and to make all other determinations necessary or advisable for the administration of the Plan. The administration, interpretation, or application of the Plan by the Committee shall be final, conclusive and binding upon all persons.</w:t>
      </w:r>
    </w:p>
    <w:p>
      <w:pPr>
        <w:spacing w:after="0" w:line="155" w:lineRule="exact"/>
        <w:rPr>
          <w:rFonts w:ascii="Arial" w:cs="Arial" w:eastAsia="Arial" w:hAnsi="Arial"/>
          <w:sz w:val="16"/>
          <w:szCs w:val="16"/>
          <w:i w:val="1"/>
          <w:iCs w:val="1"/>
          <w:color w:val="auto"/>
        </w:rPr>
      </w:pPr>
    </w:p>
    <w:p>
      <w:pPr>
        <w:jc w:val="both"/>
        <w:ind w:right="20" w:firstLine="1628"/>
        <w:spacing w:after="0" w:line="256" w:lineRule="auto"/>
        <w:tabs>
          <w:tab w:leader="none" w:pos="1944" w:val="left"/>
        </w:tabs>
        <w:numPr>
          <w:ilvl w:val="2"/>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Requirements of Exchange Act</w:t>
      </w:r>
      <w:r>
        <w:rPr>
          <w:rFonts w:ascii="Arial" w:cs="Arial" w:eastAsia="Arial" w:hAnsi="Arial"/>
          <w:sz w:val="16"/>
          <w:szCs w:val="16"/>
          <w:color w:val="auto"/>
        </w:rPr>
        <w:t>. Notwithstanding the provisions of Section 15(a) above, in the event that Rule 16b-3 promulgated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or any successor provision thereto (“Rule 16b-3”) provides specific requirements for the administrators of plans of this type, the Plan shall only be administered by such body and in such a manner as shall comply with the applicable requirements of Rule 16b-3. Unless permitted by Rule 16b-3, no discretion concerning decisions regarding the Plan shall be afforded to any person that is not “disinterested” as that term is used in Rule 16b-3.</w:t>
      </w:r>
    </w:p>
    <w:p>
      <w:pPr>
        <w:spacing w:after="0" w:line="146" w:lineRule="exact"/>
        <w:rPr>
          <w:rFonts w:ascii="Arial" w:cs="Arial" w:eastAsia="Arial" w:hAnsi="Arial"/>
          <w:sz w:val="16"/>
          <w:szCs w:val="16"/>
          <w:i w:val="1"/>
          <w:iCs w:val="1"/>
          <w:color w:val="auto"/>
        </w:rPr>
      </w:pPr>
    </w:p>
    <w:p>
      <w:pPr>
        <w:ind w:left="1300" w:hanging="644"/>
        <w:spacing w:after="0"/>
        <w:tabs>
          <w:tab w:leader="none" w:pos="1300" w:val="left"/>
        </w:tabs>
        <w:numPr>
          <w:ilvl w:val="1"/>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Amendment, Suspension, and Termination of the Plan</w:t>
      </w:r>
      <w:r>
        <w:rPr>
          <w:rFonts w:ascii="Arial" w:cs="Arial" w:eastAsia="Arial" w:hAnsi="Arial"/>
          <w:sz w:val="16"/>
          <w:szCs w:val="16"/>
          <w:color w:val="auto"/>
        </w:rPr>
        <w:t>.</w:t>
      </w:r>
    </w:p>
    <w:p>
      <w:pPr>
        <w:spacing w:after="0" w:line="180" w:lineRule="exact"/>
        <w:rPr>
          <w:rFonts w:ascii="Arial" w:cs="Arial" w:eastAsia="Arial" w:hAnsi="Arial"/>
          <w:sz w:val="16"/>
          <w:szCs w:val="16"/>
          <w:i w:val="1"/>
          <w:iCs w:val="1"/>
          <w:color w:val="auto"/>
        </w:rPr>
      </w:pPr>
    </w:p>
    <w:p>
      <w:pPr>
        <w:ind w:left="1960" w:hanging="332"/>
        <w:spacing w:after="0"/>
        <w:tabs>
          <w:tab w:leader="none" w:pos="1960" w:val="left"/>
        </w:tabs>
        <w:numPr>
          <w:ilvl w:val="2"/>
          <w:numId w:val="59"/>
        </w:numPr>
        <w:rPr>
          <w:rFonts w:ascii="Arial" w:cs="Arial" w:eastAsia="Arial" w:hAnsi="Arial"/>
          <w:sz w:val="15"/>
          <w:szCs w:val="15"/>
          <w:i w:val="1"/>
          <w:iCs w:val="1"/>
          <w:color w:val="auto"/>
        </w:rPr>
      </w:pPr>
      <w:r>
        <w:rPr>
          <w:rFonts w:ascii="Arial" w:cs="Arial" w:eastAsia="Arial" w:hAnsi="Arial"/>
          <w:sz w:val="15"/>
          <w:szCs w:val="15"/>
          <w:i w:val="1"/>
          <w:iCs w:val="1"/>
          <w:color w:val="auto"/>
        </w:rPr>
        <w:t>Amendment of the Plan</w:t>
      </w:r>
      <w:r>
        <w:rPr>
          <w:rFonts w:ascii="Arial" w:cs="Arial" w:eastAsia="Arial" w:hAnsi="Arial"/>
          <w:sz w:val="15"/>
          <w:szCs w:val="15"/>
          <w:color w:val="auto"/>
        </w:rPr>
        <w:t>. The Board or the Committee may at any time, or from time to time, amend the Plan in any respect; provided, that</w:t>
      </w:r>
    </w:p>
    <w:p>
      <w:pPr>
        <w:spacing w:after="0" w:line="30" w:lineRule="exact"/>
        <w:rPr>
          <w:rFonts w:ascii="Arial" w:cs="Arial" w:eastAsia="Arial" w:hAnsi="Arial"/>
          <w:sz w:val="15"/>
          <w:szCs w:val="15"/>
          <w:i w:val="1"/>
          <w:iCs w:val="1"/>
          <w:color w:val="auto"/>
        </w:rPr>
      </w:pPr>
    </w:p>
    <w:p>
      <w:pPr>
        <w:jc w:val="both"/>
        <w:ind w:firstLine="8"/>
        <w:spacing w:after="0" w:line="249" w:lineRule="auto"/>
        <w:tabs>
          <w:tab w:leader="none" w:pos="1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 such amendment may make any change in any option theretofore granted which adversely affects the rights of any Participant and (ii) the Plan may not be amended in any way that will cause rights issued under the Plan to fail to meet the requirements for employee stock purchase plans as defined in Section 423 of the Code or any successor thereto. To the extent necessary to comply with Rule 16b-3 under the Exchange Act, Section 423 of the Code, or any other applicable law or regulation, the Company shall obtain shareholder approval of any such amendment. The Committee is permitted to allocate and delegate its authority to amend the Plan to certain other person or persons that it deems appropriate, subject to any limitations as the Committee may provide.</w:t>
      </w:r>
    </w:p>
    <w:p>
      <w:pPr>
        <w:spacing w:after="0" w:line="165" w:lineRule="exact"/>
        <w:rPr>
          <w:rFonts w:ascii="Arial" w:cs="Arial" w:eastAsia="Arial" w:hAnsi="Arial"/>
          <w:sz w:val="16"/>
          <w:szCs w:val="16"/>
          <w:color w:val="auto"/>
        </w:rPr>
      </w:pPr>
    </w:p>
    <w:p>
      <w:pPr>
        <w:jc w:val="both"/>
        <w:ind w:firstLine="1628"/>
        <w:spacing w:after="0" w:line="252" w:lineRule="auto"/>
        <w:tabs>
          <w:tab w:leader="none" w:pos="1944" w:val="left"/>
        </w:tabs>
        <w:numPr>
          <w:ilvl w:val="2"/>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Suspension of the Plan</w:t>
      </w:r>
      <w:r>
        <w:rPr>
          <w:rFonts w:ascii="Arial" w:cs="Arial" w:eastAsia="Arial" w:hAnsi="Arial"/>
          <w:sz w:val="16"/>
          <w:szCs w:val="16"/>
          <w:color w:val="auto"/>
        </w:rPr>
        <w:t>. The Board or the Committee may, as of the close of any Exercise Date, suspend the Plan; provided, that the Board or</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provides notice to the Participants at least one (1) calendar day prior to the suspension. The Board or Committee may resume the normal operation of the Plan as of any Exercise Date; provided further, that the Board or Committee provides notice to the Participants at least one (1) calendar day prior to the date of termination of the suspension period. A Participant shall remain a Participant in the Plan during any suspension period (unless he or she withdraws pursuant to Section 13(a)), however no options shall be granted or exercised, and no payroll deductions shall be made in respect of any Participant during the suspension period. The Plan shall resume its normal operation upon termination of a suspension period.</w:t>
      </w:r>
    </w:p>
    <w:p>
      <w:pPr>
        <w:spacing w:after="0" w:line="150" w:lineRule="exact"/>
        <w:rPr>
          <w:rFonts w:ascii="Arial" w:cs="Arial" w:eastAsia="Arial" w:hAnsi="Arial"/>
          <w:sz w:val="16"/>
          <w:szCs w:val="16"/>
          <w:i w:val="1"/>
          <w:iCs w:val="1"/>
          <w:color w:val="auto"/>
        </w:rPr>
      </w:pPr>
    </w:p>
    <w:p>
      <w:pPr>
        <w:ind w:left="1940" w:hanging="312"/>
        <w:spacing w:after="0"/>
        <w:tabs>
          <w:tab w:leader="none" w:pos="1940" w:val="left"/>
        </w:tabs>
        <w:numPr>
          <w:ilvl w:val="2"/>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of the Plan</w:t>
      </w:r>
      <w:r>
        <w:rPr>
          <w:rFonts w:ascii="Arial" w:cs="Arial" w:eastAsia="Arial" w:hAnsi="Arial"/>
          <w:sz w:val="16"/>
          <w:szCs w:val="16"/>
          <w:color w:val="auto"/>
        </w:rPr>
        <w:t>. The Plan and all rights of Employees hereunder shall terminate on the earliest of:</w:t>
      </w:r>
    </w:p>
    <w:p>
      <w:pPr>
        <w:spacing w:after="0" w:line="180" w:lineRule="exact"/>
        <w:rPr>
          <w:rFonts w:ascii="Arial" w:cs="Arial" w:eastAsia="Arial" w:hAnsi="Arial"/>
          <w:sz w:val="16"/>
          <w:szCs w:val="16"/>
          <w:i w:val="1"/>
          <w:iCs w:val="1"/>
          <w:color w:val="auto"/>
        </w:rPr>
      </w:pPr>
    </w:p>
    <w:p>
      <w:pPr>
        <w:ind w:right="20" w:firstLine="1866"/>
        <w:spacing w:after="0" w:line="275" w:lineRule="auto"/>
        <w:tabs>
          <w:tab w:leader="none" w:pos="2003" w:val="left"/>
        </w:tabs>
        <w:numPr>
          <w:ilvl w:val="3"/>
          <w:numId w:val="60"/>
        </w:numPr>
        <w:rPr>
          <w:rFonts w:ascii="Arial" w:cs="Arial" w:eastAsia="Arial" w:hAnsi="Arial"/>
          <w:sz w:val="16"/>
          <w:szCs w:val="16"/>
          <w:color w:val="auto"/>
        </w:rPr>
      </w:pPr>
      <w:r>
        <w:rPr>
          <w:rFonts w:ascii="Arial" w:cs="Arial" w:eastAsia="Arial" w:hAnsi="Arial"/>
          <w:sz w:val="16"/>
          <w:szCs w:val="16"/>
          <w:color w:val="auto"/>
        </w:rPr>
        <w:t>the Exercise Date that Participants become entitled to purchase a number of shares greater than the number of reserved shares remaining available for purchase under the Plan;</w:t>
      </w:r>
    </w:p>
    <w:p>
      <w:pPr>
        <w:spacing w:after="0" w:line="145" w:lineRule="exact"/>
        <w:rPr>
          <w:rFonts w:ascii="Arial" w:cs="Arial" w:eastAsia="Arial" w:hAnsi="Arial"/>
          <w:sz w:val="16"/>
          <w:szCs w:val="16"/>
          <w:color w:val="auto"/>
        </w:rPr>
      </w:pPr>
    </w:p>
    <w:p>
      <w:pPr>
        <w:ind w:left="2000" w:hanging="179"/>
        <w:spacing w:after="0"/>
        <w:tabs>
          <w:tab w:leader="none" w:pos="2000" w:val="left"/>
        </w:tabs>
        <w:numPr>
          <w:ilvl w:val="3"/>
          <w:numId w:val="60"/>
        </w:numPr>
        <w:rPr>
          <w:rFonts w:ascii="Arial" w:cs="Arial" w:eastAsia="Arial" w:hAnsi="Arial"/>
          <w:sz w:val="16"/>
          <w:szCs w:val="16"/>
          <w:color w:val="auto"/>
        </w:rPr>
      </w:pPr>
      <w:r>
        <w:rPr>
          <w:rFonts w:ascii="Arial" w:cs="Arial" w:eastAsia="Arial" w:hAnsi="Arial"/>
          <w:sz w:val="16"/>
          <w:szCs w:val="16"/>
          <w:color w:val="auto"/>
        </w:rPr>
        <w:t>such date as is determined by the Board in its discretion; or</w:t>
      </w:r>
    </w:p>
    <w:p>
      <w:pPr>
        <w:spacing w:after="0" w:line="180" w:lineRule="exact"/>
        <w:rPr>
          <w:rFonts w:ascii="Arial" w:cs="Arial" w:eastAsia="Arial" w:hAnsi="Arial"/>
          <w:sz w:val="16"/>
          <w:szCs w:val="16"/>
          <w:color w:val="auto"/>
        </w:rPr>
      </w:pPr>
    </w:p>
    <w:p>
      <w:pPr>
        <w:ind w:left="2000" w:hanging="224"/>
        <w:spacing w:after="0"/>
        <w:tabs>
          <w:tab w:leader="none" w:pos="2000" w:val="left"/>
        </w:tabs>
        <w:numPr>
          <w:ilvl w:val="3"/>
          <w:numId w:val="60"/>
        </w:numPr>
        <w:rPr>
          <w:rFonts w:ascii="Arial" w:cs="Arial" w:eastAsia="Arial" w:hAnsi="Arial"/>
          <w:sz w:val="16"/>
          <w:szCs w:val="16"/>
          <w:color w:val="auto"/>
        </w:rPr>
      </w:pPr>
      <w:r>
        <w:rPr>
          <w:rFonts w:ascii="Arial" w:cs="Arial" w:eastAsia="Arial" w:hAnsi="Arial"/>
          <w:sz w:val="16"/>
          <w:szCs w:val="16"/>
          <w:color w:val="auto"/>
        </w:rPr>
        <w:t>the last Exercise Date immediately preceding the tenth (10th) anniversary of the Restatement Effective Date.</w:t>
      </w:r>
    </w:p>
    <w:p>
      <w:pPr>
        <w:spacing w:after="0" w:line="181"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In the event that the Plan terminates under circumstances described in Section 16(c)(i) above, reserved shares remaining as of the termination date shall be sold to Participants on a pro rata basis, based on the relative value of their cash account balances in the Plan as of the termination date.</w:t>
      </w:r>
    </w:p>
    <w:p>
      <w:pPr>
        <w:spacing w:after="0" w:line="145" w:lineRule="exact"/>
        <w:rPr>
          <w:sz w:val="20"/>
          <w:szCs w:val="20"/>
          <w:color w:val="auto"/>
        </w:rPr>
      </w:pPr>
    </w:p>
    <w:p>
      <w:pPr>
        <w:ind w:right="20" w:firstLine="656"/>
        <w:spacing w:after="0" w:line="275" w:lineRule="auto"/>
        <w:tabs>
          <w:tab w:leader="none" w:pos="1296"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w:t>
      </w:r>
      <w:r>
        <w:rPr>
          <w:rFonts w:ascii="Arial" w:cs="Arial" w:eastAsia="Arial" w:hAnsi="Arial"/>
          <w:sz w:val="16"/>
          <w:szCs w:val="16"/>
          <w:i w:val="1"/>
          <w:iCs w:val="1"/>
          <w:color w:val="auto"/>
        </w:rPr>
        <w:t xml:space="preserve"> </w:t>
      </w:r>
      <w:r>
        <w:rPr>
          <w:rFonts w:ascii="Arial" w:cs="Arial" w:eastAsia="Arial" w:hAnsi="Arial"/>
          <w:sz w:val="16"/>
          <w:szCs w:val="16"/>
          <w:color w:val="auto"/>
        </w:rPr>
        <w:t>given when received in the form specified by the Company at the location, or by the person, designated by the Company for the receipt thereof.</w:t>
      </w:r>
    </w:p>
    <w:p>
      <w:pPr>
        <w:spacing w:after="0" w:line="131" w:lineRule="exact"/>
        <w:rPr>
          <w:rFonts w:ascii="Arial" w:cs="Arial" w:eastAsia="Arial" w:hAnsi="Arial"/>
          <w:sz w:val="16"/>
          <w:szCs w:val="16"/>
          <w:i w:val="1"/>
          <w:iCs w:val="1"/>
          <w:color w:val="auto"/>
        </w:rPr>
      </w:pPr>
    </w:p>
    <w:p>
      <w:pPr>
        <w:ind w:firstLine="656"/>
        <w:spacing w:after="0" w:line="275" w:lineRule="auto"/>
        <w:tabs>
          <w:tab w:leader="none" w:pos="1296"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Expenses of the Plan</w:t>
      </w:r>
      <w:r>
        <w:rPr>
          <w:rFonts w:ascii="Arial" w:cs="Arial" w:eastAsia="Arial" w:hAnsi="Arial"/>
          <w:sz w:val="16"/>
          <w:szCs w:val="16"/>
          <w:color w:val="auto"/>
        </w:rPr>
        <w:t>. All costs and expenses incurred in administering the Plan shall be paid by the Company, except that any stamp duties or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taxes applicable to participation in the Plan may be charged to the account of such Participant by the Company.</w:t>
      </w:r>
    </w:p>
    <w:p>
      <w:pPr>
        <w:spacing w:after="0" w:line="131" w:lineRule="exact"/>
        <w:rPr>
          <w:rFonts w:ascii="Arial" w:cs="Arial" w:eastAsia="Arial" w:hAnsi="Arial"/>
          <w:sz w:val="16"/>
          <w:szCs w:val="16"/>
          <w:i w:val="1"/>
          <w:iCs w:val="1"/>
          <w:color w:val="auto"/>
        </w:rPr>
      </w:pPr>
    </w:p>
    <w:p>
      <w:pPr>
        <w:jc w:val="both"/>
        <w:ind w:firstLine="656"/>
        <w:spacing w:after="0" w:line="286" w:lineRule="auto"/>
        <w:tabs>
          <w:tab w:leader="none" w:pos="1296" w:val="left"/>
        </w:tabs>
        <w:numPr>
          <w:ilvl w:val="0"/>
          <w:numId w:val="61"/>
        </w:numPr>
        <w:rPr>
          <w:rFonts w:ascii="Arial" w:cs="Arial" w:eastAsia="Arial" w:hAnsi="Arial"/>
          <w:sz w:val="15"/>
          <w:szCs w:val="15"/>
          <w:i w:val="1"/>
          <w:iCs w:val="1"/>
          <w:color w:val="auto"/>
        </w:rPr>
      </w:pPr>
      <w:r>
        <w:rPr>
          <w:rFonts w:ascii="Arial" w:cs="Arial" w:eastAsia="Arial" w:hAnsi="Arial"/>
          <w:sz w:val="15"/>
          <w:szCs w:val="15"/>
          <w:i w:val="1"/>
          <w:iCs w:val="1"/>
          <w:color w:val="auto"/>
        </w:rPr>
        <w:t>No Employment Rights</w:t>
      </w:r>
      <w:r>
        <w:rPr>
          <w:rFonts w:ascii="Arial" w:cs="Arial" w:eastAsia="Arial" w:hAnsi="Arial"/>
          <w:sz w:val="15"/>
          <w:szCs w:val="15"/>
          <w:color w:val="auto"/>
        </w:rPr>
        <w:t>. The Plan does not, directly or indirectly, create any right for the benefit of any employee or class of employees to purchase any</w:t>
      </w:r>
      <w:r>
        <w:rPr>
          <w:rFonts w:ascii="Arial" w:cs="Arial" w:eastAsia="Arial" w:hAnsi="Arial"/>
          <w:sz w:val="15"/>
          <w:szCs w:val="15"/>
          <w:i w:val="1"/>
          <w:iCs w:val="1"/>
          <w:color w:val="auto"/>
        </w:rPr>
        <w:t xml:space="preserve"> </w:t>
      </w:r>
      <w:r>
        <w:rPr>
          <w:rFonts w:ascii="Arial" w:cs="Arial" w:eastAsia="Arial" w:hAnsi="Arial"/>
          <w:sz w:val="15"/>
          <w:szCs w:val="15"/>
          <w:color w:val="auto"/>
        </w:rPr>
        <w:t>shares under the Plan, or create in any employee or class of employees any right with respect to continuation of employment by the Company or any Subsidiary, and it shall not be deemed to interfere in any way with the right of the Company or any Subsidiary to terminate, or otherwise modify, an employee’s employment at any time.</w:t>
      </w:r>
    </w:p>
    <w:p>
      <w:pPr>
        <w:spacing w:after="0" w:line="139" w:lineRule="exact"/>
        <w:rPr>
          <w:rFonts w:ascii="Arial" w:cs="Arial" w:eastAsia="Arial" w:hAnsi="Arial"/>
          <w:sz w:val="15"/>
          <w:szCs w:val="15"/>
          <w:i w:val="1"/>
          <w:iCs w:val="1"/>
          <w:color w:val="auto"/>
        </w:rPr>
      </w:pPr>
    </w:p>
    <w:p>
      <w:pPr>
        <w:ind w:firstLine="656"/>
        <w:spacing w:after="0" w:line="275" w:lineRule="auto"/>
        <w:tabs>
          <w:tab w:leader="none" w:pos="1296"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Applicable Law</w:t>
      </w:r>
      <w:r>
        <w:rPr>
          <w:rFonts w:ascii="Arial" w:cs="Arial" w:eastAsia="Arial" w:hAnsi="Arial"/>
          <w:sz w:val="16"/>
          <w:szCs w:val="16"/>
          <w:color w:val="auto"/>
        </w:rPr>
        <w:t>. The internal laws of the State of Florida shall govern all matter relating to this Plan except to the extent (if any) superseded by the laws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United States.</w:t>
      </w:r>
    </w:p>
    <w:p>
      <w:pPr>
        <w:spacing w:after="0" w:line="131" w:lineRule="exact"/>
        <w:rPr>
          <w:rFonts w:ascii="Arial" w:cs="Arial" w:eastAsia="Arial" w:hAnsi="Arial"/>
          <w:sz w:val="16"/>
          <w:szCs w:val="16"/>
          <w:i w:val="1"/>
          <w:iCs w:val="1"/>
          <w:color w:val="auto"/>
        </w:rPr>
      </w:pPr>
    </w:p>
    <w:p>
      <w:pPr>
        <w:jc w:val="both"/>
        <w:ind w:firstLine="656"/>
        <w:spacing w:after="0" w:line="261" w:lineRule="auto"/>
        <w:tabs>
          <w:tab w:leader="none" w:pos="1296"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Additional Restrictions of Rule 16b-3</w:t>
      </w:r>
      <w:r>
        <w:rPr>
          <w:rFonts w:ascii="Arial" w:cs="Arial" w:eastAsia="Arial" w:hAnsi="Arial"/>
          <w:sz w:val="16"/>
          <w:szCs w:val="16"/>
          <w:color w:val="auto"/>
        </w:rPr>
        <w:t>. The terms and conditions of options granted hereunder to, and the purchase of shares by, persons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 of the Exchange Act shall comply with the applicable provisions of Rule 16b-3. This Plan shall be deemed to contain, and such options shall contain, and the shares issued upon exercise thereof</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9</w:t>
      </w:r>
    </w:p>
    <w:p>
      <w:pPr>
        <w:sectPr>
          <w:pgSz w:w="11900" w:h="16838" w:orient="portrait"/>
          <w:cols w:equalWidth="0" w:num="1">
            <w:col w:w="11240"/>
          </w:cols>
          <w:pgMar w:left="320" w:top="859" w:right="339" w:bottom="1440" w:gutter="0" w:footer="0" w:header="0"/>
        </w:sectPr>
      </w:pPr>
    </w:p>
    <w:bookmarkStart w:id="120" w:name="page121"/>
    <w:bookmarkEnd w:id="120"/>
    <w:p>
      <w:pPr>
        <w:spacing w:after="0" w:line="275" w:lineRule="auto"/>
        <w:rPr>
          <w:sz w:val="20"/>
          <w:szCs w:val="20"/>
          <w:color w:val="auto"/>
        </w:rPr>
      </w:pPr>
      <w:r>
        <w:rPr>
          <w:rFonts w:ascii="Arial" w:cs="Arial" w:eastAsia="Arial" w:hAnsi="Arial"/>
          <w:sz w:val="16"/>
          <w:szCs w:val="16"/>
          <w:color w:val="auto"/>
        </w:rPr>
        <w:t>shall be subject to, such additional conditions and restrictions as may be required by Rule 16b-3 to qualify for the maximum exemption from Section 16 of the Exchange Act with respect to Plan transactions.</w:t>
      </w:r>
    </w:p>
    <w:p>
      <w:pPr>
        <w:spacing w:after="0" w:line="132" w:lineRule="exact"/>
        <w:rPr>
          <w:sz w:val="20"/>
          <w:szCs w:val="20"/>
          <w:color w:val="auto"/>
        </w:rPr>
      </w:pPr>
    </w:p>
    <w:p>
      <w:pPr>
        <w:ind w:right="20" w:firstLine="656"/>
        <w:spacing w:after="0" w:line="275" w:lineRule="auto"/>
        <w:tabs>
          <w:tab w:leader="none" w:pos="1296"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Date</w:t>
      </w:r>
      <w:r>
        <w:rPr>
          <w:rFonts w:ascii="Arial" w:cs="Arial" w:eastAsia="Arial" w:hAnsi="Arial"/>
          <w:sz w:val="16"/>
          <w:szCs w:val="16"/>
          <w:color w:val="auto"/>
        </w:rPr>
        <w:t>. Subject to adoption of the Plan by the Board, the Plan shall become effective on the First Offering Date. The Board shall submit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shareholders of the Company for approval within twelve months after the date the Plan is adopted by the Board.</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10</w:t>
      </w:r>
    </w:p>
    <w:p>
      <w:pPr>
        <w:sectPr>
          <w:pgSz w:w="11900" w:h="16838" w:orient="portrait"/>
          <w:cols w:equalWidth="0" w:num="1">
            <w:col w:w="11240"/>
          </w:cols>
          <w:pgMar w:left="320" w:top="859"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10.12</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____________</w:t>
      </w:r>
    </w:p>
    <w:p>
      <w:pPr>
        <w:spacing w:after="0" w:line="163"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AMENDED AND RESTATED BARGAINING UNITS ESPP</w:t>
      </w:r>
    </w:p>
    <w:p>
      <w:pPr>
        <w:sectPr>
          <w:pgSz w:w="11900" w:h="16838" w:orient="portrait"/>
          <w:cols w:equalWidth="0" w:num="1">
            <w:col w:w="10120"/>
          </w:cols>
          <w:pgMar w:left="1440" w:top="1422"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__________________</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BARGAINING UNITS ESPP</w:t>
      </w:r>
    </w:p>
    <w:p>
      <w:pPr>
        <w:spacing w:after="0" w:line="198" w:lineRule="exact"/>
        <w:rPr>
          <w:sz w:val="20"/>
          <w:szCs w:val="20"/>
          <w:color w:val="auto"/>
        </w:rPr>
      </w:pPr>
    </w:p>
    <w:p>
      <w:pPr>
        <w:jc w:val="both"/>
        <w:ind w:firstLine="656"/>
        <w:spacing w:after="0" w:line="256" w:lineRule="auto"/>
        <w:tabs>
          <w:tab w:leader="none" w:pos="1296"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Plan is to provide incentive for present and future employees of any Designated Subsidiary to acquire a proprietary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(or increase an existing proprietary interest) in the Company through the purchase of Common Stock. It is the Company’s intention that the Plan qualify as an “employee stock purchase plan” under Section 423 of the Code. Accordingly, the provisions of the Plan shall be administered, interpreted and construed in a manner consistent with the requirements of that section of the Code.</w:t>
      </w:r>
    </w:p>
    <w:p>
      <w:pPr>
        <w:spacing w:after="0" w:line="1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Plan was originally adopted by the Board, effective July 1, 2013, and approved by the Company’s shareholders on May 23, 2013 at the Company’s 2013 Annual Meeting of Shareholders. The Plan was subsequently amended and restated effective July 1, 2013. This amendment and restatement of the Plan shall be effective as of January 1, 2021 (the “</w:t>
      </w:r>
      <w:r>
        <w:rPr>
          <w:rFonts w:ascii="Arial" w:cs="Arial" w:eastAsia="Arial" w:hAnsi="Arial"/>
          <w:sz w:val="16"/>
          <w:szCs w:val="16"/>
          <w:i w:val="1"/>
          <w:iCs w:val="1"/>
          <w:color w:val="auto"/>
        </w:rPr>
        <w:t>Restatement Effective Date</w:t>
      </w:r>
      <w:r>
        <w:rPr>
          <w:rFonts w:ascii="Arial" w:cs="Arial" w:eastAsia="Arial" w:hAnsi="Arial"/>
          <w:sz w:val="16"/>
          <w:szCs w:val="16"/>
          <w:color w:val="auto"/>
        </w:rPr>
        <w:t>”).</w:t>
      </w:r>
    </w:p>
    <w:p>
      <w:pPr>
        <w:spacing w:after="0" w:line="142"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1304"/>
        <w:spacing w:after="0" w:line="261" w:lineRule="auto"/>
        <w:tabs>
          <w:tab w:leader="none" w:pos="1638"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Percentage</w:t>
      </w:r>
      <w:r>
        <w:rPr>
          <w:rFonts w:ascii="Arial" w:cs="Arial" w:eastAsia="Arial" w:hAnsi="Arial"/>
          <w:sz w:val="16"/>
          <w:szCs w:val="16"/>
          <w:color w:val="auto"/>
        </w:rPr>
        <w:t>” means, with respect to each Offering Period, eighty-five percent (85%), unless and until such Applicable Percentage is increased by the Committee, in its sole discretion, provided that any such increase in the Applicable Percentage with respect to a given Offering Period must be established not less than one (1) calendar day prior to the Offering Date thereof.</w:t>
      </w:r>
    </w:p>
    <w:p>
      <w:pPr>
        <w:spacing w:after="0" w:line="142" w:lineRule="exact"/>
        <w:rPr>
          <w:rFonts w:ascii="Arial" w:cs="Arial" w:eastAsia="Arial" w:hAnsi="Arial"/>
          <w:sz w:val="16"/>
          <w:szCs w:val="16"/>
          <w:color w:val="auto"/>
        </w:rPr>
      </w:pPr>
    </w:p>
    <w:p>
      <w:pPr>
        <w:ind w:left="1600" w:hanging="296"/>
        <w:spacing w:after="0"/>
        <w:tabs>
          <w:tab w:leader="none" w:pos="16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180" w:lineRule="exact"/>
        <w:rPr>
          <w:rFonts w:ascii="Arial" w:cs="Arial" w:eastAsia="Arial" w:hAnsi="Arial"/>
          <w:sz w:val="16"/>
          <w:szCs w:val="16"/>
          <w:color w:val="auto"/>
        </w:rPr>
      </w:pPr>
    </w:p>
    <w:p>
      <w:pPr>
        <w:ind w:left="1600" w:hanging="296"/>
        <w:spacing w:after="0"/>
        <w:tabs>
          <w:tab w:leader="none" w:pos="16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and any successor thereto.</w:t>
      </w:r>
    </w:p>
    <w:p>
      <w:pPr>
        <w:spacing w:after="0" w:line="194" w:lineRule="exact"/>
        <w:rPr>
          <w:rFonts w:ascii="Arial" w:cs="Arial" w:eastAsia="Arial" w:hAnsi="Arial"/>
          <w:sz w:val="16"/>
          <w:szCs w:val="16"/>
          <w:color w:val="auto"/>
        </w:rPr>
      </w:pPr>
    </w:p>
    <w:p>
      <w:pPr>
        <w:ind w:left="1600" w:hanging="296"/>
        <w:spacing w:after="0"/>
        <w:tabs>
          <w:tab w:leader="none" w:pos="16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Compensation Committee of the Board or, if no such Committee exists, then the Board.</w:t>
      </w:r>
    </w:p>
    <w:p>
      <w:pPr>
        <w:spacing w:after="0" w:line="180" w:lineRule="exact"/>
        <w:rPr>
          <w:rFonts w:ascii="Arial" w:cs="Arial" w:eastAsia="Arial" w:hAnsi="Arial"/>
          <w:sz w:val="16"/>
          <w:szCs w:val="16"/>
          <w:color w:val="auto"/>
        </w:rPr>
      </w:pPr>
    </w:p>
    <w:p>
      <w:pPr>
        <w:ind w:left="1600" w:hanging="296"/>
        <w:spacing w:after="0"/>
        <w:tabs>
          <w:tab w:leader="none" w:pos="16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the Company’s common stock, par value $.10 per share.</w:t>
      </w:r>
    </w:p>
    <w:p>
      <w:pPr>
        <w:spacing w:after="0" w:line="180" w:lineRule="exact"/>
        <w:rPr>
          <w:rFonts w:ascii="Arial" w:cs="Arial" w:eastAsia="Arial" w:hAnsi="Arial"/>
          <w:sz w:val="16"/>
          <w:szCs w:val="16"/>
          <w:color w:val="auto"/>
        </w:rPr>
      </w:pPr>
    </w:p>
    <w:p>
      <w:pPr>
        <w:ind w:left="1580" w:hanging="276"/>
        <w:spacing w:after="0"/>
        <w:tabs>
          <w:tab w:leader="none" w:pos="15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MasTec, Inc., a Florida corporation.</w:t>
      </w:r>
    </w:p>
    <w:p>
      <w:pPr>
        <w:spacing w:after="0" w:line="194" w:lineRule="exact"/>
        <w:rPr>
          <w:rFonts w:ascii="Arial" w:cs="Arial" w:eastAsia="Arial" w:hAnsi="Arial"/>
          <w:sz w:val="16"/>
          <w:szCs w:val="16"/>
          <w:color w:val="auto"/>
        </w:rPr>
      </w:pPr>
    </w:p>
    <w:p>
      <w:pPr>
        <w:jc w:val="both"/>
        <w:ind w:firstLine="1304"/>
        <w:spacing w:after="0" w:line="252" w:lineRule="auto"/>
        <w:tabs>
          <w:tab w:leader="none" w:pos="16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w:t>
      </w:r>
      <w:r>
        <w:rPr>
          <w:rFonts w:ascii="Arial" w:cs="Arial" w:eastAsia="Arial" w:hAnsi="Arial"/>
          <w:sz w:val="16"/>
          <w:szCs w:val="16"/>
          <w:color w:val="auto"/>
        </w:rPr>
        <w:t>” means, with respect to each Participant for each pay period, the full base salary and overtime paid to such Participant by the Company or a Designated Subsidiary. Except as otherwise determined by the Committee, “Compensation” does not include: (i) bonuses or commissions, (ii) any amounts contributed by the Company or a Designated Subsidiary to any pension plan, (iii) any automobile or relocation allowances (or reimbursement for any such expenses), (iv) any amounts paid as a starting bonus or finder’s fee, (v) any amounts realized from the exercise of any stock options or incentive awards, (vi) any amounts paid by the Company or a Designated Subsidiary for other fringe benefits, such as health and welfare, hospitalization and group life insurance benefits, or perquisites, or paid in lieu of such benefits, or (vii) other similar forms of extraordinary compensation.</w:t>
      </w:r>
    </w:p>
    <w:p>
      <w:pPr>
        <w:spacing w:after="0" w:line="150" w:lineRule="exact"/>
        <w:rPr>
          <w:rFonts w:ascii="Arial" w:cs="Arial" w:eastAsia="Arial" w:hAnsi="Arial"/>
          <w:sz w:val="16"/>
          <w:szCs w:val="16"/>
          <w:color w:val="auto"/>
        </w:rPr>
      </w:pPr>
    </w:p>
    <w:p>
      <w:pPr>
        <w:jc w:val="both"/>
        <w:ind w:firstLine="1304"/>
        <w:spacing w:after="0" w:line="286" w:lineRule="auto"/>
        <w:tabs>
          <w:tab w:leader="none" w:pos="1647" w:val="left"/>
        </w:tabs>
        <w:numPr>
          <w:ilvl w:val="1"/>
          <w:numId w:val="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Continuous Status as an Employee</w:t>
      </w:r>
      <w:r>
        <w:rPr>
          <w:rFonts w:ascii="Arial" w:cs="Arial" w:eastAsia="Arial" w:hAnsi="Arial"/>
          <w:sz w:val="15"/>
          <w:szCs w:val="15"/>
          <w:color w:val="auto"/>
        </w:rPr>
        <w:t>” means the absence of any interruption or termination of service as an Employee. Continuous Status as an Employee shall not be considered interrupted in the case of a leave of absence agreed to in writing by the Company or the Designated Subsidiary that employs the Employee, provided that such leave is for a period of not more than 90 days or reemployment upon the expiration of such leave is guaranteed by contract or statute.</w:t>
      </w:r>
    </w:p>
    <w:p>
      <w:pPr>
        <w:spacing w:after="0" w:line="125" w:lineRule="exact"/>
        <w:rPr>
          <w:rFonts w:ascii="Arial" w:cs="Arial" w:eastAsia="Arial" w:hAnsi="Arial"/>
          <w:sz w:val="15"/>
          <w:szCs w:val="15"/>
          <w:color w:val="auto"/>
        </w:rPr>
      </w:pPr>
    </w:p>
    <w:p>
      <w:pPr>
        <w:ind w:firstLine="1304"/>
        <w:spacing w:after="0" w:line="275" w:lineRule="auto"/>
        <w:tabs>
          <w:tab w:leader="none" w:pos="1557"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Subsidiaries</w:t>
      </w:r>
      <w:r>
        <w:rPr>
          <w:rFonts w:ascii="Arial" w:cs="Arial" w:eastAsia="Arial" w:hAnsi="Arial"/>
          <w:sz w:val="16"/>
          <w:szCs w:val="16"/>
          <w:color w:val="auto"/>
        </w:rPr>
        <w:t>” means the Subsidiaries that have been designated by the Board or the Committee from time to time in their sole discretion as eligible to participate in the Plan.</w:t>
      </w:r>
    </w:p>
    <w:p>
      <w:pPr>
        <w:spacing w:after="0" w:line="145" w:lineRule="exact"/>
        <w:rPr>
          <w:rFonts w:ascii="Arial" w:cs="Arial" w:eastAsia="Arial" w:hAnsi="Arial"/>
          <w:sz w:val="16"/>
          <w:szCs w:val="16"/>
          <w:color w:val="auto"/>
        </w:rPr>
      </w:pPr>
    </w:p>
    <w:p>
      <w:pPr>
        <w:ind w:left="1600" w:hanging="296"/>
        <w:spacing w:after="0"/>
        <w:tabs>
          <w:tab w:leader="none" w:pos="16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Employee</w:t>
      </w:r>
      <w:r>
        <w:rPr>
          <w:rFonts w:ascii="Arial" w:cs="Arial" w:eastAsia="Arial" w:hAnsi="Arial"/>
          <w:sz w:val="14"/>
          <w:szCs w:val="14"/>
          <w:color w:val="auto"/>
        </w:rPr>
        <w:t>” means any person, including an Officer, whose customary employment with one of the Designated Subsidiaries is at least twenty (20)</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hours per week.</w:t>
      </w:r>
    </w:p>
    <w:p>
      <w:pPr>
        <w:spacing w:after="0" w:line="166" w:lineRule="exact"/>
        <w:rPr>
          <w:rFonts w:ascii="Arial" w:cs="Arial" w:eastAsia="Arial" w:hAnsi="Arial"/>
          <w:sz w:val="14"/>
          <w:szCs w:val="14"/>
          <w:color w:val="auto"/>
        </w:rPr>
      </w:pPr>
    </w:p>
    <w:p>
      <w:pPr>
        <w:ind w:left="1600" w:hanging="296"/>
        <w:spacing w:after="0"/>
        <w:tabs>
          <w:tab w:leader="none" w:pos="16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Entry Date</w:t>
      </w:r>
      <w:r>
        <w:rPr>
          <w:rFonts w:ascii="Arial" w:cs="Arial" w:eastAsia="Arial" w:hAnsi="Arial"/>
          <w:sz w:val="16"/>
          <w:szCs w:val="16"/>
          <w:color w:val="auto"/>
        </w:rPr>
        <w:t>” means the first day of each Offering Period.</w:t>
      </w:r>
    </w:p>
    <w:p>
      <w:pPr>
        <w:spacing w:after="0" w:line="180" w:lineRule="exact"/>
        <w:rPr>
          <w:rFonts w:ascii="Arial" w:cs="Arial" w:eastAsia="Arial" w:hAnsi="Arial"/>
          <w:sz w:val="16"/>
          <w:szCs w:val="16"/>
          <w:color w:val="auto"/>
        </w:rPr>
      </w:pPr>
    </w:p>
    <w:p>
      <w:pPr>
        <w:ind w:left="1560" w:hanging="256"/>
        <w:spacing w:after="0"/>
        <w:tabs>
          <w:tab w:leader="none" w:pos="15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w:t>
      </w:r>
    </w:p>
    <w:p>
      <w:pPr>
        <w:spacing w:after="0" w:line="194" w:lineRule="exact"/>
        <w:rPr>
          <w:rFonts w:ascii="Arial" w:cs="Arial" w:eastAsia="Arial" w:hAnsi="Arial"/>
          <w:sz w:val="16"/>
          <w:szCs w:val="16"/>
          <w:color w:val="auto"/>
        </w:rPr>
      </w:pPr>
    </w:p>
    <w:p>
      <w:pPr>
        <w:ind w:left="1640" w:hanging="336"/>
        <w:spacing w:after="0"/>
        <w:tabs>
          <w:tab w:leader="none" w:pos="1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Exercise Date</w:t>
      </w:r>
      <w:r>
        <w:rPr>
          <w:rFonts w:ascii="Arial" w:cs="Arial" w:eastAsia="Arial" w:hAnsi="Arial"/>
          <w:sz w:val="16"/>
          <w:szCs w:val="16"/>
          <w:color w:val="auto"/>
        </w:rPr>
        <w:t>” means the last Trading Day of each Offering Period.</w:t>
      </w:r>
    </w:p>
    <w:p>
      <w:pPr>
        <w:spacing w:after="0" w:line="180" w:lineRule="exact"/>
        <w:rPr>
          <w:rFonts w:ascii="Arial" w:cs="Arial" w:eastAsia="Arial" w:hAnsi="Arial"/>
          <w:sz w:val="16"/>
          <w:szCs w:val="16"/>
          <w:color w:val="auto"/>
        </w:rPr>
      </w:pPr>
    </w:p>
    <w:p>
      <w:pPr>
        <w:ind w:left="1600" w:hanging="296"/>
        <w:spacing w:after="0"/>
        <w:tabs>
          <w:tab w:leader="none" w:pos="16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Reserved.</w:t>
      </w:r>
    </w:p>
    <w:p>
      <w:pPr>
        <w:spacing w:after="0" w:line="180" w:lineRule="exact"/>
        <w:rPr>
          <w:rFonts w:ascii="Arial" w:cs="Arial" w:eastAsia="Arial" w:hAnsi="Arial"/>
          <w:sz w:val="16"/>
          <w:szCs w:val="16"/>
          <w:color w:val="auto"/>
        </w:rPr>
      </w:pPr>
    </w:p>
    <w:p>
      <w:pPr>
        <w:ind w:left="1600" w:hanging="296"/>
        <w:spacing w:after="0"/>
        <w:tabs>
          <w:tab w:leader="none" w:pos="16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Exercise Price</w:t>
      </w:r>
      <w:r>
        <w:rPr>
          <w:rFonts w:ascii="Arial" w:cs="Arial" w:eastAsia="Arial" w:hAnsi="Arial"/>
          <w:sz w:val="16"/>
          <w:szCs w:val="16"/>
          <w:color w:val="auto"/>
        </w:rPr>
        <w:t>” means the price per share of Common Stock offered in a given Offering Period determined as provided in Section 7(b).</w:t>
      </w:r>
    </w:p>
    <w:p>
      <w:pPr>
        <w:spacing w:after="0" w:line="194" w:lineRule="exact"/>
        <w:rPr>
          <w:rFonts w:ascii="Arial" w:cs="Arial" w:eastAsia="Arial" w:hAnsi="Arial"/>
          <w:sz w:val="16"/>
          <w:szCs w:val="16"/>
          <w:color w:val="auto"/>
        </w:rPr>
      </w:pPr>
    </w:p>
    <w:p>
      <w:pPr>
        <w:ind w:left="1600" w:hanging="296"/>
        <w:spacing w:after="0"/>
        <w:tabs>
          <w:tab w:leader="none" w:pos="16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 share of Common Stock, the Fair Market Value as determined under Section 7(c).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55" w:right="339" w:bottom="1440" w:gutter="0" w:footer="0" w:header="0"/>
        </w:sectPr>
      </w:pPr>
    </w:p>
    <w:bookmarkStart w:id="123" w:name="page124"/>
    <w:bookmarkEnd w:id="123"/>
    <w:p>
      <w:pPr>
        <w:ind w:left="1600" w:hanging="296"/>
        <w:spacing w:after="0"/>
        <w:tabs>
          <w:tab w:leader="none" w:pos="1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Offering Date</w:t>
      </w:r>
      <w:r>
        <w:rPr>
          <w:rFonts w:ascii="Arial" w:cs="Arial" w:eastAsia="Arial" w:hAnsi="Arial"/>
          <w:sz w:val="16"/>
          <w:szCs w:val="16"/>
          <w:color w:val="auto"/>
        </w:rPr>
        <w:t>” means July 1, 2013.</w:t>
      </w:r>
    </w:p>
    <w:p>
      <w:pPr>
        <w:spacing w:after="0" w:line="180" w:lineRule="exact"/>
        <w:rPr>
          <w:rFonts w:ascii="Arial" w:cs="Arial" w:eastAsia="Arial" w:hAnsi="Arial"/>
          <w:sz w:val="16"/>
          <w:szCs w:val="16"/>
          <w:color w:val="auto"/>
        </w:rPr>
      </w:pPr>
    </w:p>
    <w:p>
      <w:pPr>
        <w:ind w:left="1580" w:hanging="276"/>
        <w:spacing w:after="0"/>
        <w:tabs>
          <w:tab w:leader="none" w:pos="1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Insider Trading Policy</w:t>
      </w:r>
      <w:r>
        <w:rPr>
          <w:rFonts w:ascii="Arial" w:cs="Arial" w:eastAsia="Arial" w:hAnsi="Arial"/>
          <w:sz w:val="16"/>
          <w:szCs w:val="16"/>
          <w:color w:val="auto"/>
        </w:rPr>
        <w:t>” means Company’s Statement of Company Policy Regarding Insider Trading as in effect from time to time.</w:t>
      </w:r>
    </w:p>
    <w:p>
      <w:pPr>
        <w:spacing w:after="0" w:line="194" w:lineRule="exact"/>
        <w:rPr>
          <w:rFonts w:ascii="Arial" w:cs="Arial" w:eastAsia="Arial" w:hAnsi="Arial"/>
          <w:sz w:val="16"/>
          <w:szCs w:val="16"/>
          <w:color w:val="auto"/>
        </w:rPr>
      </w:pPr>
    </w:p>
    <w:p>
      <w:pPr>
        <w:ind w:left="1580" w:hanging="276"/>
        <w:spacing w:after="0"/>
        <w:tabs>
          <w:tab w:leader="none" w:pos="1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MNPI</w:t>
      </w:r>
      <w:r>
        <w:rPr>
          <w:rFonts w:ascii="Arial" w:cs="Arial" w:eastAsia="Arial" w:hAnsi="Arial"/>
          <w:sz w:val="16"/>
          <w:szCs w:val="16"/>
          <w:color w:val="auto"/>
        </w:rPr>
        <w:t>” means material non-public information (“MNPI”) relating to the Company.</w:t>
      </w:r>
    </w:p>
    <w:p>
      <w:pPr>
        <w:spacing w:after="0" w:line="180" w:lineRule="exact"/>
        <w:rPr>
          <w:rFonts w:ascii="Arial" w:cs="Arial" w:eastAsia="Arial" w:hAnsi="Arial"/>
          <w:sz w:val="16"/>
          <w:szCs w:val="16"/>
          <w:color w:val="auto"/>
        </w:rPr>
      </w:pPr>
    </w:p>
    <w:p>
      <w:pPr>
        <w:ind w:left="1560" w:hanging="256"/>
        <w:spacing w:after="0"/>
        <w:tabs>
          <w:tab w:leader="none" w:pos="15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Offering Date</w:t>
      </w:r>
      <w:r>
        <w:rPr>
          <w:rFonts w:ascii="Arial" w:cs="Arial" w:eastAsia="Arial" w:hAnsi="Arial"/>
          <w:sz w:val="16"/>
          <w:szCs w:val="16"/>
          <w:color w:val="auto"/>
        </w:rPr>
        <w:t>” means the first Trading Day of each Offering Period.</w:t>
      </w:r>
    </w:p>
    <w:p>
      <w:pPr>
        <w:spacing w:after="0" w:line="180" w:lineRule="exact"/>
        <w:rPr>
          <w:rFonts w:ascii="Arial" w:cs="Arial" w:eastAsia="Arial" w:hAnsi="Arial"/>
          <w:sz w:val="16"/>
          <w:szCs w:val="16"/>
          <w:color w:val="auto"/>
        </w:rPr>
      </w:pPr>
    </w:p>
    <w:p>
      <w:pPr>
        <w:jc w:val="both"/>
        <w:ind w:firstLine="1304"/>
        <w:spacing w:after="0" w:line="251" w:lineRule="auto"/>
        <w:tabs>
          <w:tab w:leader="none" w:pos="1593"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Offering Period</w:t>
      </w:r>
      <w:r>
        <w:rPr>
          <w:rFonts w:ascii="Arial" w:cs="Arial" w:eastAsia="Arial" w:hAnsi="Arial"/>
          <w:sz w:val="16"/>
          <w:szCs w:val="16"/>
          <w:color w:val="auto"/>
        </w:rPr>
        <w:t>” means, with respect to the Offering Period that begins on January 1, 2021, the period beginning on January 1, 2021 and ending on January 13, 2021. With respect to Offering Periods that begin on or after January 14, 2021, each fourteen (14) calendar day period that begins every second succeeding Thursday and ends fourteen (14) days later on the second succeeding Wednesday, beginning with the Thursday occurring on January 14, 2021. For example, the first Offering Period that begins after January 13, 2021, shall begin on Thursday, January 14, 2021 and end on Wednesday, January 27, 2021, the next Offering Period shall begin on Thursday, January 28, 2021 and end on Wednesday, February 10, 2021, and the next Offering Period shall begin on Thursday, February 11, 2021 and end on Wednesday, February 24, 2021, and subsequent Offering Periods shall continue as described in this Section 2(u). Each Offering Period shall be subject to adjustment as provided in Section 4(b).</w:t>
      </w:r>
    </w:p>
    <w:p>
      <w:pPr>
        <w:spacing w:after="0" w:line="165" w:lineRule="exact"/>
        <w:rPr>
          <w:rFonts w:ascii="Arial" w:cs="Arial" w:eastAsia="Arial" w:hAnsi="Arial"/>
          <w:sz w:val="16"/>
          <w:szCs w:val="16"/>
          <w:color w:val="auto"/>
        </w:rPr>
      </w:pPr>
    </w:p>
    <w:p>
      <w:pPr>
        <w:ind w:left="1600" w:hanging="296"/>
        <w:spacing w:after="0"/>
        <w:tabs>
          <w:tab w:leader="none" w:pos="1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Officer</w:t>
      </w:r>
      <w:r>
        <w:rPr>
          <w:rFonts w:ascii="Arial" w:cs="Arial" w:eastAsia="Arial" w:hAnsi="Arial"/>
          <w:sz w:val="14"/>
          <w:szCs w:val="14"/>
          <w:color w:val="auto"/>
        </w:rPr>
        <w:t>” means a person who is an officer of the Company within the meaning of Section 16 under the Exchange Act and the rules and regulations</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promulgated thereunder.</w:t>
      </w:r>
    </w:p>
    <w:p>
      <w:pPr>
        <w:spacing w:after="0" w:line="166" w:lineRule="exact"/>
        <w:rPr>
          <w:rFonts w:ascii="Arial" w:cs="Arial" w:eastAsia="Arial" w:hAnsi="Arial"/>
          <w:sz w:val="14"/>
          <w:szCs w:val="14"/>
          <w:color w:val="auto"/>
        </w:rPr>
      </w:pPr>
    </w:p>
    <w:p>
      <w:pPr>
        <w:ind w:left="1660" w:hanging="356"/>
        <w:spacing w:after="0"/>
        <w:tabs>
          <w:tab w:leader="none" w:pos="1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Participant</w:t>
      </w:r>
      <w:r>
        <w:rPr>
          <w:rFonts w:ascii="Arial" w:cs="Arial" w:eastAsia="Arial" w:hAnsi="Arial"/>
          <w:sz w:val="15"/>
          <w:szCs w:val="15"/>
          <w:color w:val="auto"/>
        </w:rPr>
        <w:t>” means an Employee who has elected to participate in the Plan by filing an enrollment agreement with the Company as provided in</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Section 5 hereof.</w:t>
      </w:r>
    </w:p>
    <w:p>
      <w:pPr>
        <w:spacing w:after="0" w:line="166" w:lineRule="exact"/>
        <w:rPr>
          <w:rFonts w:ascii="Arial" w:cs="Arial" w:eastAsia="Arial" w:hAnsi="Arial"/>
          <w:sz w:val="15"/>
          <w:szCs w:val="15"/>
          <w:color w:val="auto"/>
        </w:rPr>
      </w:pPr>
    </w:p>
    <w:p>
      <w:pPr>
        <w:ind w:left="1600" w:hanging="296"/>
        <w:spacing w:after="0"/>
        <w:tabs>
          <w:tab w:leader="none" w:pos="1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this MasTec, Inc. Amended and Restated Bargaining Units ESPP.</w:t>
      </w:r>
    </w:p>
    <w:p>
      <w:pPr>
        <w:spacing w:after="0" w:line="194" w:lineRule="exact"/>
        <w:rPr>
          <w:rFonts w:ascii="Arial" w:cs="Arial" w:eastAsia="Arial" w:hAnsi="Arial"/>
          <w:sz w:val="16"/>
          <w:szCs w:val="16"/>
          <w:color w:val="auto"/>
        </w:rPr>
      </w:pPr>
    </w:p>
    <w:p>
      <w:pPr>
        <w:jc w:val="both"/>
        <w:ind w:firstLine="1304"/>
        <w:spacing w:after="0" w:line="261" w:lineRule="auto"/>
        <w:tabs>
          <w:tab w:leader="none" w:pos="1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Plan Contributions</w:t>
      </w:r>
      <w:r>
        <w:rPr>
          <w:rFonts w:ascii="Arial" w:cs="Arial" w:eastAsia="Arial" w:hAnsi="Arial"/>
          <w:sz w:val="16"/>
          <w:szCs w:val="16"/>
          <w:color w:val="auto"/>
        </w:rPr>
        <w:t>” means, with respect to each Participant, the lump sum cash transfers, if any, made by the Participant to the Plan pursuant to Section 6 hereof, plus the after-tax payroll deductions, if any, withheld from the Compensation of the Participant and contributed to the Plan for the Participant as provided in Section 6 hereof, and any other amounts contributed to the Plan for the Participant in accordance with the terms of the Plan.</w:t>
      </w:r>
    </w:p>
    <w:p>
      <w:pPr>
        <w:spacing w:after="0" w:line="142" w:lineRule="exact"/>
        <w:rPr>
          <w:rFonts w:ascii="Arial" w:cs="Arial" w:eastAsia="Arial" w:hAnsi="Arial"/>
          <w:sz w:val="16"/>
          <w:szCs w:val="16"/>
          <w:color w:val="auto"/>
        </w:rPr>
      </w:pPr>
    </w:p>
    <w:p>
      <w:pPr>
        <w:jc w:val="both"/>
        <w:ind w:firstLine="1304"/>
        <w:spacing w:after="0" w:line="270" w:lineRule="auto"/>
        <w:tabs>
          <w:tab w:leader="none" w:pos="1624" w:val="left"/>
        </w:tabs>
        <w:numPr>
          <w:ilvl w:val="0"/>
          <w:numId w:val="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Payroll Deduction Period</w:t>
      </w:r>
      <w:r>
        <w:rPr>
          <w:rFonts w:ascii="Arial" w:cs="Arial" w:eastAsia="Arial" w:hAnsi="Arial"/>
          <w:sz w:val="15"/>
          <w:szCs w:val="15"/>
          <w:color w:val="auto"/>
        </w:rPr>
        <w:t>” means, with respect to the Offering Period that begins on January 1, 2021 and ends on January 13, 2021, the period beginning on January 1, 2021 and ending on January 8, 2021, and with respect to Offering Periods that begin on or after January 14, 2021, the twelve (12) calendar day period that begins every Monday that immediately precedes the first day of the Offering Period to which the Payroll Deduction Period applies, and ends on the Friday that immediately precedes the last day of the Offering Period to which the Payroll Deduction Period applies. For example, the Payroll Deduction Period that applies to the Offering Period that begins on January 14, 2021 shall begin on Monday, January 11, 2021 and end on Friday, January 22, 2021, and the Payroll Deduction Period that applies to the Offering Period that begins on January 28, 2021, shall begin on Monday, January 25, 2021 and end on Friday, February 5, 2021, and subsequent Payroll Deduction Periods shall continue as described in this Section 2(z). Each Payroll Deduction Period shall be subject to adjustment as provided in Section 4(b).</w:t>
      </w:r>
    </w:p>
    <w:p>
      <w:pPr>
        <w:spacing w:after="0" w:line="140" w:lineRule="exact"/>
        <w:rPr>
          <w:sz w:val="20"/>
          <w:szCs w:val="20"/>
          <w:color w:val="auto"/>
        </w:rPr>
      </w:pPr>
    </w:p>
    <w:p>
      <w:pPr>
        <w:ind w:left="1660" w:hanging="356"/>
        <w:spacing w:after="0"/>
        <w:tabs>
          <w:tab w:leader="none" w:pos="1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Pre-Clearance Insider</w:t>
      </w:r>
      <w:r>
        <w:rPr>
          <w:rFonts w:ascii="Arial" w:cs="Arial" w:eastAsia="Arial" w:hAnsi="Arial"/>
          <w:sz w:val="16"/>
          <w:szCs w:val="16"/>
          <w:color w:val="auto"/>
        </w:rPr>
        <w:t>” shall have the meaning set forth in the Insider Trading Policy.</w:t>
      </w:r>
    </w:p>
    <w:p>
      <w:pPr>
        <w:spacing w:after="0" w:line="194" w:lineRule="exact"/>
        <w:rPr>
          <w:rFonts w:ascii="Arial" w:cs="Arial" w:eastAsia="Arial" w:hAnsi="Arial"/>
          <w:sz w:val="16"/>
          <w:szCs w:val="16"/>
          <w:color w:val="auto"/>
        </w:rPr>
      </w:pPr>
    </w:p>
    <w:p>
      <w:pPr>
        <w:ind w:right="20" w:firstLine="1304"/>
        <w:spacing w:after="0" w:line="275" w:lineRule="auto"/>
        <w:tabs>
          <w:tab w:leader="none" w:pos="1687"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corporation, domestic or foreign, of which the Company owns, directly or indirectly, 50% or more of the total combined voting power of all classes of stock, and that otherwise qualifies as a “subsidiary corporation” within the meaning of Section 424(f) of the Code.</w:t>
      </w:r>
    </w:p>
    <w:p>
      <w:pPr>
        <w:spacing w:after="0" w:line="131" w:lineRule="exact"/>
        <w:rPr>
          <w:rFonts w:ascii="Arial" w:cs="Arial" w:eastAsia="Arial" w:hAnsi="Arial"/>
          <w:sz w:val="16"/>
          <w:szCs w:val="16"/>
          <w:color w:val="auto"/>
        </w:rPr>
      </w:pPr>
    </w:p>
    <w:p>
      <w:pPr>
        <w:ind w:left="1660" w:hanging="356"/>
        <w:spacing w:after="0"/>
        <w:tabs>
          <w:tab w:leader="none" w:pos="1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Trading Day</w:t>
      </w:r>
      <w:r>
        <w:rPr>
          <w:rFonts w:ascii="Arial" w:cs="Arial" w:eastAsia="Arial" w:hAnsi="Arial"/>
          <w:sz w:val="16"/>
          <w:szCs w:val="16"/>
          <w:color w:val="auto"/>
        </w:rPr>
        <w:t>” means a day on which the national stock exchanges and the Nasdaq system are open for trading.</w:t>
      </w:r>
    </w:p>
    <w:p>
      <w:pPr>
        <w:spacing w:after="0" w:line="180" w:lineRule="exact"/>
        <w:rPr>
          <w:rFonts w:ascii="Arial" w:cs="Arial" w:eastAsia="Arial" w:hAnsi="Arial"/>
          <w:sz w:val="16"/>
          <w:szCs w:val="16"/>
          <w:color w:val="auto"/>
        </w:rPr>
      </w:pPr>
    </w:p>
    <w:p>
      <w:pPr>
        <w:ind w:left="1680" w:hanging="376"/>
        <w:spacing w:after="0"/>
        <w:tabs>
          <w:tab w:leader="none" w:pos="168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“Trading Window</w:t>
      </w:r>
      <w:r>
        <w:rPr>
          <w:rFonts w:ascii="Arial" w:cs="Arial" w:eastAsia="Arial" w:hAnsi="Arial"/>
          <w:sz w:val="16"/>
          <w:szCs w:val="16"/>
          <w:color w:val="auto"/>
        </w:rPr>
        <w:t>” shall have the meaning set forth in the Insider Trading Policy.</w:t>
      </w:r>
    </w:p>
    <w:p>
      <w:pPr>
        <w:spacing w:after="0" w:line="194"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firstLine="1304"/>
        <w:spacing w:after="0" w:line="275" w:lineRule="auto"/>
        <w:tabs>
          <w:tab w:leader="none" w:pos="1935"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First Offering Date</w:t>
      </w:r>
      <w:r>
        <w:rPr>
          <w:rFonts w:ascii="Arial" w:cs="Arial" w:eastAsia="Arial" w:hAnsi="Arial"/>
          <w:sz w:val="16"/>
          <w:szCs w:val="16"/>
          <w:color w:val="auto"/>
        </w:rPr>
        <w:t>. Any individual who is an Employee as of the First Offering Date and has been employed by the Company or any</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(or any predecessor) for 30 days preceding the First Offering Date shall be eligible to become a Participant as of the First Offering Date.</w:t>
      </w:r>
    </w:p>
    <w:p>
      <w:pPr>
        <w:spacing w:after="0" w:line="131" w:lineRule="exact"/>
        <w:rPr>
          <w:rFonts w:ascii="Arial" w:cs="Arial" w:eastAsia="Arial" w:hAnsi="Arial"/>
          <w:sz w:val="16"/>
          <w:szCs w:val="16"/>
          <w:color w:val="auto"/>
        </w:rPr>
      </w:pPr>
    </w:p>
    <w:p>
      <w:pPr>
        <w:jc w:val="both"/>
        <w:ind w:firstLine="1304"/>
        <w:spacing w:after="0" w:line="253" w:lineRule="auto"/>
        <w:tabs>
          <w:tab w:leader="none" w:pos="1944"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Subsequent Offering Dates</w:t>
      </w:r>
      <w:r>
        <w:rPr>
          <w:rFonts w:ascii="Arial" w:cs="Arial" w:eastAsia="Arial" w:hAnsi="Arial"/>
          <w:sz w:val="16"/>
          <w:szCs w:val="16"/>
          <w:color w:val="auto"/>
        </w:rPr>
        <w:t>. Any individual who is an Employee as of the first Offering Date to occur in a given calendar month (the “</w:t>
      </w:r>
      <w:r>
        <w:rPr>
          <w:rFonts w:ascii="Arial" w:cs="Arial" w:eastAsia="Arial" w:hAnsi="Arial"/>
          <w:sz w:val="16"/>
          <w:szCs w:val="16"/>
          <w:i w:val="1"/>
          <w:iCs w:val="1"/>
          <w:color w:val="auto"/>
        </w:rPr>
        <w:t>First Eligible Offering Date</w:t>
      </w:r>
      <w:r>
        <w:rPr>
          <w:rFonts w:ascii="Arial" w:cs="Arial" w:eastAsia="Arial" w:hAnsi="Arial"/>
          <w:sz w:val="16"/>
          <w:szCs w:val="16"/>
          <w:color w:val="auto"/>
        </w:rPr>
        <w:t>”) and has been employed by the Company or any Subsidiary (or any predecessor) for thirty (30) days preceding the first day of the calendar month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First Eligible Offering Date occurs, shall be eligible to become a Participant as of the First Eligible Offering Date. For example, subject to the limitations set forth in Section 5(c), an individual that first became an Employee on January 22, 2021 would be eligible to become a Participant on the Offering Date occurring on March 11, 2021, provided that the individual remained an Employee on March 11, 2021.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59" w:right="339" w:bottom="1440" w:gutter="0" w:footer="0" w:header="0"/>
        </w:sectPr>
      </w:pPr>
    </w:p>
    <w:bookmarkStart w:id="124" w:name="page125"/>
    <w:bookmarkEnd w:id="124"/>
    <w:p>
      <w:pPr>
        <w:ind w:left="1300" w:hanging="644"/>
        <w:spacing w:after="0"/>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Offering Periods</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firstLine="1304"/>
        <w:spacing w:after="0" w:line="275" w:lineRule="auto"/>
        <w:tabs>
          <w:tab w:leader="none" w:pos="1935"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In General</w:t>
      </w:r>
      <w:r>
        <w:rPr>
          <w:rFonts w:ascii="Arial" w:cs="Arial" w:eastAsia="Arial" w:hAnsi="Arial"/>
          <w:sz w:val="16"/>
          <w:szCs w:val="16"/>
          <w:color w:val="auto"/>
        </w:rPr>
        <w:t>. The Plan shall generally be implemented by a series of Offering Periods the first of which shall begin on January 1, 2021. The</w:t>
      </w:r>
      <w:r>
        <w:rPr>
          <w:rFonts w:ascii="Arial" w:cs="Arial" w:eastAsia="Arial" w:hAnsi="Arial"/>
          <w:sz w:val="16"/>
          <w:szCs w:val="16"/>
          <w:i w:val="1"/>
          <w:iCs w:val="1"/>
          <w:color w:val="auto"/>
        </w:rPr>
        <w:t xml:space="preserve"> </w:t>
      </w:r>
      <w:r>
        <w:rPr>
          <w:rFonts w:ascii="Arial" w:cs="Arial" w:eastAsia="Arial" w:hAnsi="Arial"/>
          <w:sz w:val="16"/>
          <w:szCs w:val="16"/>
          <w:color w:val="auto"/>
        </w:rPr>
        <w:t>duration of any Offering Period shall be subject to adjustment as provided in Section 4(b).</w:t>
      </w:r>
    </w:p>
    <w:p>
      <w:pPr>
        <w:spacing w:after="0" w:line="145" w:lineRule="exact"/>
        <w:rPr>
          <w:rFonts w:ascii="Arial" w:cs="Arial" w:eastAsia="Arial" w:hAnsi="Arial"/>
          <w:sz w:val="16"/>
          <w:szCs w:val="16"/>
          <w:color w:val="auto"/>
        </w:rPr>
      </w:pPr>
    </w:p>
    <w:p>
      <w:pPr>
        <w:ind w:left="1960" w:hanging="656"/>
        <w:spacing w:after="0"/>
        <w:tabs>
          <w:tab w:leader="none" w:pos="196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Changes by Committee</w:t>
      </w:r>
      <w:r>
        <w:rPr>
          <w:rFonts w:ascii="Arial" w:cs="Arial" w:eastAsia="Arial" w:hAnsi="Arial"/>
          <w:sz w:val="16"/>
          <w:szCs w:val="16"/>
          <w:color w:val="auto"/>
        </w:rPr>
        <w:t>.</w:t>
      </w:r>
    </w:p>
    <w:p>
      <w:pPr>
        <w:spacing w:after="0" w:line="181" w:lineRule="exact"/>
        <w:rPr>
          <w:sz w:val="20"/>
          <w:szCs w:val="20"/>
          <w:color w:val="auto"/>
        </w:rPr>
      </w:pPr>
    </w:p>
    <w:p>
      <w:pPr>
        <w:jc w:val="both"/>
        <w:ind w:firstLine="1858"/>
        <w:spacing w:after="0" w:line="261" w:lineRule="auto"/>
        <w:rPr>
          <w:sz w:val="20"/>
          <w:szCs w:val="20"/>
          <w:color w:val="auto"/>
        </w:rPr>
      </w:pPr>
      <w:r>
        <w:rPr>
          <w:rFonts w:ascii="Arial" w:cs="Arial" w:eastAsia="Arial" w:hAnsi="Arial"/>
          <w:sz w:val="16"/>
          <w:szCs w:val="16"/>
          <w:color w:val="auto"/>
        </w:rPr>
        <w:t>i.The Committee shall have the power to make other changes to the duration and/or the frequency of Offering Periods and the corresponding Payroll Deduction Periods with respect to future offerings if such change is announced at least one (1) calendar day prior to the scheduled beginning of the first Offering Period to be affected.</w:t>
      </w:r>
    </w:p>
    <w:p>
      <w:pPr>
        <w:spacing w:after="0" w:line="142" w:lineRule="exact"/>
        <w:rPr>
          <w:sz w:val="20"/>
          <w:szCs w:val="20"/>
          <w:color w:val="auto"/>
        </w:rPr>
      </w:pPr>
    </w:p>
    <w:p>
      <w:pPr>
        <w:jc w:val="both"/>
        <w:ind w:firstLine="1813"/>
        <w:spacing w:after="0" w:line="286" w:lineRule="auto"/>
        <w:rPr>
          <w:sz w:val="20"/>
          <w:szCs w:val="20"/>
          <w:color w:val="auto"/>
        </w:rPr>
      </w:pPr>
      <w:r>
        <w:rPr>
          <w:rFonts w:ascii="Arial" w:cs="Arial" w:eastAsia="Arial" w:hAnsi="Arial"/>
          <w:sz w:val="15"/>
          <w:szCs w:val="15"/>
          <w:color w:val="auto"/>
        </w:rPr>
        <w:t>ii.The Committee may shorten the duration of any Offering Period and the corresponding Payroll Deduction Period then in progress by requiring that the Offering Period end immediately following the close of any Trading Day within that Offering Period (after the purchase of Common Stock on that Trading Day), if such change is announced at least one (1) calendar day prior to the Trading Day on which the Committee proposes that the Offering Period terminate.</w:t>
      </w:r>
    </w:p>
    <w:p>
      <w:pPr>
        <w:spacing w:after="0" w:line="139" w:lineRule="exact"/>
        <w:rPr>
          <w:sz w:val="20"/>
          <w:szCs w:val="20"/>
          <w:color w:val="auto"/>
        </w:rPr>
      </w:pPr>
    </w:p>
    <w:p>
      <w:pPr>
        <w:jc w:val="both"/>
        <w:ind w:firstLine="1768"/>
        <w:spacing w:after="0" w:line="274" w:lineRule="auto"/>
        <w:rPr>
          <w:sz w:val="20"/>
          <w:szCs w:val="20"/>
          <w:color w:val="auto"/>
        </w:rPr>
      </w:pPr>
      <w:r>
        <w:rPr>
          <w:rFonts w:ascii="Arial" w:cs="Arial" w:eastAsia="Arial" w:hAnsi="Arial"/>
          <w:sz w:val="15"/>
          <w:szCs w:val="15"/>
          <w:color w:val="auto"/>
        </w:rPr>
        <w:t>iii.If the Company determines that the accounting treatment of purchases under the Plan will change or has changed in a manner that is detrimental to the Company’s best interests, then the Committee may, in its discretion, take any or all of the following actions: (A) terminate any Offering Period and corresponding Payroll Deduction Period that is then ongoing immediately following the close of any Trading Day within that Offering Period (after the purchase of Common Stock on that Trading Day); (B) amend the Plan so that each offering under the Plan will reduce the effect of such detrimental accounting treatment; or (C) terminate any ongoing Offering Period and corresponding Payroll Deduction Period at any time and refund any contributions to the applicable Participants.</w:t>
      </w:r>
    </w:p>
    <w:p>
      <w:pPr>
        <w:spacing w:after="0" w:line="136"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Participation</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jc w:val="both"/>
        <w:ind w:firstLine="1304"/>
        <w:spacing w:after="0" w:line="239" w:lineRule="auto"/>
        <w:tabs>
          <w:tab w:leader="none" w:pos="1935"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Entry Dates</w:t>
      </w:r>
      <w:r>
        <w:rPr>
          <w:rFonts w:ascii="Arial" w:cs="Arial" w:eastAsia="Arial" w:hAnsi="Arial"/>
          <w:sz w:val="16"/>
          <w:szCs w:val="16"/>
          <w:color w:val="auto"/>
        </w:rPr>
        <w:t>. Employees meeting the eligibility requirements of Section 3(b) hereof after the First Offering Date may elect to participate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commencing on any Entry Date by completing an enrollment agreement on the form provided by the Company and filing the enrollment agreement with the Company. For the Offering Period that begins on January 1, 2021, the deadline for filing the enrollment agreement with the Company shall be December 31, 2020. For all Offering Periods that begin on or after January 14, 2021, the enrollment agreement shall be effective as of the first Offering Period that begins after the date the Company receives the enrollment agreement, provided that the Company received the enrollment agreement on or before the sixth (6</w:t>
      </w:r>
      <w:r>
        <w:rPr>
          <w:rFonts w:ascii="Arial" w:cs="Arial" w:eastAsia="Arial" w:hAnsi="Arial"/>
          <w:sz w:val="21"/>
          <w:szCs w:val="21"/>
          <w:color w:val="auto"/>
          <w:vertAlign w:val="superscript"/>
        </w:rPr>
        <w:t>rd</w:t>
      </w:r>
      <w:r>
        <w:rPr>
          <w:rFonts w:ascii="Arial" w:cs="Arial" w:eastAsia="Arial" w:hAnsi="Arial"/>
          <w:sz w:val="16"/>
          <w:szCs w:val="16"/>
          <w:color w:val="auto"/>
        </w:rPr>
        <w:t>) calendar day (a Friday) preceding the Entry Date of the Offering Period to which such enrollment agreement relates, unless a different time for filing the enrollment agreement is set by the Company for all eligible Employees with respect to a given Offering Period. For example, the deadline for completing and filing the enrollment form for the Offering Period beginning February 11, 2021 would be February 5, 2021.</w:t>
      </w:r>
    </w:p>
    <w:p>
      <w:pPr>
        <w:spacing w:after="0" w:line="177" w:lineRule="exact"/>
        <w:rPr>
          <w:rFonts w:ascii="Arial" w:cs="Arial" w:eastAsia="Arial" w:hAnsi="Arial"/>
          <w:sz w:val="16"/>
          <w:szCs w:val="16"/>
          <w:color w:val="auto"/>
        </w:rPr>
      </w:pPr>
    </w:p>
    <w:p>
      <w:pPr>
        <w:jc w:val="both"/>
        <w:ind w:firstLine="1304"/>
        <w:spacing w:after="0" w:line="261" w:lineRule="auto"/>
        <w:tabs>
          <w:tab w:leader="none" w:pos="1944"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Special Rule for First Offering Date</w:t>
      </w:r>
      <w:r>
        <w:rPr>
          <w:rFonts w:ascii="Arial" w:cs="Arial" w:eastAsia="Arial" w:hAnsi="Arial"/>
          <w:sz w:val="16"/>
          <w:szCs w:val="16"/>
          <w:color w:val="auto"/>
        </w:rPr>
        <w:t>. All Employees who are eligible as of the First Offering Date may elect to participate in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as of the First Offering Date by completing an enrollment agreement on the form provided by the Company and filing the enrollment agreement with the Company on or prior the deadline prescribed by the Company for initial enrollment.</w:t>
      </w:r>
    </w:p>
    <w:p>
      <w:pPr>
        <w:spacing w:after="0" w:line="142" w:lineRule="exact"/>
        <w:rPr>
          <w:rFonts w:ascii="Arial" w:cs="Arial" w:eastAsia="Arial" w:hAnsi="Arial"/>
          <w:sz w:val="16"/>
          <w:szCs w:val="16"/>
          <w:color w:val="auto"/>
        </w:rPr>
      </w:pPr>
    </w:p>
    <w:p>
      <w:pPr>
        <w:jc w:val="both"/>
        <w:ind w:firstLine="1304"/>
        <w:spacing w:after="0" w:line="278" w:lineRule="auto"/>
        <w:tabs>
          <w:tab w:leader="none" w:pos="1935" w:val="left"/>
        </w:tabs>
        <w:numPr>
          <w:ilvl w:val="1"/>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Certain Limitations on Participation. </w:t>
      </w:r>
      <w:r>
        <w:rPr>
          <w:rFonts w:ascii="Arial" w:cs="Arial" w:eastAsia="Arial" w:hAnsi="Arial"/>
          <w:sz w:val="15"/>
          <w:szCs w:val="15"/>
          <w:color w:val="auto"/>
        </w:rPr>
        <w:t>Notwithstanding anything to the contrary set forth in this Plan, no Employee that is otherwise eligible to</w:t>
      </w:r>
      <w:r>
        <w:rPr>
          <w:rFonts w:ascii="Arial" w:cs="Arial" w:eastAsia="Arial" w:hAnsi="Arial"/>
          <w:sz w:val="15"/>
          <w:szCs w:val="15"/>
          <w:i w:val="1"/>
          <w:iCs w:val="1"/>
          <w:color w:val="auto"/>
        </w:rPr>
        <w:t xml:space="preserve"> </w:t>
      </w:r>
      <w:r>
        <w:rPr>
          <w:rFonts w:ascii="Arial" w:cs="Arial" w:eastAsia="Arial" w:hAnsi="Arial"/>
          <w:sz w:val="15"/>
          <w:szCs w:val="15"/>
          <w:color w:val="auto"/>
        </w:rPr>
        <w:t>elect to become a Participant may do so if such Employee has knowledge of any MNPI at the time such Employee files the enrollment agreement with the Company; provided, further, that an Employee who is otherwise eligible to elect to become a Participant and who is a Pre-Clearance Insider, may do so only during a Trading Window and only if such Employee has pre-cleared such election with the Company’s General Counsel in accordance with the Insider Trading Policy.</w:t>
      </w:r>
    </w:p>
    <w:p>
      <w:pPr>
        <w:spacing w:after="0" w:line="132" w:lineRule="exact"/>
        <w:rPr>
          <w:rFonts w:ascii="Arial" w:cs="Arial" w:eastAsia="Arial" w:hAnsi="Arial"/>
          <w:sz w:val="15"/>
          <w:szCs w:val="15"/>
          <w:color w:val="auto"/>
        </w:rPr>
      </w:pPr>
    </w:p>
    <w:p>
      <w:pPr>
        <w:ind w:left="1300" w:hanging="644"/>
        <w:spacing w:after="0"/>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Plan Contributions</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1304"/>
        <w:spacing w:after="0" w:line="253" w:lineRule="auto"/>
        <w:tabs>
          <w:tab w:leader="none" w:pos="1935"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Contribution by Payroll Deduction or Direct Payment</w:t>
      </w:r>
      <w:r>
        <w:rPr>
          <w:rFonts w:ascii="Arial" w:cs="Arial" w:eastAsia="Arial" w:hAnsi="Arial"/>
          <w:sz w:val="16"/>
          <w:szCs w:val="16"/>
          <w:color w:val="auto"/>
        </w:rPr>
        <w:t>. Except as otherwise authorized by the Committee, all contributions to the Plan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only by payroll deductions or by direct after-tax contributions to the Plan. The direct after-tax contributions to the Plan shall be made in accordance with Section 6(g) and at such other times and subject to such terms and conditions as the Committee may in its discretion determine. All direct after-tax contributions to the Plan shall be made in a manner consistent with the provisions of the Plan and the provisions of Section 423 of the Code or any successor thereto, and shall be treated in the same manner as payroll deductions contributed to the Plan as provided herein.</w:t>
      </w:r>
    </w:p>
    <w:p>
      <w:pPr>
        <w:spacing w:after="0" w:line="150" w:lineRule="exact"/>
        <w:rPr>
          <w:rFonts w:ascii="Arial" w:cs="Arial" w:eastAsia="Arial" w:hAnsi="Arial"/>
          <w:sz w:val="16"/>
          <w:szCs w:val="16"/>
          <w:color w:val="auto"/>
        </w:rPr>
      </w:pPr>
    </w:p>
    <w:p>
      <w:pPr>
        <w:jc w:val="both"/>
        <w:ind w:firstLine="1304"/>
        <w:spacing w:after="0" w:line="298" w:lineRule="auto"/>
        <w:tabs>
          <w:tab w:leader="none" w:pos="1944" w:val="left"/>
        </w:tabs>
        <w:numPr>
          <w:ilvl w:val="1"/>
          <w:numId w:val="69"/>
        </w:numPr>
        <w:rPr>
          <w:rFonts w:ascii="Arial" w:cs="Arial" w:eastAsia="Arial" w:hAnsi="Arial"/>
          <w:sz w:val="14"/>
          <w:szCs w:val="14"/>
          <w:color w:val="auto"/>
        </w:rPr>
      </w:pPr>
      <w:r>
        <w:rPr>
          <w:rFonts w:ascii="Arial" w:cs="Arial" w:eastAsia="Arial" w:hAnsi="Arial"/>
          <w:sz w:val="14"/>
          <w:szCs w:val="14"/>
          <w:i w:val="1"/>
          <w:iCs w:val="1"/>
          <w:color w:val="auto"/>
        </w:rPr>
        <w:t>Payroll Deduction Election on Enrollment Agreement</w:t>
      </w:r>
      <w:r>
        <w:rPr>
          <w:rFonts w:ascii="Arial" w:cs="Arial" w:eastAsia="Arial" w:hAnsi="Arial"/>
          <w:sz w:val="14"/>
          <w:szCs w:val="14"/>
          <w:color w:val="auto"/>
        </w:rPr>
        <w:t>. At the time a Participant files the enrollment agreement with respect to an Offering</w:t>
      </w:r>
      <w:r>
        <w:rPr>
          <w:rFonts w:ascii="Arial" w:cs="Arial" w:eastAsia="Arial" w:hAnsi="Arial"/>
          <w:sz w:val="14"/>
          <w:szCs w:val="14"/>
          <w:i w:val="1"/>
          <w:iCs w:val="1"/>
          <w:color w:val="auto"/>
        </w:rPr>
        <w:t xml:space="preserve"> </w:t>
      </w:r>
      <w:r>
        <w:rPr>
          <w:rFonts w:ascii="Arial" w:cs="Arial" w:eastAsia="Arial" w:hAnsi="Arial"/>
          <w:sz w:val="14"/>
          <w:szCs w:val="14"/>
          <w:color w:val="auto"/>
        </w:rPr>
        <w:t>Period, the Participant may authorize payroll deductions to be made on each payroll date during the Payroll Deduction Period with respect to a given Offering Period that he or she is a Participant in an amount (i) not less than 1% and not more than 15% of the Participant's Compensation on each payroll date during the Payroll Deduction Period, or (ii) denominated in dollars of not less than $5 and not more than $500 of the Participant's Compensation on each payroll date during the Payroll Deduction Period. The amount of payroll deductions must be a whole percentage (e.g., 1%, 2%, 3%, etc.), or a whole dollar amount, as applicable, of the Participant’s Compensation.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59" w:right="339" w:bottom="1440" w:gutter="0" w:footer="0" w:header="0"/>
        </w:sectPr>
      </w:pPr>
    </w:p>
    <w:bookmarkStart w:id="125" w:name="page126"/>
    <w:bookmarkEnd w:id="125"/>
    <w:p>
      <w:pPr>
        <w:jc w:val="both"/>
        <w:ind w:firstLine="1304"/>
        <w:spacing w:after="0" w:line="286" w:lineRule="auto"/>
        <w:tabs>
          <w:tab w:leader="none" w:pos="1935" w:val="left"/>
        </w:tabs>
        <w:numPr>
          <w:ilvl w:val="1"/>
          <w:numId w:val="70"/>
        </w:numPr>
        <w:rPr>
          <w:rFonts w:ascii="Arial" w:cs="Arial" w:eastAsia="Arial" w:hAnsi="Arial"/>
          <w:sz w:val="15"/>
          <w:szCs w:val="15"/>
          <w:color w:val="auto"/>
        </w:rPr>
      </w:pPr>
      <w:r>
        <w:rPr>
          <w:rFonts w:ascii="Arial" w:cs="Arial" w:eastAsia="Arial" w:hAnsi="Arial"/>
          <w:sz w:val="15"/>
          <w:szCs w:val="15"/>
          <w:i w:val="1"/>
          <w:iCs w:val="1"/>
          <w:color w:val="auto"/>
        </w:rPr>
        <w:t>Commencement of Payroll Deductions</w:t>
      </w:r>
      <w:r>
        <w:rPr>
          <w:rFonts w:ascii="Arial" w:cs="Arial" w:eastAsia="Arial" w:hAnsi="Arial"/>
          <w:sz w:val="15"/>
          <w:szCs w:val="15"/>
          <w:color w:val="auto"/>
        </w:rPr>
        <w:t>. Except as otherwise determined by the Committee under rules applicable to all Participants, payroll</w:t>
      </w:r>
      <w:r>
        <w:rPr>
          <w:rFonts w:ascii="Arial" w:cs="Arial" w:eastAsia="Arial" w:hAnsi="Arial"/>
          <w:sz w:val="15"/>
          <w:szCs w:val="15"/>
          <w:i w:val="1"/>
          <w:iCs w:val="1"/>
          <w:color w:val="auto"/>
        </w:rPr>
        <w:t xml:space="preserve"> </w:t>
      </w:r>
      <w:r>
        <w:rPr>
          <w:rFonts w:ascii="Arial" w:cs="Arial" w:eastAsia="Arial" w:hAnsi="Arial"/>
          <w:sz w:val="15"/>
          <w:szCs w:val="15"/>
          <w:color w:val="auto"/>
        </w:rPr>
        <w:t>deductions for Participants enrolling in the Plan shall commence with the earliest administratively practicable payroll date that occurs within the Payroll Deduction Period for the applicable Offering Period with respect to which the Participant files an enrollment agreement in accordance with Section 5.</w:t>
      </w:r>
    </w:p>
    <w:p>
      <w:pPr>
        <w:spacing w:after="0" w:line="125" w:lineRule="exact"/>
        <w:rPr>
          <w:rFonts w:ascii="Arial" w:cs="Arial" w:eastAsia="Arial" w:hAnsi="Arial"/>
          <w:sz w:val="15"/>
          <w:szCs w:val="15"/>
          <w:color w:val="auto"/>
        </w:rPr>
      </w:pPr>
    </w:p>
    <w:p>
      <w:pPr>
        <w:jc w:val="both"/>
        <w:ind w:firstLine="1304"/>
        <w:spacing w:after="0" w:line="304" w:lineRule="auto"/>
        <w:tabs>
          <w:tab w:leader="none" w:pos="1944" w:val="left"/>
        </w:tabs>
        <w:numPr>
          <w:ilvl w:val="1"/>
          <w:numId w:val="70"/>
        </w:numPr>
        <w:rPr>
          <w:rFonts w:ascii="Arial" w:cs="Arial" w:eastAsia="Arial" w:hAnsi="Arial"/>
          <w:sz w:val="14"/>
          <w:szCs w:val="14"/>
          <w:color w:val="auto"/>
        </w:rPr>
      </w:pPr>
      <w:r>
        <w:rPr>
          <w:rFonts w:ascii="Arial" w:cs="Arial" w:eastAsia="Arial" w:hAnsi="Arial"/>
          <w:sz w:val="14"/>
          <w:szCs w:val="14"/>
          <w:i w:val="1"/>
          <w:iCs w:val="1"/>
          <w:color w:val="auto"/>
        </w:rPr>
        <w:t>Automatic Continuation of Payroll Deductions</w:t>
      </w:r>
      <w:r>
        <w:rPr>
          <w:rFonts w:ascii="Arial" w:cs="Arial" w:eastAsia="Arial" w:hAnsi="Arial"/>
          <w:sz w:val="14"/>
          <w:szCs w:val="14"/>
          <w:color w:val="auto"/>
        </w:rPr>
        <w:t>. Once a Participant enrolls in an Offering Period, or if the Participant elects changes in</w:t>
      </w:r>
      <w:r>
        <w:rPr>
          <w:rFonts w:ascii="Arial" w:cs="Arial" w:eastAsia="Arial" w:hAnsi="Arial"/>
          <w:sz w:val="14"/>
          <w:szCs w:val="14"/>
          <w:i w:val="1"/>
          <w:iCs w:val="1"/>
          <w:color w:val="auto"/>
        </w:rPr>
        <w:t xml:space="preserve"> </w:t>
      </w:r>
      <w:r>
        <w:rPr>
          <w:rFonts w:ascii="Arial" w:cs="Arial" w:eastAsia="Arial" w:hAnsi="Arial"/>
          <w:sz w:val="14"/>
          <w:szCs w:val="14"/>
          <w:color w:val="auto"/>
        </w:rPr>
        <w:t>accordance with Sections 6(e) or 6(f), such Participant shall be deemed (i) to have elected to participate in the immediately succeeding Offering Periods (and, for purposes of such succeeding Offering Periods the Participant’s “Entry Date” shall be deemed to be the first day of such Offering Period) and (ii) to have authorized the same payroll deduction for the immediately succeeding Offering Periods as was in effect for the Participant immediately prior to the commencement of the succeeding Offering Periods.</w:t>
      </w:r>
    </w:p>
    <w:p>
      <w:pPr>
        <w:spacing w:after="0" w:line="129" w:lineRule="exact"/>
        <w:rPr>
          <w:rFonts w:ascii="Arial" w:cs="Arial" w:eastAsia="Arial" w:hAnsi="Arial"/>
          <w:sz w:val="14"/>
          <w:szCs w:val="14"/>
          <w:color w:val="auto"/>
        </w:rPr>
      </w:pPr>
    </w:p>
    <w:p>
      <w:pPr>
        <w:jc w:val="both"/>
        <w:ind w:firstLine="1304"/>
        <w:spacing w:after="0" w:line="280" w:lineRule="auto"/>
        <w:tabs>
          <w:tab w:leader="none" w:pos="1935" w:val="left"/>
        </w:tabs>
        <w:numPr>
          <w:ilvl w:val="1"/>
          <w:numId w:val="70"/>
        </w:numPr>
        <w:rPr>
          <w:rFonts w:ascii="Arial" w:cs="Arial" w:eastAsia="Arial" w:hAnsi="Arial"/>
          <w:sz w:val="14"/>
          <w:szCs w:val="14"/>
          <w:color w:val="auto"/>
        </w:rPr>
      </w:pPr>
      <w:r>
        <w:rPr>
          <w:rFonts w:ascii="Arial" w:cs="Arial" w:eastAsia="Arial" w:hAnsi="Arial"/>
          <w:sz w:val="14"/>
          <w:szCs w:val="14"/>
          <w:i w:val="1"/>
          <w:iCs w:val="1"/>
          <w:color w:val="auto"/>
        </w:rPr>
        <w:t>Change of Payroll Deduction Election Prior to Payroll Deduction Period</w:t>
      </w:r>
      <w:r>
        <w:rPr>
          <w:rFonts w:ascii="Arial" w:cs="Arial" w:eastAsia="Arial" w:hAnsi="Arial"/>
          <w:sz w:val="14"/>
          <w:szCs w:val="14"/>
          <w:color w:val="auto"/>
        </w:rPr>
        <w:t>. A Participant may decrease or increase the rate or amount of his or</w:t>
      </w:r>
      <w:r>
        <w:rPr>
          <w:rFonts w:ascii="Arial" w:cs="Arial" w:eastAsia="Arial" w:hAnsi="Arial"/>
          <w:sz w:val="14"/>
          <w:szCs w:val="14"/>
          <w:i w:val="1"/>
          <w:iCs w:val="1"/>
          <w:color w:val="auto"/>
        </w:rPr>
        <w:t xml:space="preserve"> </w:t>
      </w:r>
      <w:r>
        <w:rPr>
          <w:rFonts w:ascii="Arial" w:cs="Arial" w:eastAsia="Arial" w:hAnsi="Arial"/>
          <w:sz w:val="14"/>
          <w:szCs w:val="14"/>
          <w:color w:val="auto"/>
        </w:rPr>
        <w:t>her payroll deductions applicable to a future Payroll Deduction Period with respect to a given Offering Period (within the limitations of Section 6(b) above) by completing and filing with the Company a new enrollment agreement authorizing a change in the rate or amount of payroll deductions; provided, however, that no Participant may change the rate or amount of such Participant’s payroll deductions if the Participant has knowledge of any MNPI at the time the Participant files the new enrollment agreement with the Company; provided, further, that a Participant who is a Pre-Clearance Insider may effect any such change only during a Trading Window and if such Participant has pre-cleared such change with the Company’s General Counsel in accordance with the Insider Trading Policy. Except as otherwise determined by the Committee under rules applicable to all Participants, the change in rate or amount of payroll deductions shall be effective as of the first Payroll Deduction Period that begins after the date the Company receives the new enrollment agreement, provided that the Company received the new enrollment agreement on or before the third (3</w:t>
      </w:r>
      <w:r>
        <w:rPr>
          <w:rFonts w:ascii="Arial" w:cs="Arial" w:eastAsia="Arial" w:hAnsi="Arial"/>
          <w:sz w:val="18"/>
          <w:szCs w:val="18"/>
          <w:color w:val="auto"/>
          <w:vertAlign w:val="superscript"/>
        </w:rPr>
        <w:t>rd</w:t>
      </w:r>
      <w:r>
        <w:rPr>
          <w:rFonts w:ascii="Arial" w:cs="Arial" w:eastAsia="Arial" w:hAnsi="Arial"/>
          <w:sz w:val="14"/>
          <w:szCs w:val="14"/>
          <w:color w:val="auto"/>
        </w:rPr>
        <w:t>) calendar day (a Friday) preceding the first day of the Payroll Deduction Period to which such new enrollment agreement relates. For example, the deadline for completing and filing the new enrollment form for the Payroll Deduction Period beginning Monday, January 25, 2021 would be Friday, January 22, 2021. A Participant may not change the rate or amount of his or her payroll deductions with respect to any Payroll Deduction Period that is ongoing at the time the Company receives the new enrollment agreement.</w:t>
      </w:r>
    </w:p>
    <w:p>
      <w:pPr>
        <w:spacing w:after="0" w:line="134" w:lineRule="exact"/>
        <w:rPr>
          <w:rFonts w:ascii="Arial" w:cs="Arial" w:eastAsia="Arial" w:hAnsi="Arial"/>
          <w:sz w:val="14"/>
          <w:szCs w:val="14"/>
          <w:color w:val="auto"/>
        </w:rPr>
      </w:pPr>
    </w:p>
    <w:p>
      <w:pPr>
        <w:jc w:val="both"/>
        <w:ind w:firstLine="1304"/>
        <w:spacing w:after="0" w:line="251" w:lineRule="auto"/>
        <w:tabs>
          <w:tab w:leader="none" w:pos="1944"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Automatic Changes in Payroll Deduction</w:t>
      </w:r>
      <w:r>
        <w:rPr>
          <w:rFonts w:ascii="Arial" w:cs="Arial" w:eastAsia="Arial" w:hAnsi="Arial"/>
          <w:sz w:val="16"/>
          <w:szCs w:val="16"/>
          <w:color w:val="auto"/>
        </w:rPr>
        <w:t>. Notwithstanding the foregoing, to the extent necessary to comply with Section 423(b)(8)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Code, Section 7(d) hereof, or any other applicable law, a Participant's payroll deductions may be decreased, including to zero dollars or 0% of the Participant’s Compensation, as applicable, at such time during any Payroll Deduction Period with respect to any Offering Period which is scheduled to end during the current calendar year that the aggregate of all payroll deductions accumulated with respect to such Offering Period and any other Offering Period ending within the same calendar year are equal to the product of $25,000 multiplied by the Applicable Percentage for the calendar year. Payroll deductions shall recommence at the rate or amount provided in the Participant’s enrollment agreement at the beginning of the Payroll Deduction Period that applies to the first Offering Period which is scheduled to begin in the following calendar year, unless the Participant terminates participation as provided in Section 13(a).</w:t>
      </w:r>
    </w:p>
    <w:p>
      <w:pPr>
        <w:spacing w:after="0" w:line="151" w:lineRule="exact"/>
        <w:rPr>
          <w:rFonts w:ascii="Arial" w:cs="Arial" w:eastAsia="Arial" w:hAnsi="Arial"/>
          <w:sz w:val="16"/>
          <w:szCs w:val="16"/>
          <w:color w:val="auto"/>
        </w:rPr>
      </w:pPr>
    </w:p>
    <w:p>
      <w:pPr>
        <w:jc w:val="both"/>
        <w:ind w:firstLine="1304"/>
        <w:spacing w:after="0" w:line="239" w:lineRule="auto"/>
        <w:tabs>
          <w:tab w:leader="none" w:pos="1944"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Contribution by Direct Payment</w:t>
      </w:r>
      <w:r>
        <w:rPr>
          <w:rFonts w:ascii="Arial" w:cs="Arial" w:eastAsia="Arial" w:hAnsi="Arial"/>
          <w:sz w:val="16"/>
          <w:szCs w:val="16"/>
          <w:color w:val="auto"/>
        </w:rPr>
        <w:t>. A Participant may make a direct after-tax contribution to the Plan that shall be added to the balance of his or</w:t>
      </w:r>
      <w:r>
        <w:rPr>
          <w:rFonts w:ascii="Arial" w:cs="Arial" w:eastAsia="Arial" w:hAnsi="Arial"/>
          <w:sz w:val="16"/>
          <w:szCs w:val="16"/>
          <w:i w:val="1"/>
          <w:iCs w:val="1"/>
          <w:color w:val="auto"/>
        </w:rPr>
        <w:t xml:space="preserve"> </w:t>
      </w:r>
      <w:r>
        <w:rPr>
          <w:rFonts w:ascii="Arial" w:cs="Arial" w:eastAsia="Arial" w:hAnsi="Arial"/>
          <w:sz w:val="16"/>
          <w:szCs w:val="16"/>
          <w:color w:val="auto"/>
        </w:rPr>
        <w:t>her Plan Contributions during the Payroll Deduction Period with respect to a given Offering Period; provided, that no Participant may make such a contribution while in possession of MNPI, and provided further that a Participant who is a Pre-Clearance Insider may make such a contribution only during a Trading Window and if such Participant has pre-cleared such contribution with the Company’s General Counsel in accordance with the Insider Trading Policy. Direct after-tax contributions that are received by the Company shall be applied to the first Payroll Deduction Period that begins after the date the Company receives the after-tax contribution, provided that the Company received the after-tax contribution on or before the third (3</w:t>
      </w:r>
      <w:r>
        <w:rPr>
          <w:rFonts w:ascii="Arial" w:cs="Arial" w:eastAsia="Arial" w:hAnsi="Arial"/>
          <w:sz w:val="21"/>
          <w:szCs w:val="21"/>
          <w:color w:val="auto"/>
          <w:vertAlign w:val="superscript"/>
        </w:rPr>
        <w:t>rd</w:t>
      </w:r>
      <w:r>
        <w:rPr>
          <w:rFonts w:ascii="Arial" w:cs="Arial" w:eastAsia="Arial" w:hAnsi="Arial"/>
          <w:sz w:val="16"/>
          <w:szCs w:val="16"/>
          <w:color w:val="auto"/>
        </w:rPr>
        <w:t>) calendar day (a Friday) preceding the first day of the Payroll Deduction Period to which such after-tax contribution shall apply. For example, the deadline for making a direct after-tax contribution applicable to the Payroll Deduction Period beginning Monday, January 25, 2021 would be Friday, January 22, 2021.</w:t>
      </w:r>
    </w:p>
    <w:p>
      <w:pPr>
        <w:spacing w:after="0" w:line="177" w:lineRule="exact"/>
        <w:rPr>
          <w:rFonts w:ascii="Arial" w:cs="Arial" w:eastAsia="Arial" w:hAnsi="Arial"/>
          <w:sz w:val="16"/>
          <w:szCs w:val="16"/>
          <w:color w:val="auto"/>
        </w:rPr>
      </w:pPr>
    </w:p>
    <w:p>
      <w:pPr>
        <w:ind w:left="1300" w:hanging="644"/>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Grant of Option</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jc w:val="both"/>
        <w:ind w:firstLine="1304"/>
        <w:spacing w:after="0" w:line="253" w:lineRule="auto"/>
        <w:tabs>
          <w:tab w:leader="none" w:pos="1935"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Shares of Common Stock Subject to Option</w:t>
      </w:r>
      <w:r>
        <w:rPr>
          <w:rFonts w:ascii="Arial" w:cs="Arial" w:eastAsia="Arial" w:hAnsi="Arial"/>
          <w:sz w:val="16"/>
          <w:szCs w:val="16"/>
          <w:color w:val="auto"/>
        </w:rPr>
        <w:t>. On a Participant’s Entry Date, subject to the limitations set forth in Section 7(d) and this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7(a), the Participant shall be granted an option to purchase on the Exercise Date during the Offering Period in which such Entry Date occurs (at the Exercise Price determined as provided in Section 7(b) below) up to a number of shares of Common Stock determined by dividing such Participant’s Plan Contributions accumulated during the Payroll Contribution Period applicable to the Offering Period by the Exercise Price; provided, that the maximum number of shares a Participant may purchase during any Offering Period shall be 5,000 shares.</w:t>
      </w:r>
    </w:p>
    <w:p>
      <w:pPr>
        <w:spacing w:after="0" w:line="150" w:lineRule="exact"/>
        <w:rPr>
          <w:rFonts w:ascii="Arial" w:cs="Arial" w:eastAsia="Arial" w:hAnsi="Arial"/>
          <w:sz w:val="16"/>
          <w:szCs w:val="16"/>
          <w:color w:val="auto"/>
        </w:rPr>
      </w:pPr>
    </w:p>
    <w:p>
      <w:pPr>
        <w:ind w:firstLine="1304"/>
        <w:spacing w:after="0" w:line="275" w:lineRule="auto"/>
        <w:tabs>
          <w:tab w:leader="none" w:pos="1944"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share of Common Stock offered to each Participant in a given Offering Period shall be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the Fair Market Value of a share of Common Stock on the Exercise Date.</w:t>
      </w:r>
    </w:p>
    <w:p>
      <w:pPr>
        <w:spacing w:after="0" w:line="145" w:lineRule="exact"/>
        <w:rPr>
          <w:rFonts w:ascii="Arial" w:cs="Arial" w:eastAsia="Arial" w:hAnsi="Arial"/>
          <w:sz w:val="16"/>
          <w:szCs w:val="16"/>
          <w:color w:val="auto"/>
        </w:rPr>
      </w:pPr>
    </w:p>
    <w:p>
      <w:pPr>
        <w:jc w:val="both"/>
        <w:ind w:firstLine="1304"/>
        <w:spacing w:after="0" w:line="286" w:lineRule="auto"/>
        <w:tabs>
          <w:tab w:leader="none" w:pos="1935" w:val="left"/>
        </w:tabs>
        <w:numPr>
          <w:ilvl w:val="1"/>
          <w:numId w:val="71"/>
        </w:numPr>
        <w:rPr>
          <w:rFonts w:ascii="Arial" w:cs="Arial" w:eastAsia="Arial" w:hAnsi="Arial"/>
          <w:sz w:val="15"/>
          <w:szCs w:val="15"/>
          <w:color w:val="auto"/>
        </w:rPr>
      </w:pPr>
      <w:r>
        <w:rPr>
          <w:rFonts w:ascii="Arial" w:cs="Arial" w:eastAsia="Arial" w:hAnsi="Arial"/>
          <w:sz w:val="15"/>
          <w:szCs w:val="15"/>
          <w:i w:val="1"/>
          <w:iCs w:val="1"/>
          <w:color w:val="auto"/>
        </w:rPr>
        <w:t>Fair Market Value</w:t>
      </w:r>
      <w:r>
        <w:rPr>
          <w:rFonts w:ascii="Arial" w:cs="Arial" w:eastAsia="Arial" w:hAnsi="Arial"/>
          <w:sz w:val="15"/>
          <w:szCs w:val="15"/>
          <w:color w:val="auto"/>
        </w:rPr>
        <w:t>. The Fair Market Value of a share of Common Stock on a given date shall be determined by the Committee or under</w:t>
      </w:r>
      <w:r>
        <w:rPr>
          <w:rFonts w:ascii="Arial" w:cs="Arial" w:eastAsia="Arial" w:hAnsi="Arial"/>
          <w:sz w:val="15"/>
          <w:szCs w:val="15"/>
          <w:i w:val="1"/>
          <w:iCs w:val="1"/>
          <w:color w:val="auto"/>
        </w:rPr>
        <w:t xml:space="preserve"> </w:t>
      </w:r>
      <w:r>
        <w:rPr>
          <w:rFonts w:ascii="Arial" w:cs="Arial" w:eastAsia="Arial" w:hAnsi="Arial"/>
          <w:sz w:val="15"/>
          <w:szCs w:val="15"/>
          <w:color w:val="auto"/>
        </w:rPr>
        <w:t>procedures established by the Committee. Unless otherwise determined by the Committee, the Fair Market Value of a share of Common Stock as of any given date shall be the closing sale price per share reported on a consolidated basis for stock listed on the principal stock exchange or market on which shares are traded on the date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59"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as of which such value is being determined, or, if there is no sale on that date, then on the last previous day on which a sale was reported.</w:t>
      </w:r>
    </w:p>
    <w:p>
      <w:pPr>
        <w:spacing w:after="0" w:line="181" w:lineRule="exact"/>
        <w:rPr>
          <w:sz w:val="20"/>
          <w:szCs w:val="20"/>
          <w:color w:val="auto"/>
        </w:rPr>
      </w:pPr>
    </w:p>
    <w:p>
      <w:pPr>
        <w:jc w:val="both"/>
        <w:ind w:firstLine="1304"/>
        <w:spacing w:after="0" w:line="270" w:lineRule="auto"/>
        <w:tabs>
          <w:tab w:leader="none" w:pos="1944" w:val="left"/>
        </w:tabs>
        <w:numPr>
          <w:ilvl w:val="1"/>
          <w:numId w:val="72"/>
        </w:numPr>
        <w:rPr>
          <w:rFonts w:ascii="Arial" w:cs="Arial" w:eastAsia="Arial" w:hAnsi="Arial"/>
          <w:sz w:val="15"/>
          <w:szCs w:val="15"/>
          <w:color w:val="auto"/>
        </w:rPr>
      </w:pPr>
      <w:r>
        <w:rPr>
          <w:rFonts w:ascii="Arial" w:cs="Arial" w:eastAsia="Arial" w:hAnsi="Arial"/>
          <w:sz w:val="15"/>
          <w:szCs w:val="15"/>
          <w:i w:val="1"/>
          <w:iCs w:val="1"/>
          <w:color w:val="auto"/>
        </w:rPr>
        <w:t>Limitation on Option that may be Granted</w:t>
      </w:r>
      <w:r>
        <w:rPr>
          <w:rFonts w:ascii="Arial" w:cs="Arial" w:eastAsia="Arial" w:hAnsi="Arial"/>
          <w:sz w:val="15"/>
          <w:szCs w:val="15"/>
          <w:color w:val="auto"/>
        </w:rPr>
        <w:t>. Notwithstanding any provision of the Plan to the contrary, no Participant shall be granted an option</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Plan (i) to the extent that if, immediately after the grant, such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to the extent that his or her rights to purchase stock under all employee stock purchase plans of the Company and its Subsidiaries intended to qualify under Section 423 of the Code accrue at a rate which exceeds $25,000 of Fair Market Value of Common Stock (determined at the time such option is granted) for each calendar year in which such option is outstanding at any time. The limitations set forth in this Section 7(d) shall be applied in conformance with applicable regulations under Section 423(b)(8) of the Code.</w:t>
      </w:r>
    </w:p>
    <w:p>
      <w:pPr>
        <w:spacing w:after="0" w:line="153" w:lineRule="exact"/>
        <w:rPr>
          <w:rFonts w:ascii="Arial" w:cs="Arial" w:eastAsia="Arial" w:hAnsi="Arial"/>
          <w:sz w:val="15"/>
          <w:szCs w:val="15"/>
          <w:color w:val="auto"/>
        </w:rPr>
      </w:pPr>
    </w:p>
    <w:p>
      <w:pPr>
        <w:ind w:left="1940" w:hanging="636"/>
        <w:spacing w:after="0"/>
        <w:tabs>
          <w:tab w:leader="none" w:pos="1940" w:val="left"/>
        </w:tabs>
        <w:numPr>
          <w:ilvl w:val="1"/>
          <w:numId w:val="72"/>
        </w:numPr>
        <w:rPr>
          <w:rFonts w:ascii="Arial" w:cs="Arial" w:eastAsia="Arial" w:hAnsi="Arial"/>
          <w:sz w:val="15"/>
          <w:szCs w:val="15"/>
          <w:color w:val="auto"/>
        </w:rPr>
      </w:pPr>
      <w:r>
        <w:rPr>
          <w:rFonts w:ascii="Arial" w:cs="Arial" w:eastAsia="Arial" w:hAnsi="Arial"/>
          <w:sz w:val="15"/>
          <w:szCs w:val="15"/>
          <w:i w:val="1"/>
          <w:iCs w:val="1"/>
          <w:color w:val="auto"/>
        </w:rPr>
        <w:t>No Rights as Shareholder</w:t>
      </w:r>
      <w:r>
        <w:rPr>
          <w:rFonts w:ascii="Arial" w:cs="Arial" w:eastAsia="Arial" w:hAnsi="Arial"/>
          <w:sz w:val="15"/>
          <w:szCs w:val="15"/>
          <w:color w:val="auto"/>
        </w:rPr>
        <w:t>. A Participant will have no interest or voting right in shares covered by his or her option until such option has been</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exercised.</w:t>
      </w:r>
    </w:p>
    <w:p>
      <w:pPr>
        <w:spacing w:after="0" w:line="166" w:lineRule="exact"/>
        <w:rPr>
          <w:rFonts w:ascii="Arial" w:cs="Arial" w:eastAsia="Arial" w:hAnsi="Arial"/>
          <w:sz w:val="15"/>
          <w:szCs w:val="15"/>
          <w:color w:val="auto"/>
        </w:rPr>
      </w:pPr>
    </w:p>
    <w:p>
      <w:pPr>
        <w:ind w:left="1300" w:hanging="644"/>
        <w:spacing w:after="0"/>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Exercise of Options</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jc w:val="both"/>
        <w:ind w:firstLine="1304"/>
        <w:spacing w:after="0" w:line="256" w:lineRule="auto"/>
        <w:tabs>
          <w:tab w:leader="none" w:pos="1935"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Automatic Exercise</w:t>
      </w:r>
      <w:r>
        <w:rPr>
          <w:rFonts w:ascii="Arial" w:cs="Arial" w:eastAsia="Arial" w:hAnsi="Arial"/>
          <w:sz w:val="16"/>
          <w:szCs w:val="16"/>
          <w:color w:val="auto"/>
        </w:rPr>
        <w:t>. A Participant’s option for the purchase of shares shall be exercised automatically on each Exercise Date,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number of full and partial shares subject to the option shall be purchased for the Participant at the applicable Exercise Price with the Plan Contributions accumulated during the Payroll Contribution Period applicable to the Offering Period in which such Exercise Date occurs. During a Participant’s lifetime, a Participant’s option to purchase shares hereunder is exercisable only by the Participant.</w:t>
      </w:r>
    </w:p>
    <w:p>
      <w:pPr>
        <w:spacing w:after="0" w:line="159" w:lineRule="exact"/>
        <w:rPr>
          <w:rFonts w:ascii="Arial" w:cs="Arial" w:eastAsia="Arial" w:hAnsi="Arial"/>
          <w:sz w:val="16"/>
          <w:szCs w:val="16"/>
          <w:color w:val="auto"/>
        </w:rPr>
      </w:pPr>
    </w:p>
    <w:p>
      <w:pPr>
        <w:jc w:val="both"/>
        <w:ind w:firstLine="1304"/>
        <w:spacing w:after="0" w:line="252" w:lineRule="auto"/>
        <w:tabs>
          <w:tab w:leader="none" w:pos="1944"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Carryover of Excess Contributions</w:t>
      </w:r>
      <w:r>
        <w:rPr>
          <w:rFonts w:ascii="Arial" w:cs="Arial" w:eastAsia="Arial" w:hAnsi="Arial"/>
          <w:sz w:val="16"/>
          <w:szCs w:val="16"/>
          <w:color w:val="auto"/>
        </w:rPr>
        <w:t>. Any portion of the Plan Contributions accumulated during a Payroll Contribution Period applicable to a</w:t>
      </w:r>
      <w:r>
        <w:rPr>
          <w:rFonts w:ascii="Arial" w:cs="Arial" w:eastAsia="Arial" w:hAnsi="Arial"/>
          <w:sz w:val="16"/>
          <w:szCs w:val="16"/>
          <w:i w:val="1"/>
          <w:iCs w:val="1"/>
          <w:color w:val="auto"/>
        </w:rPr>
        <w:t xml:space="preserve"> </w:t>
      </w:r>
      <w:r>
        <w:rPr>
          <w:rFonts w:ascii="Arial" w:cs="Arial" w:eastAsia="Arial" w:hAnsi="Arial"/>
          <w:sz w:val="16"/>
          <w:szCs w:val="16"/>
          <w:color w:val="auto"/>
        </w:rPr>
        <w:t>given Offering Period, which remains after the purchase of shares by the Participant on an Exercise Date and is insufficient to purchase a full share of Common Stock shall remain in the Participant’s account and be added to the Plan Contributions accumulated during the next Payroll Contribution Period that is applicable to the next Offering Period, unless the Participant timely withdraws from participation in the Plan. Any portion of the Plan Contributions accumulated during a Payroll Contribution Period applicable to a given Offering Period, which remains after the purchase of shares by the Participant on an Exercise Date and is sufficient to purchase one or more full shares of Common Stock shall be distributed automatically to the Participant.</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Issuance of Shares</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jc w:val="both"/>
        <w:ind w:firstLine="1304"/>
        <w:spacing w:after="0" w:line="268" w:lineRule="auto"/>
        <w:tabs>
          <w:tab w:leader="none" w:pos="1935" w:val="left"/>
        </w:tabs>
        <w:numPr>
          <w:ilvl w:val="1"/>
          <w:numId w:val="73"/>
        </w:numPr>
        <w:rPr>
          <w:rFonts w:ascii="Arial" w:cs="Arial" w:eastAsia="Arial" w:hAnsi="Arial"/>
          <w:sz w:val="15"/>
          <w:szCs w:val="15"/>
          <w:color w:val="auto"/>
        </w:rPr>
      </w:pPr>
      <w:r>
        <w:rPr>
          <w:rFonts w:ascii="Arial" w:cs="Arial" w:eastAsia="Arial" w:hAnsi="Arial"/>
          <w:sz w:val="15"/>
          <w:szCs w:val="15"/>
          <w:i w:val="1"/>
          <w:iCs w:val="1"/>
          <w:color w:val="auto"/>
        </w:rPr>
        <w:t>Delivery of Shares</w:t>
      </w:r>
      <w:r>
        <w:rPr>
          <w:rFonts w:ascii="Arial" w:cs="Arial" w:eastAsia="Arial" w:hAnsi="Arial"/>
          <w:sz w:val="15"/>
          <w:szCs w:val="15"/>
          <w:color w:val="auto"/>
        </w:rPr>
        <w:t>. As promptly as practicable after each Exercise Date, the Company shall arrange for the delivery to each Participant (or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Participant’s beneficiary), as appropriate, or to a custodial account held by a custodian appointed by the Company for the benefit of each Participant (or the Participant’s beneficiary) as appropriate, of a certificate representing the shares purchased upon exercise of the Participant’s option or, at the Company’s option, through appropriate book entry procedures. Unless otherwise permitted by the Committee, based upon rules and procedures that are uniformly applied to all Participants, all shares purchased upon exercise of the Participant’s option that are delivered to a custodial account held by a custodian appointed by the Company for the benefit of the Participant shall not be eligible for transfer out of the custodial account held by a custodian appointed by the Company for the benefit of the Participant, until the later of (i) the two-year anniversary of the Offering Date on which the Participant’s option to purchase such shares was granted, and (ii) the one-year anniversary of the Exercise Date on which the Participant purchased the shares, unless the transfer would be considered a “disposition of stock” for purposes of Section 423 of the Code, which generally includes any sale, exchange, gift, or any transfer of legal title of the shares other than transfers to the Participant’s estate or by bequest or inheritance, certain tax-free exchanges, a mere pledge or hypothecation, or a transfer to the Participant’s spouse or incident to divorce (as described in Section 1041(a) of the Code).</w:t>
      </w:r>
    </w:p>
    <w:p>
      <w:pPr>
        <w:spacing w:after="0" w:line="152" w:lineRule="exact"/>
        <w:rPr>
          <w:rFonts w:ascii="Arial" w:cs="Arial" w:eastAsia="Arial" w:hAnsi="Arial"/>
          <w:sz w:val="15"/>
          <w:szCs w:val="15"/>
          <w:color w:val="auto"/>
        </w:rPr>
      </w:pPr>
    </w:p>
    <w:p>
      <w:pPr>
        <w:ind w:firstLine="1304"/>
        <w:spacing w:after="0" w:line="275" w:lineRule="auto"/>
        <w:tabs>
          <w:tab w:leader="none" w:pos="1944"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Registration of Shares</w:t>
      </w:r>
      <w:r>
        <w:rPr>
          <w:rFonts w:ascii="Arial" w:cs="Arial" w:eastAsia="Arial" w:hAnsi="Arial"/>
          <w:sz w:val="16"/>
          <w:szCs w:val="16"/>
          <w:color w:val="auto"/>
        </w:rPr>
        <w:t>. Shares to be delivered to a Participant under the Plan will be registered in the name of the Participant or in the name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and his or her spouse, as requested by the Participant.</w:t>
      </w:r>
    </w:p>
    <w:p>
      <w:pPr>
        <w:spacing w:after="0" w:line="131" w:lineRule="exact"/>
        <w:rPr>
          <w:rFonts w:ascii="Arial" w:cs="Arial" w:eastAsia="Arial" w:hAnsi="Arial"/>
          <w:sz w:val="16"/>
          <w:szCs w:val="16"/>
          <w:color w:val="auto"/>
        </w:rPr>
      </w:pPr>
    </w:p>
    <w:p>
      <w:pPr>
        <w:jc w:val="both"/>
        <w:ind w:firstLine="1304"/>
        <w:spacing w:after="0" w:line="250" w:lineRule="auto"/>
        <w:tabs>
          <w:tab w:leader="none" w:pos="1935"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Compliance with Applicable Laws</w:t>
      </w:r>
      <w:r>
        <w:rPr>
          <w:rFonts w:ascii="Arial" w:cs="Arial" w:eastAsia="Arial" w:hAnsi="Arial"/>
          <w:sz w:val="16"/>
          <w:szCs w:val="16"/>
          <w:color w:val="auto"/>
        </w:rPr>
        <w:t>. The Plan, the grant and exercise of options to purchase shares under the Plan, and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to sell and deliver shares upon the exercise of options to purchase shares shall be subject to compliance with all applicable federal, state and foreign laws, rules and regulations and the requirements of any stock exchange on which the shares may then be listed. In accordance with the foregoing sentence, no options shall be exercised, and no shares shall be purchased, on June 30, 2015, or any other Exercise Date, unless a Form S-8 for the Plan has been filed and is fully effective in accordance with the requirements of the Securities Act of 1933, as amended, and the rules and regulations of the Securities and Exchange Commission thereunder, on the applicable Exercise Date. Any Plan Contributions accumulated during a Payroll Contribution Period applicable to a given Offering Period and held by the Company on any Exercise Date for which purchases may not be made pursuant to the preceding sentence shall be returned to the Participants who made those Plan Contributions as soon as administratively practicable after the applicable Exercise Date.</w:t>
      </w:r>
    </w:p>
    <w:p>
      <w:pPr>
        <w:spacing w:after="0" w:line="154" w:lineRule="exact"/>
        <w:rPr>
          <w:rFonts w:ascii="Arial" w:cs="Arial" w:eastAsia="Arial" w:hAnsi="Arial"/>
          <w:sz w:val="16"/>
          <w:szCs w:val="16"/>
          <w:color w:val="auto"/>
        </w:rPr>
      </w:pPr>
    </w:p>
    <w:p>
      <w:pPr>
        <w:ind w:firstLine="1304"/>
        <w:spacing w:after="0" w:line="275" w:lineRule="auto"/>
        <w:tabs>
          <w:tab w:leader="none" w:pos="1944"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The Company may make such provisions as it deems appropriate for withholding by the Company pursuant to federal or state tax</w:t>
      </w:r>
      <w:r>
        <w:rPr>
          <w:rFonts w:ascii="Arial" w:cs="Arial" w:eastAsia="Arial" w:hAnsi="Arial"/>
          <w:sz w:val="16"/>
          <w:szCs w:val="16"/>
          <w:i w:val="1"/>
          <w:iCs w:val="1"/>
          <w:color w:val="auto"/>
        </w:rPr>
        <w:t xml:space="preserve"> </w:t>
      </w:r>
      <w:r>
        <w:rPr>
          <w:rFonts w:ascii="Arial" w:cs="Arial" w:eastAsia="Arial" w:hAnsi="Arial"/>
          <w:sz w:val="16"/>
          <w:szCs w:val="16"/>
          <w:color w:val="auto"/>
        </w:rPr>
        <w:t>laws of such amounts as the Company determines it is required to withhold in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59" w:right="339" w:bottom="1440" w:gutter="0" w:footer="0" w:header="0"/>
        </w:sectPr>
      </w:pPr>
    </w:p>
    <w:bookmarkStart w:id="127" w:name="page128"/>
    <w:bookmarkEnd w:id="127"/>
    <w:p>
      <w:pPr>
        <w:spacing w:after="0" w:line="275" w:lineRule="auto"/>
        <w:rPr>
          <w:sz w:val="20"/>
          <w:szCs w:val="20"/>
          <w:color w:val="auto"/>
        </w:rPr>
      </w:pPr>
      <w:r>
        <w:rPr>
          <w:rFonts w:ascii="Arial" w:cs="Arial" w:eastAsia="Arial" w:hAnsi="Arial"/>
          <w:sz w:val="16"/>
          <w:szCs w:val="16"/>
          <w:color w:val="auto"/>
        </w:rPr>
        <w:t>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32"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Participant Accounts</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1304"/>
        <w:spacing w:after="0" w:line="252" w:lineRule="auto"/>
        <w:tabs>
          <w:tab w:leader="none" w:pos="1935"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Bookkeeping Accounts Maintained</w:t>
      </w:r>
      <w:r>
        <w:rPr>
          <w:rFonts w:ascii="Arial" w:cs="Arial" w:eastAsia="Arial" w:hAnsi="Arial"/>
          <w:sz w:val="16"/>
          <w:szCs w:val="16"/>
          <w:color w:val="auto"/>
        </w:rPr>
        <w:t>. Individual bookkeeping accounts will be maintained for each Participant in the Plan to account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of his or her Plan Contributions during the Payroll Deduction Period with respect to a given Offering Period, options issued, and shares purchased under the Plan. However, all Plan Contributions made for a Participant shall be deposited in the Company’s or a Designated Subsidiary’s general corporate accounts, and no interest shall accrue or be credited with respect to a Participant’s Plan Contributions. All Plan Contributions received or held by the Company or a Designated Subsidiary may be used by the Company or a Designated Subsidiary for any corporate purpose, and neither the Company nor a Designated Subsidiary shall be obligated to segregate or otherwise set apart such Plan Contributions from any other corporate funds.</w:t>
      </w:r>
    </w:p>
    <w:p>
      <w:pPr>
        <w:spacing w:after="0" w:line="150" w:lineRule="exact"/>
        <w:rPr>
          <w:rFonts w:ascii="Arial" w:cs="Arial" w:eastAsia="Arial" w:hAnsi="Arial"/>
          <w:sz w:val="16"/>
          <w:szCs w:val="16"/>
          <w:color w:val="auto"/>
        </w:rPr>
      </w:pPr>
    </w:p>
    <w:p>
      <w:pPr>
        <w:jc w:val="both"/>
        <w:ind w:firstLine="1304"/>
        <w:spacing w:after="0" w:line="286" w:lineRule="auto"/>
        <w:tabs>
          <w:tab w:leader="none" w:pos="1944" w:val="left"/>
        </w:tabs>
        <w:numPr>
          <w:ilvl w:val="1"/>
          <w:numId w:val="74"/>
        </w:numPr>
        <w:rPr>
          <w:rFonts w:ascii="Arial" w:cs="Arial" w:eastAsia="Arial" w:hAnsi="Arial"/>
          <w:sz w:val="15"/>
          <w:szCs w:val="15"/>
          <w:color w:val="auto"/>
        </w:rPr>
      </w:pPr>
      <w:r>
        <w:rPr>
          <w:rFonts w:ascii="Arial" w:cs="Arial" w:eastAsia="Arial" w:hAnsi="Arial"/>
          <w:sz w:val="15"/>
          <w:szCs w:val="15"/>
          <w:i w:val="1"/>
          <w:iCs w:val="1"/>
          <w:color w:val="auto"/>
        </w:rPr>
        <w:t>Withdrawal of Account Balance Following Exercise Date</w:t>
      </w:r>
      <w:r>
        <w:rPr>
          <w:rFonts w:ascii="Arial" w:cs="Arial" w:eastAsia="Arial" w:hAnsi="Arial"/>
          <w:sz w:val="15"/>
          <w:szCs w:val="15"/>
          <w:color w:val="auto"/>
        </w:rPr>
        <w:t>. Any portion of the Plan Contributions accumulated during a Payroll Contribution</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applicable to a given Offering Period, which remains after the purchase of shares by the Participant on an Exercise Date and is sufficient to purchase one or more full shares of Common Stock shall be distributed automatically to the Participant as soon as administratively practicable following such Exercise Date.</w:t>
      </w:r>
    </w:p>
    <w:p>
      <w:pPr>
        <w:spacing w:after="0" w:line="125" w:lineRule="exact"/>
        <w:rPr>
          <w:rFonts w:ascii="Arial" w:cs="Arial" w:eastAsia="Arial" w:hAnsi="Arial"/>
          <w:sz w:val="15"/>
          <w:szCs w:val="15"/>
          <w:color w:val="auto"/>
        </w:rPr>
      </w:pPr>
    </w:p>
    <w:p>
      <w:pPr>
        <w:ind w:left="1300" w:hanging="644"/>
        <w:spacing w:after="0"/>
        <w:tabs>
          <w:tab w:leader="none" w:pos="13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Designation of Beneficiary</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1304"/>
        <w:spacing w:after="0" w:line="256" w:lineRule="auto"/>
        <w:tabs>
          <w:tab w:leader="none" w:pos="1935"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Designation</w:t>
      </w:r>
      <w:r>
        <w:rPr>
          <w:rFonts w:ascii="Arial" w:cs="Arial" w:eastAsia="Arial" w:hAnsi="Arial"/>
          <w:sz w:val="16"/>
          <w:szCs w:val="16"/>
          <w:color w:val="auto"/>
        </w:rPr>
        <w:t>. A Participant may file a written designation of a beneficiary who is to receive any shares and cash, if any, from the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under the Plan in the event of the Participant’s death subsequent to an Exercise Date on which the Participant’s option hereunder is exercised but prior to delivery to the Participant of such shares and cash. In addition, a Participant may file a written designation of a beneficiary who is to receive any cash from the Participant’s account under the Plan in the event of the Participant’s death prior to the exercise of the option.</w:t>
      </w:r>
    </w:p>
    <w:p>
      <w:pPr>
        <w:spacing w:after="0" w:line="146" w:lineRule="exact"/>
        <w:rPr>
          <w:rFonts w:ascii="Arial" w:cs="Arial" w:eastAsia="Arial" w:hAnsi="Arial"/>
          <w:sz w:val="16"/>
          <w:szCs w:val="16"/>
          <w:color w:val="auto"/>
        </w:rPr>
      </w:pPr>
    </w:p>
    <w:p>
      <w:pPr>
        <w:jc w:val="both"/>
        <w:ind w:firstLine="1304"/>
        <w:spacing w:after="0" w:line="274" w:lineRule="auto"/>
        <w:tabs>
          <w:tab w:leader="none" w:pos="1944" w:val="left"/>
        </w:tabs>
        <w:numPr>
          <w:ilvl w:val="1"/>
          <w:numId w:val="74"/>
        </w:numPr>
        <w:rPr>
          <w:rFonts w:ascii="Arial" w:cs="Arial" w:eastAsia="Arial" w:hAnsi="Arial"/>
          <w:sz w:val="15"/>
          <w:szCs w:val="15"/>
          <w:color w:val="auto"/>
        </w:rPr>
      </w:pPr>
      <w:r>
        <w:rPr>
          <w:rFonts w:ascii="Arial" w:cs="Arial" w:eastAsia="Arial" w:hAnsi="Arial"/>
          <w:sz w:val="15"/>
          <w:szCs w:val="15"/>
          <w:i w:val="1"/>
          <w:iCs w:val="1"/>
          <w:color w:val="auto"/>
        </w:rPr>
        <w:t>Change of Designation</w:t>
      </w:r>
      <w:r>
        <w:rPr>
          <w:rFonts w:ascii="Arial" w:cs="Arial" w:eastAsia="Arial" w:hAnsi="Arial"/>
          <w:sz w:val="15"/>
          <w:szCs w:val="15"/>
          <w:color w:val="auto"/>
        </w:rPr>
        <w:t>. A Participant’s beneficiary designation may be changed by the Participant at any time by written notice. In the event</w:t>
      </w:r>
      <w:r>
        <w:rPr>
          <w:rFonts w:ascii="Arial" w:cs="Arial" w:eastAsia="Arial" w:hAnsi="Arial"/>
          <w:sz w:val="15"/>
          <w:szCs w:val="15"/>
          <w:i w:val="1"/>
          <w:iCs w:val="1"/>
          <w:color w:val="auto"/>
        </w:rPr>
        <w:t xml:space="preserve"> </w:t>
      </w:r>
      <w:r>
        <w:rPr>
          <w:rFonts w:ascii="Arial" w:cs="Arial" w:eastAsia="Arial" w:hAnsi="Arial"/>
          <w:sz w:val="15"/>
          <w:szCs w:val="15"/>
          <w:color w:val="auto"/>
        </w:rPr>
        <w:t>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35" w:lineRule="exact"/>
        <w:rPr>
          <w:rFonts w:ascii="Arial" w:cs="Arial" w:eastAsia="Arial" w:hAnsi="Arial"/>
          <w:sz w:val="15"/>
          <w:szCs w:val="15"/>
          <w:color w:val="auto"/>
        </w:rPr>
      </w:pPr>
    </w:p>
    <w:p>
      <w:pPr>
        <w:jc w:val="both"/>
        <w:ind w:firstLine="656"/>
        <w:spacing w:after="0" w:line="256" w:lineRule="auto"/>
        <w:tabs>
          <w:tab w:leader="none" w:pos="1296"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Neither Plan Contributions credited to a Participant’s account nor any rights to exercise any option or receive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Plan may be assigned, transferred, pledged or otherwise disposed of in any way (other than by will or the laws of descent and distribution, or as provided in Section 11). Any attempted assignment, transfer, pledge or other distribution shall be without effect, except that the Company may treat such act as an election to withdraw in accordance with Section 13(a).</w:t>
      </w:r>
    </w:p>
    <w:p>
      <w:pPr>
        <w:spacing w:after="0" w:line="159" w:lineRule="exact"/>
        <w:rPr>
          <w:rFonts w:ascii="Arial" w:cs="Arial" w:eastAsia="Arial" w:hAnsi="Arial"/>
          <w:sz w:val="16"/>
          <w:szCs w:val="16"/>
          <w:color w:val="auto"/>
        </w:rPr>
      </w:pPr>
    </w:p>
    <w:p>
      <w:pPr>
        <w:ind w:left="1300" w:hanging="644"/>
        <w:spacing w:after="0"/>
        <w:tabs>
          <w:tab w:leader="none" w:pos="13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Withdrawal; Termination of Employment</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jc w:val="both"/>
        <w:ind w:firstLine="1304"/>
        <w:spacing w:after="0" w:line="241" w:lineRule="auto"/>
        <w:tabs>
          <w:tab w:leader="none" w:pos="1935"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Withdrawal</w:t>
      </w:r>
      <w:r>
        <w:rPr>
          <w:rFonts w:ascii="Arial" w:cs="Arial" w:eastAsia="Arial" w:hAnsi="Arial"/>
          <w:sz w:val="16"/>
          <w:szCs w:val="16"/>
          <w:color w:val="auto"/>
        </w:rPr>
        <w:t>. A Participant may withdraw from participation in future Offering Periods under the Plan by giving written notice to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otherwise determined by the Committee under rules applicable to all Participants, the Plan withdrawal shall be effective as of the first Offering Period that begins after the date the Company receives the Participant’s written notice of withdrawal, provided that the Company received the Participant’s written notice of withdrawal on or before the sixth (6</w:t>
      </w:r>
      <w:r>
        <w:rPr>
          <w:rFonts w:ascii="Arial" w:cs="Arial" w:eastAsia="Arial" w:hAnsi="Arial"/>
          <w:sz w:val="21"/>
          <w:szCs w:val="21"/>
          <w:color w:val="auto"/>
          <w:vertAlign w:val="superscript"/>
        </w:rPr>
        <w:t>th</w:t>
      </w:r>
      <w:r>
        <w:rPr>
          <w:rFonts w:ascii="Arial" w:cs="Arial" w:eastAsia="Arial" w:hAnsi="Arial"/>
          <w:sz w:val="16"/>
          <w:szCs w:val="16"/>
          <w:color w:val="auto"/>
        </w:rPr>
        <w:t>) calendar day (a Friday) preceding the first day of the Offering Period to which the Participant’s written notice of withdrawal relates. For example, the deadline for completing and filing the Participant’s written notice of withdrawal for the Offering Period beginning Thursday, January 28, 2021 would be Friday, January 22, 2021. Payroll deductions, if any have been authorized, shall cease with respect to the Payroll Deduction Period applicable to the Offering Period to which the Participant’s written notice of withdrawal relates and is effective and, subject to administrative practicability, no further purchases shall be made for the Participant’s account. The Participant’s unexercised options to purchase shares pursuant to the Plan automatically will be terminated. Payroll deductions will not resume on behalf of a Participant who has withdrawn from the Plan (a “</w:t>
      </w:r>
      <w:r>
        <w:rPr>
          <w:rFonts w:ascii="Arial" w:cs="Arial" w:eastAsia="Arial" w:hAnsi="Arial"/>
          <w:sz w:val="16"/>
          <w:szCs w:val="16"/>
          <w:i w:val="1"/>
          <w:iCs w:val="1"/>
          <w:color w:val="auto"/>
        </w:rPr>
        <w:t>Former Participant</w:t>
      </w:r>
      <w:r>
        <w:rPr>
          <w:rFonts w:ascii="Arial" w:cs="Arial" w:eastAsia="Arial" w:hAnsi="Arial"/>
          <w:sz w:val="16"/>
          <w:szCs w:val="16"/>
          <w:color w:val="auto"/>
        </w:rPr>
        <w:t>”) unless the Former Participant enrolls in a subsequent Offering Period in accordance with Section 5(a) and Section 13(b).</w:t>
      </w:r>
    </w:p>
    <w:p>
      <w:pPr>
        <w:spacing w:after="0" w:line="160" w:lineRule="exact"/>
        <w:rPr>
          <w:rFonts w:ascii="Arial" w:cs="Arial" w:eastAsia="Arial" w:hAnsi="Arial"/>
          <w:sz w:val="16"/>
          <w:szCs w:val="16"/>
          <w:color w:val="auto"/>
        </w:rPr>
      </w:pPr>
    </w:p>
    <w:p>
      <w:pPr>
        <w:jc w:val="both"/>
        <w:ind w:right="20" w:firstLine="1304"/>
        <w:spacing w:after="0" w:line="278" w:lineRule="auto"/>
        <w:tabs>
          <w:tab w:leader="none" w:pos="1944" w:val="left"/>
        </w:tabs>
        <w:numPr>
          <w:ilvl w:val="1"/>
          <w:numId w:val="74"/>
        </w:numPr>
        <w:rPr>
          <w:rFonts w:ascii="Arial" w:cs="Arial" w:eastAsia="Arial" w:hAnsi="Arial"/>
          <w:sz w:val="15"/>
          <w:szCs w:val="15"/>
          <w:color w:val="auto"/>
        </w:rPr>
      </w:pPr>
      <w:r>
        <w:rPr>
          <w:rFonts w:ascii="Arial" w:cs="Arial" w:eastAsia="Arial" w:hAnsi="Arial"/>
          <w:sz w:val="15"/>
          <w:szCs w:val="15"/>
          <w:i w:val="1"/>
          <w:iCs w:val="1"/>
          <w:color w:val="auto"/>
        </w:rPr>
        <w:t>Effect of Withdrawal on Subsequent Participation</w:t>
      </w:r>
      <w:r>
        <w:rPr>
          <w:rFonts w:ascii="Arial" w:cs="Arial" w:eastAsia="Arial" w:hAnsi="Arial"/>
          <w:sz w:val="15"/>
          <w:szCs w:val="15"/>
          <w:color w:val="auto"/>
        </w:rPr>
        <w:t>. A Former Participant who has withdrawn from the Plan pursuant to Section 13(a)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eligible to participate in the Plan again by submitting a new enrollment agreement in accordance with Section 5(a); provided, that if a Participant makes frequent withdrawals and re-entries into the Plan, such Participant may be made ineligible, by the Committee in its sole and absolute discretion, to participate in the Plan for a period of time to the extent necessary to comply with applicable requirements under the Exchange Act, including without limitation Rule 10b5-1.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59" w:right="339" w:bottom="1440" w:gutter="0" w:footer="0" w:header="0"/>
        </w:sectPr>
      </w:pPr>
    </w:p>
    <w:bookmarkStart w:id="128" w:name="page129"/>
    <w:bookmarkEnd w:id="128"/>
    <w:p>
      <w:pPr>
        <w:jc w:val="both"/>
        <w:ind w:firstLine="1304"/>
        <w:spacing w:after="0" w:line="288" w:lineRule="auto"/>
        <w:tabs>
          <w:tab w:leader="none" w:pos="1935" w:val="left"/>
        </w:tabs>
        <w:numPr>
          <w:ilvl w:val="1"/>
          <w:numId w:val="75"/>
        </w:numPr>
        <w:rPr>
          <w:rFonts w:ascii="Arial" w:cs="Arial" w:eastAsia="Arial" w:hAnsi="Arial"/>
          <w:sz w:val="14"/>
          <w:szCs w:val="14"/>
          <w:color w:val="auto"/>
        </w:rPr>
      </w:pPr>
      <w:r>
        <w:rPr>
          <w:rFonts w:ascii="Arial" w:cs="Arial" w:eastAsia="Arial" w:hAnsi="Arial"/>
          <w:sz w:val="14"/>
          <w:szCs w:val="14"/>
          <w:i w:val="1"/>
          <w:iCs w:val="1"/>
          <w:color w:val="auto"/>
        </w:rPr>
        <w:t>Termination of Employment</w:t>
      </w:r>
      <w:r>
        <w:rPr>
          <w:rFonts w:ascii="Arial" w:cs="Arial" w:eastAsia="Arial" w:hAnsi="Arial"/>
          <w:sz w:val="14"/>
          <w:szCs w:val="14"/>
          <w:color w:val="auto"/>
        </w:rPr>
        <w:t>. If a Participant’s Continuous Status as an Employee terminates during an Offering Period for any reason,</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retirement or death, the maximum number of full and partial shares subject to the option granted to the Participant on the Entry Date of the Offering Period in which the Participant’s Continuous Status as an Employee terminates shall be purchased for the Participant at the applicable Exercise Price with the Plan Contributions accumulated during the Payroll Contribution Period applicable to the Offering Period in which Participant’s Continuous Status as an Employee terminates. Notwithstanding the foregoing, any Plan Contributions credited to the Participant’s account during the Payroll Deduction Period with respect to an Offering Period that follows the Offering Period in which the Participant’s Continuous Status as an Employee terminates shall be returned to the Participant or, in the case of death, to the Participant’s beneficiary as determined pursuant to Section 11, and the Participant’s option to purchase shares under the Plan will automatically terminate. For example, if a Participant’s Continuous Status as an Employee terminates on February 9, 2021, (i) the Participant’s Plan Contributions accumulated during the Payroll Contribution Period applicable to the Offering Period beginning Thursday, January 28, 2021 and ending Wednesday, February 10, 2021 shall be used to purchase shares on the February 10, 2021 Exercise Date, and (ii) the Participant’s Plan Contributions, if any, accumulated during the Payroll Contribution Period applicable to the Offering Period beginning Thursday, February 11, 2021 and ending Wednesday, February 24, 2021 shall be returned to the Participant or, in the case of death, to the Participant’s beneficiary.</w:t>
      </w:r>
    </w:p>
    <w:p>
      <w:pPr>
        <w:spacing w:after="0" w:line="129" w:lineRule="exact"/>
        <w:rPr>
          <w:rFonts w:ascii="Arial" w:cs="Arial" w:eastAsia="Arial" w:hAnsi="Arial"/>
          <w:sz w:val="14"/>
          <w:szCs w:val="14"/>
          <w:color w:val="auto"/>
        </w:rPr>
      </w:pPr>
    </w:p>
    <w:p>
      <w:pPr>
        <w:ind w:left="1300" w:hanging="644"/>
        <w:spacing w:after="0"/>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Common Stock Available under the Plan</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1304"/>
        <w:spacing w:after="0" w:line="298" w:lineRule="auto"/>
        <w:tabs>
          <w:tab w:leader="none" w:pos="1935" w:val="left"/>
        </w:tabs>
        <w:numPr>
          <w:ilvl w:val="1"/>
          <w:numId w:val="76"/>
        </w:numPr>
        <w:rPr>
          <w:rFonts w:ascii="Arial" w:cs="Arial" w:eastAsia="Arial" w:hAnsi="Arial"/>
          <w:sz w:val="14"/>
          <w:szCs w:val="14"/>
          <w:color w:val="auto"/>
        </w:rPr>
      </w:pPr>
      <w:r>
        <w:rPr>
          <w:rFonts w:ascii="Arial" w:cs="Arial" w:eastAsia="Arial" w:hAnsi="Arial"/>
          <w:sz w:val="14"/>
          <w:szCs w:val="14"/>
          <w:i w:val="1"/>
          <w:iCs w:val="1"/>
          <w:color w:val="auto"/>
        </w:rPr>
        <w:t>Number of Shares</w:t>
      </w:r>
      <w:r>
        <w:rPr>
          <w:rFonts w:ascii="Arial" w:cs="Arial" w:eastAsia="Arial" w:hAnsi="Arial"/>
          <w:sz w:val="14"/>
          <w:szCs w:val="14"/>
          <w:color w:val="auto"/>
        </w:rPr>
        <w:t>. Subject to adjustment as provided in Section 14(b) below, the maximum number of shares of the Company’s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that shall be made available for sale under the Plan shall be 1,000,000 shares. Shares of Common Stock subject to the Plan may be newly issued shares or shares reacquired in private transactions or open market purchases. If and to the extent that any right to purchase reserved shares shall not be exercised by any Participant for any reason or if such right to purchase shall terminate as provided herein, shares that have not been so purchased hereunder shall again become available for the purpose of the Plan unless the Plan shall have been terminated, but all shares sold under the Plan, regardless of source, shall be counted against the limitation set forth above.</w:t>
      </w:r>
    </w:p>
    <w:p>
      <w:pPr>
        <w:spacing w:after="0" w:line="120" w:lineRule="exact"/>
        <w:rPr>
          <w:rFonts w:ascii="Arial" w:cs="Arial" w:eastAsia="Arial" w:hAnsi="Arial"/>
          <w:sz w:val="14"/>
          <w:szCs w:val="14"/>
          <w:color w:val="auto"/>
        </w:rPr>
      </w:pPr>
    </w:p>
    <w:p>
      <w:pPr>
        <w:ind w:left="1960" w:hanging="656"/>
        <w:spacing w:after="0"/>
        <w:tabs>
          <w:tab w:leader="none" w:pos="1960"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Adjustments Upon Changes in Capitalization; Corporate Transactions</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jc w:val="both"/>
        <w:ind w:firstLine="1866"/>
        <w:spacing w:after="0" w:line="256" w:lineRule="auto"/>
        <w:tabs>
          <w:tab w:leader="none" w:pos="1984" w:val="left"/>
        </w:tabs>
        <w:numPr>
          <w:ilvl w:val="3"/>
          <w:numId w:val="76"/>
        </w:numPr>
        <w:rPr>
          <w:rFonts w:ascii="Arial" w:cs="Arial" w:eastAsia="Arial" w:hAnsi="Arial"/>
          <w:sz w:val="16"/>
          <w:szCs w:val="16"/>
          <w:color w:val="auto"/>
        </w:rPr>
      </w:pPr>
      <w:r>
        <w:rPr>
          <w:rFonts w:ascii="Arial" w:cs="Arial" w:eastAsia="Arial" w:hAnsi="Arial"/>
          <w:sz w:val="16"/>
          <w:szCs w:val="16"/>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then the Committee shall, in such manner as it may deem equitable, substitute, exchange or adjust any or all of the number and/or kind of shares, and the per-share option price thereof, which may be issued in the aggregate and to any Participant upon exercise of options granted under the Plan.</w:t>
      </w:r>
    </w:p>
    <w:p>
      <w:pPr>
        <w:spacing w:after="0" w:line="159" w:lineRule="exact"/>
        <w:rPr>
          <w:rFonts w:ascii="Arial" w:cs="Arial" w:eastAsia="Arial" w:hAnsi="Arial"/>
          <w:sz w:val="16"/>
          <w:szCs w:val="16"/>
          <w:color w:val="auto"/>
        </w:rPr>
      </w:pPr>
    </w:p>
    <w:p>
      <w:pPr>
        <w:ind w:firstLine="1821"/>
        <w:spacing w:after="0" w:line="275" w:lineRule="auto"/>
        <w:tabs>
          <w:tab w:leader="none" w:pos="2011" w:val="left"/>
        </w:tabs>
        <w:numPr>
          <w:ilvl w:val="3"/>
          <w:numId w:val="76"/>
        </w:numPr>
        <w:rPr>
          <w:rFonts w:ascii="Arial" w:cs="Arial" w:eastAsia="Arial" w:hAnsi="Arial"/>
          <w:sz w:val="16"/>
          <w:szCs w:val="16"/>
          <w:color w:val="auto"/>
        </w:rPr>
      </w:pPr>
      <w:r>
        <w:rPr>
          <w:rFonts w:ascii="Arial" w:cs="Arial" w:eastAsia="Arial" w:hAnsi="Arial"/>
          <w:sz w:val="16"/>
          <w:szCs w:val="16"/>
          <w:color w:val="auto"/>
        </w:rPr>
        <w:t>In the event of the proposed dissolution or liquidation of the Company, the Offering Period will terminate immediately prior to the consummation of such proposed action, unless otherwise provided by the Committee.</w:t>
      </w:r>
    </w:p>
    <w:p>
      <w:pPr>
        <w:spacing w:after="0" w:line="131" w:lineRule="exact"/>
        <w:rPr>
          <w:rFonts w:ascii="Arial" w:cs="Arial" w:eastAsia="Arial" w:hAnsi="Arial"/>
          <w:sz w:val="16"/>
          <w:szCs w:val="16"/>
          <w:color w:val="auto"/>
        </w:rPr>
      </w:pPr>
    </w:p>
    <w:p>
      <w:pPr>
        <w:jc w:val="both"/>
        <w:ind w:firstLine="1776"/>
        <w:spacing w:after="0" w:line="286" w:lineRule="auto"/>
        <w:tabs>
          <w:tab w:leader="none" w:pos="1998" w:val="left"/>
        </w:tabs>
        <w:numPr>
          <w:ilvl w:val="3"/>
          <w:numId w:val="76"/>
        </w:numPr>
        <w:rPr>
          <w:rFonts w:ascii="Arial" w:cs="Arial" w:eastAsia="Arial" w:hAnsi="Arial"/>
          <w:sz w:val="14"/>
          <w:szCs w:val="14"/>
          <w:color w:val="auto"/>
        </w:rPr>
      </w:pPr>
      <w:r>
        <w:rPr>
          <w:rFonts w:ascii="Arial" w:cs="Arial" w:eastAsia="Arial" w:hAnsi="Arial"/>
          <w:sz w:val="14"/>
          <w:szCs w:val="14"/>
          <w:color w:val="auto"/>
        </w:rPr>
        <w:t>In the event of a proposed sale of all or substantially all of the Company’s assets, or the merger of the Company with or into another corporation (each, a “Sale Transaction”),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to shorten the Offering Period then in progress by setting a new Exercise Date (the “New Exercise Date”). If the Committee shortens the Offering Period then in progress in lieu of assumption or substitution in the event of a Sale Transaction, the Committee shall notify each Participant in writing, at least one (1) calendar day prior to the New Exercise Date, that the exercise date for such Participant’s option has been changed to the New Exercise Date and that such Participant’s option will be exercised automatically on the New Exercise Date, unless prior to such date the Participant has withdrawn from the Plan as provided in Section 13(a). For purposes of this Section 14(b), an option granted under the Plan shall be deemed to have been assumed if, following the Sale Transaction, the option confers the right to purchase, for each share of option stock subject to the option immediately prior to the Sale Transaction, the consideration (whether stock, cash or other securities or property) received in the Sale Transaction by holders of Common Stock for each share of Common Stock held on the effective date of the Sale Transaction (and if such holders were offered a choice of consideration, the type of consideration chosen by the holders of a majority of the outstanding shares of Common Stock); provided, that if the consideration received in the Sale Transaction was not solely common stock of the successor corporation or its parent (as defined in Section 424(e) of the Code), the Committee may, with the consent of the successor corporation, provide for the consideration to be received upon exercise of the option to be solely common stock of the successor corporation or its parent equal in fair market value (as determined by the Committee in its sole and absolute discretion) to the per share consideration received by the holders of Common Stock in the Sale Transaction.</w:t>
      </w:r>
    </w:p>
    <w:p>
      <w:pPr>
        <w:spacing w:after="0" w:line="135" w:lineRule="exact"/>
        <w:rPr>
          <w:rFonts w:ascii="Arial" w:cs="Arial" w:eastAsia="Arial" w:hAnsi="Arial"/>
          <w:sz w:val="14"/>
          <w:szCs w:val="14"/>
          <w:color w:val="auto"/>
        </w:rPr>
      </w:pPr>
    </w:p>
    <w:p>
      <w:pPr>
        <w:jc w:val="both"/>
        <w:ind w:firstLine="1785"/>
        <w:spacing w:after="0" w:line="261" w:lineRule="auto"/>
        <w:tabs>
          <w:tab w:leader="none" w:pos="1987" w:val="left"/>
        </w:tabs>
        <w:numPr>
          <w:ilvl w:val="2"/>
          <w:numId w:val="76"/>
        </w:numPr>
        <w:rPr>
          <w:rFonts w:ascii="Arial" w:cs="Arial" w:eastAsia="Arial" w:hAnsi="Arial"/>
          <w:sz w:val="16"/>
          <w:szCs w:val="16"/>
          <w:color w:val="auto"/>
        </w:rPr>
      </w:pPr>
      <w:r>
        <w:rPr>
          <w:rFonts w:ascii="Arial" w:cs="Arial" w:eastAsia="Arial" w:hAnsi="Arial"/>
          <w:sz w:val="16"/>
          <w:szCs w:val="16"/>
          <w:color w:val="auto"/>
        </w:rPr>
        <w:t>In all cases, the Committee shall have sole discretion to exercise any of the powers and authority provided under this Section 14, and the Committee’s actions hereunder shall be final and binding on all Participants. Fractional shares of Common Stock may be issued under the Plan pursuant to any adjustment authorized under the provisions of this Section 14.</w:t>
      </w:r>
    </w:p>
    <w:p>
      <w:pPr>
        <w:spacing w:after="0" w:line="155" w:lineRule="exact"/>
        <w:rPr>
          <w:rFonts w:ascii="Arial" w:cs="Arial" w:eastAsia="Arial" w:hAnsi="Arial"/>
          <w:sz w:val="16"/>
          <w:szCs w:val="16"/>
          <w:color w:val="auto"/>
        </w:rPr>
      </w:pPr>
    </w:p>
    <w:p>
      <w:pPr>
        <w:ind w:left="1300" w:hanging="644"/>
        <w:spacing w:after="0"/>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firstLine="1304"/>
        <w:spacing w:after="0" w:line="275" w:lineRule="auto"/>
        <w:tabs>
          <w:tab w:leader="none" w:pos="1935"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Committee</w:t>
      </w:r>
      <w:r>
        <w:rPr>
          <w:rFonts w:ascii="Arial" w:cs="Arial" w:eastAsia="Arial" w:hAnsi="Arial"/>
          <w:sz w:val="16"/>
          <w:szCs w:val="16"/>
          <w:color w:val="auto"/>
        </w:rPr>
        <w:t>. The Plan shall be administered by the Committee. The Committee shall have the authority to interpret the Plan, to prescribe,</w:t>
      </w:r>
      <w:r>
        <w:rPr>
          <w:rFonts w:ascii="Arial" w:cs="Arial" w:eastAsia="Arial" w:hAnsi="Arial"/>
          <w:sz w:val="16"/>
          <w:szCs w:val="16"/>
          <w:i w:val="1"/>
          <w:iCs w:val="1"/>
          <w:color w:val="auto"/>
        </w:rPr>
        <w:t xml:space="preserve"> </w:t>
      </w:r>
      <w:r>
        <w:rPr>
          <w:rFonts w:ascii="Arial" w:cs="Arial" w:eastAsia="Arial" w:hAnsi="Arial"/>
          <w:sz w:val="16"/>
          <w:szCs w:val="16"/>
          <w:color w:val="auto"/>
        </w:rPr>
        <w:t>amend and rescind rules and regulations relating to the Plan, and to make all other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59" w:right="339" w:bottom="1440" w:gutter="0" w:footer="0" w:header="0"/>
        </w:sectPr>
      </w:pPr>
    </w:p>
    <w:bookmarkStart w:id="129" w:name="page130"/>
    <w:bookmarkEnd w:id="129"/>
    <w:p>
      <w:pPr>
        <w:ind w:right="20"/>
        <w:spacing w:after="0" w:line="275" w:lineRule="auto"/>
        <w:rPr>
          <w:sz w:val="20"/>
          <w:szCs w:val="20"/>
          <w:color w:val="auto"/>
        </w:rPr>
      </w:pPr>
      <w:r>
        <w:rPr>
          <w:rFonts w:ascii="Arial" w:cs="Arial" w:eastAsia="Arial" w:hAnsi="Arial"/>
          <w:sz w:val="16"/>
          <w:szCs w:val="16"/>
          <w:color w:val="auto"/>
        </w:rPr>
        <w:t>determinations necessary or advisable for the administration of the Plan. The administration, interpretation, or application of the Plan by the Committee shall be final, conclusive and binding upon all persons.</w:t>
      </w:r>
    </w:p>
    <w:p>
      <w:pPr>
        <w:spacing w:after="0" w:line="132" w:lineRule="exact"/>
        <w:rPr>
          <w:sz w:val="20"/>
          <w:szCs w:val="20"/>
          <w:color w:val="auto"/>
        </w:rPr>
      </w:pPr>
    </w:p>
    <w:p>
      <w:pPr>
        <w:jc w:val="both"/>
        <w:ind w:right="20" w:firstLine="1304"/>
        <w:spacing w:after="0" w:line="256" w:lineRule="auto"/>
        <w:tabs>
          <w:tab w:leader="none" w:pos="1944" w:val="left"/>
        </w:tabs>
        <w:numPr>
          <w:ilvl w:val="2"/>
          <w:numId w:val="77"/>
        </w:numPr>
        <w:rPr>
          <w:rFonts w:ascii="Arial" w:cs="Arial" w:eastAsia="Arial" w:hAnsi="Arial"/>
          <w:sz w:val="16"/>
          <w:szCs w:val="16"/>
          <w:color w:val="auto"/>
        </w:rPr>
      </w:pPr>
      <w:r>
        <w:rPr>
          <w:rFonts w:ascii="Arial" w:cs="Arial" w:eastAsia="Arial" w:hAnsi="Arial"/>
          <w:sz w:val="16"/>
          <w:szCs w:val="16"/>
          <w:i w:val="1"/>
          <w:iCs w:val="1"/>
          <w:color w:val="auto"/>
        </w:rPr>
        <w:t>Requirements of Exchange Act</w:t>
      </w:r>
      <w:r>
        <w:rPr>
          <w:rFonts w:ascii="Arial" w:cs="Arial" w:eastAsia="Arial" w:hAnsi="Arial"/>
          <w:sz w:val="16"/>
          <w:szCs w:val="16"/>
          <w:color w:val="auto"/>
        </w:rPr>
        <w:t>. Notwithstanding the provisions of Section 15(a) above, in the event that Rule 16b-3 promulgated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or any successor provision thereto (“Rule 16b-3”) provides specific requirements for the administrators of plans of this type, the Plan shall only be administered by such body and in such a manner as shall comply with the applicable requirements of Rule 16b-3. Unless permitted by Rule 16b-3, no discretion concerning decisions regarding the Plan shall be afforded to any person that is not “disinterested” as that term is used in Rule 16b-3.</w:t>
      </w:r>
    </w:p>
    <w:p>
      <w:pPr>
        <w:spacing w:after="0" w:line="159" w:lineRule="exact"/>
        <w:rPr>
          <w:rFonts w:ascii="Arial" w:cs="Arial" w:eastAsia="Arial" w:hAnsi="Arial"/>
          <w:sz w:val="16"/>
          <w:szCs w:val="16"/>
          <w:color w:val="auto"/>
        </w:rPr>
      </w:pPr>
    </w:p>
    <w:p>
      <w:pPr>
        <w:ind w:left="1300" w:hanging="644"/>
        <w:spacing w:after="0"/>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Amendment, Suspension, and Termination of the Plan</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left="1940" w:hanging="636"/>
        <w:spacing w:after="0"/>
        <w:tabs>
          <w:tab w:leader="none" w:pos="1940" w:val="left"/>
        </w:tabs>
        <w:numPr>
          <w:ilvl w:val="2"/>
          <w:numId w:val="78"/>
        </w:numPr>
        <w:rPr>
          <w:rFonts w:ascii="Arial" w:cs="Arial" w:eastAsia="Arial" w:hAnsi="Arial"/>
          <w:sz w:val="15"/>
          <w:szCs w:val="15"/>
          <w:color w:val="auto"/>
        </w:rPr>
      </w:pPr>
      <w:r>
        <w:rPr>
          <w:rFonts w:ascii="Arial" w:cs="Arial" w:eastAsia="Arial" w:hAnsi="Arial"/>
          <w:sz w:val="15"/>
          <w:szCs w:val="15"/>
          <w:i w:val="1"/>
          <w:iCs w:val="1"/>
          <w:color w:val="auto"/>
        </w:rPr>
        <w:t>Amendment of the Plan</w:t>
      </w:r>
      <w:r>
        <w:rPr>
          <w:rFonts w:ascii="Arial" w:cs="Arial" w:eastAsia="Arial" w:hAnsi="Arial"/>
          <w:sz w:val="15"/>
          <w:szCs w:val="15"/>
          <w:color w:val="auto"/>
        </w:rPr>
        <w:t>. The Board or the Committee may at any time, or from time to time, amend the Plan in any respect; provided, that</w:t>
      </w:r>
    </w:p>
    <w:p>
      <w:pPr>
        <w:spacing w:after="0" w:line="30" w:lineRule="exact"/>
        <w:rPr>
          <w:rFonts w:ascii="Arial" w:cs="Arial" w:eastAsia="Arial" w:hAnsi="Arial"/>
          <w:sz w:val="15"/>
          <w:szCs w:val="15"/>
          <w:color w:val="auto"/>
        </w:rPr>
      </w:pPr>
    </w:p>
    <w:p>
      <w:pPr>
        <w:jc w:val="both"/>
        <w:ind w:firstLine="8"/>
        <w:spacing w:after="0" w:line="249" w:lineRule="auto"/>
        <w:tabs>
          <w:tab w:leader="none" w:pos="1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such amendment may make any change in any option theretofore granted which adversely affects the rights of any Participant and (ii) the Plan may not be amended in any way that will cause rights issued under the Plan to fail to meet the requirements for employee stock purchase plans as defined in Section 423 of the Code or any successor thereto. To the extent necessary to comply with Rule 16b-3 under the Exchange Act, Section 423 of the Code, or any other applicable law or regulation, the Company shall obtain shareholder approval of any such amendment. The Committee is permitted to allocate and delegate its authority to amend the Plan to certain other person or persons that it deems appropriate, subject to any limitations as the Committee may provide.</w:t>
      </w:r>
    </w:p>
    <w:p>
      <w:pPr>
        <w:spacing w:after="0" w:line="152" w:lineRule="exact"/>
        <w:rPr>
          <w:rFonts w:ascii="Arial" w:cs="Arial" w:eastAsia="Arial" w:hAnsi="Arial"/>
          <w:sz w:val="16"/>
          <w:szCs w:val="16"/>
          <w:color w:val="auto"/>
        </w:rPr>
      </w:pPr>
    </w:p>
    <w:p>
      <w:pPr>
        <w:jc w:val="both"/>
        <w:ind w:firstLine="1304"/>
        <w:spacing w:after="0" w:line="252" w:lineRule="auto"/>
        <w:tabs>
          <w:tab w:leader="none" w:pos="1944" w:val="left"/>
        </w:tabs>
        <w:numPr>
          <w:ilvl w:val="2"/>
          <w:numId w:val="79"/>
        </w:numPr>
        <w:rPr>
          <w:rFonts w:ascii="Arial" w:cs="Arial" w:eastAsia="Arial" w:hAnsi="Arial"/>
          <w:sz w:val="16"/>
          <w:szCs w:val="16"/>
          <w:color w:val="auto"/>
        </w:rPr>
      </w:pPr>
      <w:r>
        <w:rPr>
          <w:rFonts w:ascii="Arial" w:cs="Arial" w:eastAsia="Arial" w:hAnsi="Arial"/>
          <w:sz w:val="16"/>
          <w:szCs w:val="16"/>
          <w:i w:val="1"/>
          <w:iCs w:val="1"/>
          <w:color w:val="auto"/>
        </w:rPr>
        <w:t>Suspension of the Plan</w:t>
      </w:r>
      <w:r>
        <w:rPr>
          <w:rFonts w:ascii="Arial" w:cs="Arial" w:eastAsia="Arial" w:hAnsi="Arial"/>
          <w:sz w:val="16"/>
          <w:szCs w:val="16"/>
          <w:color w:val="auto"/>
        </w:rPr>
        <w:t>. The Board or the Committee may, as of the close of any Exercise Date, suspend the Plan; provided, that the Board or</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provides notice to the Participants at least one (1) calendar day prior to the suspension. The Board or Committee may resume the normal operation of the Plan as of any Exercise Date; provided further, that the Board or Committee provides notice to the Participants at least one (1) calendar day prior to the date of termination of the suspension period. A Participant shall remain a Participant in the Plan during any suspension period (unless he or she withdraws pursuant to Section 13(a)), however no options shall be granted or exercised, and no payroll deductions shall be made in respect of any Participant during the suspension period. The Plan shall resume its normal operation upon termination of a suspension period.</w:t>
      </w:r>
    </w:p>
    <w:p>
      <w:pPr>
        <w:spacing w:after="0" w:line="163" w:lineRule="exact"/>
        <w:rPr>
          <w:rFonts w:ascii="Arial" w:cs="Arial" w:eastAsia="Arial" w:hAnsi="Arial"/>
          <w:sz w:val="16"/>
          <w:szCs w:val="16"/>
          <w:color w:val="auto"/>
        </w:rPr>
      </w:pPr>
    </w:p>
    <w:p>
      <w:pPr>
        <w:ind w:left="1940" w:hanging="636"/>
        <w:spacing w:after="0"/>
        <w:tabs>
          <w:tab w:leader="none" w:pos="1940" w:val="left"/>
        </w:tabs>
        <w:numPr>
          <w:ilvl w:val="2"/>
          <w:numId w:val="79"/>
        </w:numPr>
        <w:rPr>
          <w:rFonts w:ascii="Arial" w:cs="Arial" w:eastAsia="Arial" w:hAnsi="Arial"/>
          <w:sz w:val="16"/>
          <w:szCs w:val="16"/>
          <w:color w:val="auto"/>
        </w:rPr>
      </w:pPr>
      <w:r>
        <w:rPr>
          <w:rFonts w:ascii="Arial" w:cs="Arial" w:eastAsia="Arial" w:hAnsi="Arial"/>
          <w:sz w:val="16"/>
          <w:szCs w:val="16"/>
          <w:i w:val="1"/>
          <w:iCs w:val="1"/>
          <w:color w:val="auto"/>
        </w:rPr>
        <w:t>Termination of the Plan</w:t>
      </w:r>
      <w:r>
        <w:rPr>
          <w:rFonts w:ascii="Arial" w:cs="Arial" w:eastAsia="Arial" w:hAnsi="Arial"/>
          <w:sz w:val="16"/>
          <w:szCs w:val="16"/>
          <w:color w:val="auto"/>
        </w:rPr>
        <w:t>. The Plan and all rights of Employees hereunder shall terminate on the earliest of:</w:t>
      </w:r>
    </w:p>
    <w:p>
      <w:pPr>
        <w:spacing w:after="0" w:line="180" w:lineRule="exact"/>
        <w:rPr>
          <w:rFonts w:ascii="Arial" w:cs="Arial" w:eastAsia="Arial" w:hAnsi="Arial"/>
          <w:sz w:val="16"/>
          <w:szCs w:val="16"/>
          <w:color w:val="auto"/>
        </w:rPr>
      </w:pPr>
    </w:p>
    <w:p>
      <w:pPr>
        <w:ind w:right="20" w:firstLine="1866"/>
        <w:spacing w:after="0" w:line="275" w:lineRule="auto"/>
        <w:tabs>
          <w:tab w:leader="none" w:pos="1998" w:val="left"/>
        </w:tabs>
        <w:numPr>
          <w:ilvl w:val="3"/>
          <w:numId w:val="79"/>
        </w:numPr>
        <w:rPr>
          <w:rFonts w:ascii="Arial" w:cs="Arial" w:eastAsia="Arial" w:hAnsi="Arial"/>
          <w:sz w:val="16"/>
          <w:szCs w:val="16"/>
          <w:color w:val="auto"/>
        </w:rPr>
      </w:pPr>
      <w:r>
        <w:rPr>
          <w:rFonts w:ascii="Arial" w:cs="Arial" w:eastAsia="Arial" w:hAnsi="Arial"/>
          <w:sz w:val="16"/>
          <w:szCs w:val="16"/>
          <w:color w:val="auto"/>
        </w:rPr>
        <w:t>the Exercise Date that Participants become entitled to purchase a number of shares greater than the number of reserved shares remaining available for purchase under the Plan;</w:t>
      </w:r>
    </w:p>
    <w:p>
      <w:pPr>
        <w:spacing w:after="0" w:line="131" w:lineRule="exact"/>
        <w:rPr>
          <w:rFonts w:ascii="Arial" w:cs="Arial" w:eastAsia="Arial" w:hAnsi="Arial"/>
          <w:sz w:val="16"/>
          <w:szCs w:val="16"/>
          <w:color w:val="auto"/>
        </w:rPr>
      </w:pPr>
    </w:p>
    <w:p>
      <w:pPr>
        <w:ind w:left="2000" w:hanging="179"/>
        <w:spacing w:after="0"/>
        <w:tabs>
          <w:tab w:leader="none" w:pos="2000" w:val="left"/>
        </w:tabs>
        <w:numPr>
          <w:ilvl w:val="3"/>
          <w:numId w:val="79"/>
        </w:numPr>
        <w:rPr>
          <w:rFonts w:ascii="Arial" w:cs="Arial" w:eastAsia="Arial" w:hAnsi="Arial"/>
          <w:sz w:val="16"/>
          <w:szCs w:val="16"/>
          <w:color w:val="auto"/>
        </w:rPr>
      </w:pPr>
      <w:r>
        <w:rPr>
          <w:rFonts w:ascii="Arial" w:cs="Arial" w:eastAsia="Arial" w:hAnsi="Arial"/>
          <w:sz w:val="16"/>
          <w:szCs w:val="16"/>
          <w:color w:val="auto"/>
        </w:rPr>
        <w:t>such date as is determined by the Board in its discretion; or</w:t>
      </w:r>
    </w:p>
    <w:p>
      <w:pPr>
        <w:spacing w:after="0" w:line="194" w:lineRule="exact"/>
        <w:rPr>
          <w:rFonts w:ascii="Arial" w:cs="Arial" w:eastAsia="Arial" w:hAnsi="Arial"/>
          <w:sz w:val="16"/>
          <w:szCs w:val="16"/>
          <w:color w:val="auto"/>
        </w:rPr>
      </w:pPr>
    </w:p>
    <w:p>
      <w:pPr>
        <w:ind w:left="2000" w:hanging="224"/>
        <w:spacing w:after="0"/>
        <w:tabs>
          <w:tab w:leader="none" w:pos="2000" w:val="left"/>
        </w:tabs>
        <w:numPr>
          <w:ilvl w:val="3"/>
          <w:numId w:val="79"/>
        </w:numPr>
        <w:rPr>
          <w:rFonts w:ascii="Arial" w:cs="Arial" w:eastAsia="Arial" w:hAnsi="Arial"/>
          <w:sz w:val="16"/>
          <w:szCs w:val="16"/>
          <w:color w:val="auto"/>
        </w:rPr>
      </w:pPr>
      <w:r>
        <w:rPr>
          <w:rFonts w:ascii="Arial" w:cs="Arial" w:eastAsia="Arial" w:hAnsi="Arial"/>
          <w:sz w:val="16"/>
          <w:szCs w:val="16"/>
          <w:color w:val="auto"/>
        </w:rPr>
        <w:t>the last Exercise Date immediately preceding the tenth (10th) anniversary of the Restatement Effective Date.</w:t>
      </w:r>
    </w:p>
    <w:p>
      <w:pPr>
        <w:spacing w:after="0" w:line="181"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In the event that the Plan terminates under circumstances described in Section 16(c)(i) above, reserved shares remaining as of the termination date shall be sold to Participants on a pro rata basis, based on the relative value of their cash account balances in the Plan as of the termination date.</w:t>
      </w:r>
    </w:p>
    <w:p>
      <w:pPr>
        <w:spacing w:after="0" w:line="132" w:lineRule="exact"/>
        <w:rPr>
          <w:sz w:val="20"/>
          <w:szCs w:val="20"/>
          <w:color w:val="auto"/>
        </w:rPr>
      </w:pPr>
    </w:p>
    <w:p>
      <w:pPr>
        <w:ind w:right="20" w:firstLine="656"/>
        <w:spacing w:after="0" w:line="275" w:lineRule="auto"/>
        <w:tabs>
          <w:tab w:leader="none" w:pos="1296"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w:t>
      </w:r>
      <w:r>
        <w:rPr>
          <w:rFonts w:ascii="Arial" w:cs="Arial" w:eastAsia="Arial" w:hAnsi="Arial"/>
          <w:sz w:val="16"/>
          <w:szCs w:val="16"/>
          <w:i w:val="1"/>
          <w:iCs w:val="1"/>
          <w:color w:val="auto"/>
        </w:rPr>
        <w:t xml:space="preserve"> </w:t>
      </w:r>
      <w:r>
        <w:rPr>
          <w:rFonts w:ascii="Arial" w:cs="Arial" w:eastAsia="Arial" w:hAnsi="Arial"/>
          <w:sz w:val="16"/>
          <w:szCs w:val="16"/>
          <w:color w:val="auto"/>
        </w:rPr>
        <w:t>given when received in the form specified by the Company at the location, or by the person, designated by the Company for the receipt thereof.</w:t>
      </w:r>
    </w:p>
    <w:p>
      <w:pPr>
        <w:spacing w:after="0" w:line="145" w:lineRule="exact"/>
        <w:rPr>
          <w:rFonts w:ascii="Arial" w:cs="Arial" w:eastAsia="Arial" w:hAnsi="Arial"/>
          <w:sz w:val="16"/>
          <w:szCs w:val="16"/>
          <w:color w:val="auto"/>
        </w:rPr>
      </w:pPr>
    </w:p>
    <w:p>
      <w:pPr>
        <w:ind w:firstLine="656"/>
        <w:spacing w:after="0" w:line="275" w:lineRule="auto"/>
        <w:tabs>
          <w:tab w:leader="none" w:pos="1296"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Expenses of the Plan</w:t>
      </w:r>
      <w:r>
        <w:rPr>
          <w:rFonts w:ascii="Arial" w:cs="Arial" w:eastAsia="Arial" w:hAnsi="Arial"/>
          <w:sz w:val="16"/>
          <w:szCs w:val="16"/>
          <w:color w:val="auto"/>
        </w:rPr>
        <w:t>. All costs and expenses incurred in administering the Plan shall be paid by the Company, except that any stamp duties or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taxes applicable to participation in the Plan may be charged to the account of such Participant by the Company.</w:t>
      </w:r>
    </w:p>
    <w:p>
      <w:pPr>
        <w:spacing w:after="0" w:line="131" w:lineRule="exact"/>
        <w:rPr>
          <w:rFonts w:ascii="Arial" w:cs="Arial" w:eastAsia="Arial" w:hAnsi="Arial"/>
          <w:sz w:val="16"/>
          <w:szCs w:val="16"/>
          <w:color w:val="auto"/>
        </w:rPr>
      </w:pPr>
    </w:p>
    <w:p>
      <w:pPr>
        <w:jc w:val="both"/>
        <w:ind w:firstLine="656"/>
        <w:spacing w:after="0" w:line="286" w:lineRule="auto"/>
        <w:tabs>
          <w:tab w:leader="none" w:pos="1296"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No Employment Rights</w:t>
      </w:r>
      <w:r>
        <w:rPr>
          <w:rFonts w:ascii="Arial" w:cs="Arial" w:eastAsia="Arial" w:hAnsi="Arial"/>
          <w:sz w:val="15"/>
          <w:szCs w:val="15"/>
          <w:color w:val="auto"/>
        </w:rPr>
        <w:t>. The Plan does not, directly or indirectly, create any right for the benefit of any employee or class of employees to purchase any</w:t>
      </w:r>
      <w:r>
        <w:rPr>
          <w:rFonts w:ascii="Arial" w:cs="Arial" w:eastAsia="Arial" w:hAnsi="Arial"/>
          <w:sz w:val="15"/>
          <w:szCs w:val="15"/>
          <w:i w:val="1"/>
          <w:iCs w:val="1"/>
          <w:color w:val="auto"/>
        </w:rPr>
        <w:t xml:space="preserve"> </w:t>
      </w:r>
      <w:r>
        <w:rPr>
          <w:rFonts w:ascii="Arial" w:cs="Arial" w:eastAsia="Arial" w:hAnsi="Arial"/>
          <w:sz w:val="15"/>
          <w:szCs w:val="15"/>
          <w:color w:val="auto"/>
        </w:rPr>
        <w:t>shares under the Plan, or create in any employee or class of employees any right with respect to continuation of employment by the Company or any Subsidiary, and it shall not be deemed to interfere in any way with the right of the Company or any Subsidiary to terminate, or otherwise modify, an employee’s employment at any time.</w:t>
      </w:r>
    </w:p>
    <w:p>
      <w:pPr>
        <w:spacing w:after="0" w:line="125" w:lineRule="exact"/>
        <w:rPr>
          <w:rFonts w:ascii="Arial" w:cs="Arial" w:eastAsia="Arial" w:hAnsi="Arial"/>
          <w:sz w:val="15"/>
          <w:szCs w:val="15"/>
          <w:color w:val="auto"/>
        </w:rPr>
      </w:pPr>
    </w:p>
    <w:p>
      <w:pPr>
        <w:ind w:firstLine="656"/>
        <w:spacing w:after="0" w:line="275" w:lineRule="auto"/>
        <w:tabs>
          <w:tab w:leader="none" w:pos="1296"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Applicable Law</w:t>
      </w:r>
      <w:r>
        <w:rPr>
          <w:rFonts w:ascii="Arial" w:cs="Arial" w:eastAsia="Arial" w:hAnsi="Arial"/>
          <w:sz w:val="16"/>
          <w:szCs w:val="16"/>
          <w:color w:val="auto"/>
        </w:rPr>
        <w:t>. The internal laws of the State of Florida shall govern all matter relating to this Plan except to the extent (if any) superseded by the laws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United States.</w:t>
      </w:r>
    </w:p>
    <w:p>
      <w:pPr>
        <w:spacing w:after="0" w:line="145" w:lineRule="exact"/>
        <w:rPr>
          <w:rFonts w:ascii="Arial" w:cs="Arial" w:eastAsia="Arial" w:hAnsi="Arial"/>
          <w:sz w:val="16"/>
          <w:szCs w:val="16"/>
          <w:color w:val="auto"/>
        </w:rPr>
      </w:pPr>
    </w:p>
    <w:p>
      <w:pPr>
        <w:jc w:val="both"/>
        <w:ind w:firstLine="656"/>
        <w:spacing w:after="0" w:line="256" w:lineRule="auto"/>
        <w:tabs>
          <w:tab w:leader="none" w:pos="1296"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Additional Restrictions of Rule 16b-3</w:t>
      </w:r>
      <w:r>
        <w:rPr>
          <w:rFonts w:ascii="Arial" w:cs="Arial" w:eastAsia="Arial" w:hAnsi="Arial"/>
          <w:sz w:val="16"/>
          <w:szCs w:val="16"/>
          <w:color w:val="auto"/>
        </w:rPr>
        <w:t>. The terms and conditions of options granted hereunder to, and the purchase of shares by, persons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 of the Exchange Act shall comply with the applicable provisions of Rule 16b-3. This Plan shall be deemed to contain, and such options shall contain, and the shares issued upon exercise thereof shall be subject to, such additional conditions and restrictions as may be required by Rule 16b-3 to qualify for the maximum exemption from Section 16 of the Exchange Act with respect to Plan transactions.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59" w:right="339" w:bottom="1440" w:gutter="0" w:footer="0" w:header="0"/>
        </w:sectPr>
      </w:pPr>
    </w:p>
    <w:bookmarkStart w:id="130" w:name="page131"/>
    <w:bookmarkEnd w:id="130"/>
    <w:p>
      <w:pPr>
        <w:ind w:left="-20" w:firstLine="656"/>
        <w:spacing w:after="0" w:line="275" w:lineRule="auto"/>
        <w:tabs>
          <w:tab w:leader="none" w:pos="1276"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Effective Date</w:t>
      </w:r>
      <w:r>
        <w:rPr>
          <w:rFonts w:ascii="Arial" w:cs="Arial" w:eastAsia="Arial" w:hAnsi="Arial"/>
          <w:sz w:val="16"/>
          <w:szCs w:val="16"/>
          <w:color w:val="auto"/>
        </w:rPr>
        <w:t>. Subject to adoption of the Plan by the Board, the Plan shall become effective on the First Offering Date. The Board shall submit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shareholders of the Company for approval within twelve months after the date the Plan is adopted by the Board.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340" w:top="859" w:right="35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MasTec, Inc.</w:t>
      </w:r>
    </w:p>
    <w:p>
      <w:pPr>
        <w:spacing w:after="0" w:line="59"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SUBSIDIARIES OF MASTEC,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December 31, 2020</w:t>
      </w:r>
    </w:p>
    <w:p>
      <w:pPr>
        <w:spacing w:after="0" w:line="95"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NORTH AMERICA</w:t>
      </w:r>
    </w:p>
    <w:p>
      <w:pPr>
        <w:sectPr>
          <w:pgSz w:w="11900" w:h="16838" w:orient="portrait"/>
          <w:cols w:equalWidth="0" w:num="1">
            <w:col w:w="10200"/>
          </w:cols>
          <w:pgMar w:left="1360" w:top="895"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Cash Construction Company, Inc. (TX)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(100% owned by MasTec North America, Inc.)</w:t>
      </w:r>
    </w:p>
    <w:p>
      <w:pPr>
        <w:spacing w:after="0" w:line="150"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4"/>
          <w:szCs w:val="14"/>
          <w:color w:val="auto"/>
        </w:rPr>
        <w:t>EC Source Services, LLC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Inc.)</w:t>
      </w:r>
    </w:p>
    <w:p>
      <w:pPr>
        <w:spacing w:after="0" w:line="150"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4"/>
          <w:szCs w:val="14"/>
          <w:color w:val="auto"/>
        </w:rPr>
        <w:t>MasTec Canada, Inc. (Canada)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Pacer Construction Holdings Corporation (Canada))</w:t>
      </w:r>
    </w:p>
    <w:p>
      <w:pPr>
        <w:ind w:left="320"/>
        <w:spacing w:after="0" w:line="230" w:lineRule="auto"/>
        <w:rPr>
          <w:sz w:val="20"/>
          <w:szCs w:val="20"/>
          <w:color w:val="auto"/>
        </w:rPr>
      </w:pPr>
      <w:r>
        <w:rPr>
          <w:rFonts w:ascii="Arial" w:cs="Arial" w:eastAsia="Arial" w:hAnsi="Arial"/>
          <w:sz w:val="16"/>
          <w:szCs w:val="16"/>
          <w:color w:val="auto"/>
        </w:rPr>
        <w:t>(100% owned by MasTec Canadian Holdco ULC (Canada))</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(100% owned by MasTec Cooperateif (UA))</w:t>
      </w:r>
    </w:p>
    <w:p>
      <w:pPr>
        <w:spacing w:after="0" w:line="113"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4"/>
          <w:szCs w:val="14"/>
          <w:color w:val="auto"/>
        </w:rPr>
        <w:t>MasTec Comanche, LLC (FL)</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Arial" w:cs="Arial" w:eastAsia="Arial" w:hAnsi="Arial"/>
          <w:sz w:val="14"/>
          <w:szCs w:val="14"/>
          <w:color w:val="auto"/>
        </w:rPr>
        <w:t>(100% owned by MasTec Pipeline Holdings, LLC)</w:t>
      </w:r>
    </w:p>
    <w:p>
      <w:pPr>
        <w:spacing w:after="0" w:line="142"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MasTec Cooperateif (UA) (NL)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(99.99% owned by MasTec North America, Inc.)</w:t>
      </w:r>
    </w:p>
    <w:p>
      <w:pPr>
        <w:spacing w:after="0"/>
        <w:rPr>
          <w:sz w:val="20"/>
          <w:szCs w:val="20"/>
          <w:color w:val="auto"/>
        </w:rPr>
      </w:pPr>
      <w:r>
        <w:rPr>
          <w:rFonts w:ascii="Arial" w:cs="Arial" w:eastAsia="Arial" w:hAnsi="Arial"/>
          <w:sz w:val="15"/>
          <w:szCs w:val="15"/>
          <w:color w:val="auto"/>
        </w:rPr>
        <w:t>(0.01% owned by MasTec Foreign Holdings, LLC (FL))</w:t>
      </w:r>
    </w:p>
    <w:p>
      <w:pPr>
        <w:spacing w:after="0" w:line="116"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MasTec Lux Foreign Finance S.a 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owned by MasTec FFH, Inc. (FL))</w:t>
      </w:r>
    </w:p>
    <w:p>
      <w:pPr>
        <w:ind w:left="320"/>
        <w:spacing w:after="0"/>
        <w:rPr>
          <w:sz w:val="20"/>
          <w:szCs w:val="20"/>
          <w:color w:val="auto"/>
        </w:rPr>
      </w:pPr>
      <w:r>
        <w:rPr>
          <w:rFonts w:ascii="Arial" w:cs="Arial" w:eastAsia="Arial" w:hAnsi="Arial"/>
          <w:sz w:val="14"/>
          <w:szCs w:val="14"/>
          <w:color w:val="auto"/>
        </w:rPr>
        <w:t>(100% owned by MasTec North America, Inc.)</w:t>
      </w:r>
    </w:p>
    <w:p>
      <w:pPr>
        <w:spacing w:after="0" w:line="136"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5"/>
          <w:szCs w:val="15"/>
          <w:color w:val="auto"/>
        </w:rPr>
        <w:t>MasTec Network Solutions, LLC f/k/a Nsoro MasTec, LLC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Inc.)</w:t>
      </w:r>
    </w:p>
    <w:p>
      <w:pPr>
        <w:spacing w:after="0" w:line="149" w:lineRule="exact"/>
        <w:rPr>
          <w:sz w:val="20"/>
          <w:szCs w:val="20"/>
          <w:color w:val="auto"/>
        </w:rPr>
      </w:pPr>
    </w:p>
    <w:p>
      <w:pPr>
        <w:sectPr>
          <w:pgSz w:w="11900" w:h="16838" w:orient="portrait"/>
          <w:cols w:equalWidth="0" w:num="2">
            <w:col w:w="4200" w:space="26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5"/>
          <w:szCs w:val="15"/>
          <w:color w:val="auto"/>
        </w:rPr>
        <w:t>MasTec North America, Inc.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Inc.)</w:t>
      </w:r>
    </w:p>
    <w:p>
      <w:pPr>
        <w:spacing w:after="0" w:line="149"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5"/>
          <w:szCs w:val="15"/>
          <w:color w:val="auto"/>
        </w:rPr>
        <w:t>MasTec Pipeline Holdings, LLC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Inc.)</w:t>
      </w:r>
    </w:p>
    <w:p>
      <w:pPr>
        <w:spacing w:after="0" w:line="149"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4"/>
          <w:szCs w:val="14"/>
          <w:color w:val="auto"/>
        </w:rPr>
        <w:t>MasTec TPP, LLC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Pipeline Holdings, LLC)</w:t>
      </w:r>
    </w:p>
    <w:p>
      <w:pPr>
        <w:spacing w:after="0" w:line="150"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5"/>
          <w:szCs w:val="15"/>
          <w:color w:val="auto"/>
        </w:rPr>
        <w:t>Precision Pipeline LLC (WI)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 owned by Precision Acquisition, LLC (WI))</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(100% owned by MasTec, Inc.)</w:t>
      </w:r>
    </w:p>
    <w:p>
      <w:pPr>
        <w:spacing w:after="0" w:line="113"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5"/>
          <w:szCs w:val="15"/>
          <w:color w:val="auto"/>
        </w:rPr>
        <w:t>Pumpco, Inc. (TX)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North America, Inc.)</w:t>
      </w:r>
    </w:p>
    <w:p>
      <w:pPr>
        <w:spacing w:after="0" w:line="149"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5"/>
          <w:szCs w:val="15"/>
          <w:color w:val="auto"/>
        </w:rPr>
        <w:t>SEFNCO Communications, Inc. (CA)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North America, Inc.)</w:t>
      </w:r>
    </w:p>
    <w:p>
      <w:pPr>
        <w:spacing w:after="0" w:line="149"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rPr>
          <w:sz w:val="20"/>
          <w:szCs w:val="20"/>
          <w:color w:val="auto"/>
        </w:rPr>
      </w:pPr>
      <w:r>
        <w:rPr>
          <w:rFonts w:ascii="Arial" w:cs="Arial" w:eastAsia="Arial" w:hAnsi="Arial"/>
          <w:sz w:val="14"/>
          <w:szCs w:val="14"/>
          <w:color w:val="auto"/>
        </w:rPr>
        <w:t>Three Phase Line Construction, Inc. (NH)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 owned by MasTec, Inc.)</w:t>
      </w:r>
    </w:p>
    <w:p>
      <w:pPr>
        <w:spacing w:after="0" w:line="200"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Wanzek Construction, Inc. (ND)</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(100% owned by MasTec North America, Inc.)</w:t>
      </w:r>
    </w:p>
    <w:p>
      <w:pPr>
        <w:spacing w:after="0" w:line="200" w:lineRule="exact"/>
        <w:rPr>
          <w:sz w:val="20"/>
          <w:szCs w:val="20"/>
          <w:color w:val="auto"/>
        </w:rPr>
      </w:pPr>
    </w:p>
    <w:p>
      <w:pPr>
        <w:sectPr>
          <w:pgSz w:w="11900" w:h="16838" w:orient="portrait"/>
          <w:cols w:equalWidth="0" w:num="2">
            <w:col w:w="3740" w:space="720"/>
            <w:col w:w="5740"/>
          </w:cols>
          <w:pgMar w:left="1360" w:top="895" w:right="339" w:bottom="1440" w:gutter="0" w:footer="0" w:header="0"/>
          <w:type w:val="continuous"/>
        </w:sect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Certain other subsidiaries have been omitted because, in the aggregate, they would not constitute a significant subsidiary.</w:t>
      </w:r>
    </w:p>
    <w:p>
      <w:pPr>
        <w:sectPr>
          <w:pgSz w:w="11900" w:h="16838" w:orient="portrait"/>
          <w:cols w:equalWidth="0" w:num="1">
            <w:col w:w="10200"/>
          </w:cols>
          <w:pgMar w:left="1360" w:top="895" w:right="3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333-235597) and Form S-8 (Nos. 333-139996, 333-112010, 333-105781, 333-105516, 333-38932, 333-77823, 333-47003, 333-38940, 333-30647, 333-174922, 333-188974, 333-209061, 333-64568, 033-55327 and 333-22465) of MasTec, Inc. of our reports dated February 25, 2021 relating to the consolidated financial statements and financial schedule, and the effectiveness of MasTec, Inc.’s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BDO USA,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Miami, Florida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ectPr>
          <w:pgSz w:w="11900" w:h="16838" w:orient="portrait"/>
          <w:cols w:equalWidth="0" w:num="1">
            <w:col w:w="11240"/>
          </w:cols>
          <w:pgMar w:left="320" w:top="895" w:right="339" w:bottom="1440" w:gutter="0" w:footer="0" w:header="0"/>
        </w:sectPr>
      </w:pPr>
    </w:p>
    <w:bookmarkStart w:id="133" w:name="page134"/>
    <w:bookmarkEnd w:id="133"/>
    <w:p>
      <w:pPr>
        <w:ind w:left="10400"/>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Form 10-K of MasTec, Inc.;</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sz w:val="20"/>
          <w:szCs w:val="20"/>
          <w:color w:val="auto"/>
        </w:rPr>
      </w:pPr>
    </w:p>
    <w:p>
      <w:pPr>
        <w:jc w:val="both"/>
        <w:ind w:left="460" w:hanging="7"/>
        <w:spacing w:after="0" w:line="261" w:lineRule="auto"/>
        <w:tabs>
          <w:tab w:leader="none" w:pos="683"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6"/>
          <w:szCs w:val="16"/>
          <w:color w:val="auto"/>
        </w:rPr>
      </w:pPr>
    </w:p>
    <w:p>
      <w:pPr>
        <w:jc w:val="both"/>
        <w:ind w:left="460" w:hanging="7"/>
        <w:spacing w:after="0" w:line="261" w:lineRule="auto"/>
        <w:tabs>
          <w:tab w:leader="none" w:pos="698"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6"/>
          <w:szCs w:val="16"/>
          <w:color w:val="auto"/>
        </w:rPr>
      </w:pPr>
    </w:p>
    <w:p>
      <w:pPr>
        <w:ind w:left="460" w:hanging="7"/>
        <w:spacing w:after="0" w:line="275" w:lineRule="auto"/>
        <w:tabs>
          <w:tab w:leader="none" w:pos="704" w:val="left"/>
        </w:tabs>
        <w:numPr>
          <w:ilvl w:val="0"/>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jc w:val="both"/>
        <w:ind w:left="460" w:hanging="7"/>
        <w:spacing w:after="0" w:line="261" w:lineRule="auto"/>
        <w:tabs>
          <w:tab w:leader="none" w:pos="697" w:val="left"/>
        </w:tabs>
        <w:numPr>
          <w:ilvl w:val="0"/>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left="460" w:hanging="7"/>
        <w:spacing w:after="0" w:line="275" w:lineRule="auto"/>
        <w:tabs>
          <w:tab w:leader="none" w:pos="682" w:val="left"/>
        </w:tabs>
        <w:numPr>
          <w:ilvl w:val="0"/>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460" w:hanging="7"/>
        <w:spacing w:after="0" w:line="275" w:lineRule="auto"/>
        <w:tabs>
          <w:tab w:leader="none" w:pos="702"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25, 2021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003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José R. Mas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ind w:left="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34" w:name="page135"/>
    <w:bookmarkEnd w:id="134"/>
    <w:p>
      <w:pPr>
        <w:ind w:left="10400"/>
        <w:spacing w:after="0"/>
        <w:rPr>
          <w:sz w:val="20"/>
          <w:szCs w:val="20"/>
          <w:color w:val="auto"/>
        </w:rPr>
      </w:pPr>
      <w:r>
        <w:rPr>
          <w:rFonts w:ascii="Arial" w:cs="Arial" w:eastAsia="Arial" w:hAnsi="Arial"/>
          <w:sz w:val="15"/>
          <w:szCs w:val="15"/>
          <w:b w:val="1"/>
          <w:bCs w:val="1"/>
          <w:color w:val="auto"/>
        </w:rPr>
        <w:t>Exhibit 31.2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Form 10-K of MasTec, Inc.;</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sz w:val="20"/>
          <w:szCs w:val="20"/>
          <w:color w:val="auto"/>
        </w:rPr>
      </w:pPr>
    </w:p>
    <w:p>
      <w:pPr>
        <w:jc w:val="both"/>
        <w:ind w:left="460" w:hanging="7"/>
        <w:spacing w:after="0" w:line="261" w:lineRule="auto"/>
        <w:tabs>
          <w:tab w:leader="none" w:pos="683"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6"/>
          <w:szCs w:val="16"/>
          <w:color w:val="auto"/>
        </w:rPr>
      </w:pPr>
    </w:p>
    <w:p>
      <w:pPr>
        <w:jc w:val="both"/>
        <w:ind w:left="460" w:hanging="7"/>
        <w:spacing w:after="0" w:line="261" w:lineRule="auto"/>
        <w:tabs>
          <w:tab w:leader="none" w:pos="698"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6"/>
          <w:szCs w:val="16"/>
          <w:color w:val="auto"/>
        </w:rPr>
      </w:pPr>
    </w:p>
    <w:p>
      <w:pPr>
        <w:ind w:left="460" w:hanging="7"/>
        <w:spacing w:after="0" w:line="275" w:lineRule="auto"/>
        <w:tabs>
          <w:tab w:leader="none" w:pos="704" w:val="left"/>
        </w:tabs>
        <w:numPr>
          <w:ilvl w:val="0"/>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jc w:val="both"/>
        <w:ind w:left="460" w:hanging="7"/>
        <w:spacing w:after="0" w:line="261" w:lineRule="auto"/>
        <w:tabs>
          <w:tab w:leader="none" w:pos="697" w:val="left"/>
        </w:tabs>
        <w:numPr>
          <w:ilvl w:val="0"/>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left="460" w:hanging="7"/>
        <w:spacing w:after="0" w:line="275" w:lineRule="auto"/>
        <w:tabs>
          <w:tab w:leader="none" w:pos="682"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460" w:hanging="7"/>
        <w:spacing w:after="0" w:line="275" w:lineRule="auto"/>
        <w:tabs>
          <w:tab w:leader="none" w:pos="702"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25, 2021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003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George L. Pita</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ind w:left="2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9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6"/>
          <w:szCs w:val="16"/>
          <w:color w:val="auto"/>
        </w:rPr>
        <w:t>In connection with the Annual Report of MasTec, Inc. (the “Company”) on Form 10-K for the year ended December 31, 2020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680" w:hanging="227"/>
        <w:spacing w:after="0"/>
        <w:tabs>
          <w:tab w:leader="none" w:pos="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680" w:hanging="227"/>
        <w:spacing w:after="0"/>
        <w:tabs>
          <w:tab w:leader="none" w:pos="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6"/>
          <w:szCs w:val="16"/>
          <w:color w:val="auto"/>
        </w:rPr>
        <w:t>Date: February 25, 2021</w:t>
      </w:r>
      <w:r>
        <w:rPr>
          <w:sz w:val="20"/>
          <w:szCs w:val="20"/>
          <w:color w:val="auto"/>
        </w:rPr>
        <w:tab/>
      </w:r>
      <w:r>
        <w:rPr>
          <w:rFonts w:ascii="Arial" w:cs="Arial" w:eastAsia="Arial" w:hAnsi="Arial"/>
          <w:sz w:val="14"/>
          <w:szCs w:val="14"/>
          <w:color w:val="auto"/>
        </w:rPr>
        <w:t xml:space="preserve">/s/ </w:t>
      </w:r>
      <w:r>
        <w:rPr>
          <w:rFonts w:ascii="Arial" w:cs="Arial" w:eastAsia="Arial" w:hAnsi="Arial"/>
          <w:sz w:val="14"/>
          <w:szCs w:val="14"/>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José R. Mas</w:t>
      </w:r>
    </w:p>
    <w:p>
      <w:pPr>
        <w:ind w:left="5620"/>
        <w:spacing w:after="0"/>
        <w:rPr>
          <w:sz w:val="20"/>
          <w:szCs w:val="20"/>
          <w:color w:val="auto"/>
        </w:rPr>
      </w:pPr>
      <w:r>
        <w:rPr>
          <w:rFonts w:ascii="Arial" w:cs="Arial" w:eastAsia="Arial" w:hAnsi="Arial"/>
          <w:sz w:val="16"/>
          <w:szCs w:val="16"/>
          <w:color w:val="auto"/>
        </w:rPr>
        <w:t>Title: Chief Executive Officer</w:t>
      </w:r>
    </w:p>
    <w:p>
      <w:pPr>
        <w:spacing w:after="0" w:line="329"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Annual Report of MasTec, Inc. on Form 10-K for the period ending December 31, 2020, or as a separate disclosure document of the Company or the certifying officers.</w:t>
      </w:r>
    </w:p>
    <w:p>
      <w:pPr>
        <w:sectPr>
          <w:pgSz w:w="11900" w:h="16838" w:orient="portrait"/>
          <w:cols w:equalWidth="0" w:num="1">
            <w:col w:w="11240"/>
          </w:cols>
          <w:pgMar w:left="320" w:top="89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6"/>
          <w:szCs w:val="16"/>
          <w:color w:val="auto"/>
        </w:rPr>
        <w:t>In connection with the Annual Report of MasTec, Inc. (the “Company”) on Form 10-K for the year ended December 31, 2020 as filed with the Securities and Exchange Commission on the date hereof (the “Report”), I, George L. Pita, Executive Vice President - Chief Financial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680" w:hanging="227"/>
        <w:spacing w:after="0"/>
        <w:tabs>
          <w:tab w:leader="none" w:pos="6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680" w:hanging="227"/>
        <w:spacing w:after="0"/>
        <w:tabs>
          <w:tab w:leader="none" w:pos="6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6"/>
          <w:szCs w:val="16"/>
          <w:color w:val="auto"/>
        </w:rPr>
        <w:t>Date: February 25, 2021</w:t>
      </w:r>
      <w:r>
        <w:rPr>
          <w:sz w:val="20"/>
          <w:szCs w:val="20"/>
          <w:color w:val="auto"/>
        </w:rPr>
        <w:tab/>
      </w:r>
      <w:r>
        <w:rPr>
          <w:rFonts w:ascii="Arial" w:cs="Arial" w:eastAsia="Arial" w:hAnsi="Arial"/>
          <w:sz w:val="14"/>
          <w:szCs w:val="14"/>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George L. Pita</w:t>
      </w:r>
    </w:p>
    <w:p>
      <w:pPr>
        <w:ind w:left="5620"/>
        <w:spacing w:after="0"/>
        <w:rPr>
          <w:sz w:val="20"/>
          <w:szCs w:val="20"/>
          <w:color w:val="auto"/>
        </w:rPr>
      </w:pPr>
      <w:r>
        <w:rPr>
          <w:rFonts w:ascii="Arial" w:cs="Arial" w:eastAsia="Arial" w:hAnsi="Arial"/>
          <w:sz w:val="16"/>
          <w:szCs w:val="16"/>
          <w:color w:val="auto"/>
        </w:rPr>
        <w:t>Title: Executive Vice President/Chief Financial Officer</w:t>
      </w:r>
    </w:p>
    <w:p>
      <w:pPr>
        <w:spacing w:after="0" w:line="329"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Annual Report of MasTec, Inc. on Form 10-K for the period ending December 31, 2020, or as a separate disclosure document of the Company or the certifying officers.</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1)"/>
      <w:numFmt w:val="lowerLetter"/>
      <w:start w:val="1"/>
    </w:lvl>
  </w:abstractNum>
  <w:abstractNum w:abstractNumId="7">
    <w:nsid w:val="38437FDB"/>
    <w:multiLevelType w:val="hybridMultilevel"/>
    <w:lvl w:ilvl="0">
      <w:lvlJc w:val="left"/>
      <w:lvlText w:val="(%1)"/>
      <w:numFmt w:val="lowerLetter"/>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lowerRoman"/>
      <w:start w:val="2"/>
    </w:lvl>
  </w:abstractNum>
  <w:abstractNum w:abstractNumId="10">
    <w:nsid w:val="684A481A"/>
    <w:multiLevelType w:val="hybridMultilevel"/>
    <w:lvl w:ilvl="0">
      <w:lvlJc w:val="left"/>
      <w:lvlText w:val="(%1)"/>
      <w:numFmt w:val="lowerLetter"/>
      <w:start w:val="1"/>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
      <w:numFmt w:val="bullet"/>
      <w:start w:val="1"/>
    </w:lvl>
    <w:lvl w:ilvl="1">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lowerLetter"/>
      <w:start w:val="1"/>
    </w:lvl>
  </w:abstractNum>
  <w:abstractNum w:abstractNumId="15">
    <w:nsid w:val="79A1DEAA"/>
    <w:multiLevelType w:val="hybridMultilevel"/>
    <w:lvl w:ilvl="0">
      <w:lvlJc w:val="left"/>
      <w:lvlText w:val="(%1)"/>
      <w:numFmt w:val="lowerLetter"/>
      <w:start w:val="1"/>
    </w:lvl>
  </w:abstractNum>
  <w:abstractNum w:abstractNumId="16">
    <w:nsid w:val="75C6C33A"/>
    <w:multiLevelType w:val="hybridMultilevel"/>
    <w:lvl w:ilvl="0">
      <w:lvlJc w:val="left"/>
      <w:lvlText w:val="(%1)"/>
      <w:numFmt w:val="lowerLetter"/>
      <w:start w:val="1"/>
    </w:lvl>
  </w:abstractNum>
  <w:abstractNum w:abstractNumId="17">
    <w:nsid w:val="12E685FB"/>
    <w:multiLevelType w:val="hybridMultilevel"/>
    <w:lvl w:ilvl="0">
      <w:lvlJc w:val="left"/>
      <w:lvlText w:val="(%1)"/>
      <w:numFmt w:val="lowerRoman"/>
      <w:start w:val="1"/>
    </w:lvl>
  </w:abstractNum>
  <w:abstractNum w:abstractNumId="18">
    <w:nsid w:val="70C6A529"/>
    <w:multiLevelType w:val="hybridMultilevel"/>
    <w:lvl w:ilvl="0">
      <w:lvlJc w:val="left"/>
      <w:lvlText w:val="(%1)"/>
      <w:numFmt w:val="lowerLetter"/>
      <w:start w:val="1"/>
    </w:lvl>
  </w:abstractNum>
  <w:abstractNum w:abstractNumId="19">
    <w:nsid w:val="520EEDD1"/>
    <w:multiLevelType w:val="hybridMultilevel"/>
    <w:lvl w:ilvl="0">
      <w:lvlJc w:val="left"/>
      <w:lvlText w:val="(%1)"/>
      <w:numFmt w:val="lowerLetter"/>
      <w:start w:val="1"/>
    </w:lvl>
  </w:abstractNum>
  <w:abstractNum w:abstractNumId="20">
    <w:nsid w:val="374A3FE6"/>
    <w:multiLevelType w:val="hybridMultilevel"/>
    <w:lvl w:ilvl="0">
      <w:lvlJc w:val="left"/>
      <w:lvlText w:val="(%1)"/>
      <w:numFmt w:val="lowerLetter"/>
      <w:start w:val="1"/>
    </w:lvl>
  </w:abstractNum>
  <w:abstractNum w:abstractNumId="21">
    <w:nsid w:val="4F4EF005"/>
    <w:multiLevelType w:val="hybridMultilevel"/>
    <w:lvl w:ilvl="0">
      <w:lvlJc w:val="left"/>
      <w:lvlText w:val="(%1)"/>
      <w:numFmt w:val="lowerLetter"/>
      <w:start w:val="1"/>
    </w:lvl>
  </w:abstractNum>
  <w:abstractNum w:abstractNumId="22">
    <w:nsid w:val="23F9C13C"/>
    <w:multiLevelType w:val="hybridMultilevel"/>
    <w:lvl w:ilvl="0">
      <w:lvlJc w:val="left"/>
      <w:lvlText w:val="(%1)"/>
      <w:numFmt w:val="lowerRoman"/>
      <w:start w:val="1"/>
    </w:lvl>
  </w:abstractNum>
  <w:abstractNum w:abstractNumId="23">
    <w:nsid w:val="649BB77C"/>
    <w:multiLevelType w:val="hybridMultilevel"/>
    <w:lvl w:ilvl="0">
      <w:lvlJc w:val="left"/>
      <w:lvlText w:val="(%1)"/>
      <w:numFmt w:val="lowerRoman"/>
      <w:start w:val="1"/>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1)"/>
      <w:numFmt w:val="lowerLetter"/>
      <w:start w:val="1"/>
    </w:lvl>
    <w:lvl w:ilvl="1">
      <w:lvlJc w:val="left"/>
      <w:lvlText w:val="%2."/>
      <w:numFmt w:val="decimal"/>
      <w:start w:val="2"/>
    </w:lvl>
  </w:abstractNum>
  <w:abstractNum w:abstractNumId="26">
    <w:nsid w:val="1CF10FD8"/>
    <w:multiLevelType w:val="hybridMultilevel"/>
    <w:lvl w:ilvl="0">
      <w:lvlJc w:val="left"/>
      <w:lvlText w:val="%1"/>
      <w:numFmt w:val="decimal"/>
      <w:start w:val="104"/>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lowerLetter"/>
      <w:start w:val="1"/>
    </w:lvl>
  </w:abstractNum>
  <w:abstractNum w:abstractNumId="29">
    <w:nsid w:val="47398C89"/>
    <w:multiLevelType w:val="hybridMultilevel"/>
    <w:lvl w:ilvl="0">
      <w:lvlJc w:val="left"/>
      <w:lvlText w:val="(%1)"/>
      <w:numFmt w:val="lowerLetter"/>
      <w:start w:val="1"/>
    </w:lvl>
    <w:lvl w:ilvl="1">
      <w:lvlJc w:val="left"/>
      <w:lvlText w:val="(%2)"/>
      <w:numFmt w:val="lowerRoman"/>
      <w:start w:val="1"/>
    </w:lvl>
  </w:abstractNum>
  <w:abstractNum w:abstractNumId="30">
    <w:nsid w:val="354FE9F9"/>
    <w:multiLevelType w:val="hybridMultilevel"/>
    <w:lvl w:ilvl="0">
      <w:lvlJc w:val="left"/>
      <w:lvlText w:val="(%1)"/>
      <w:numFmt w:val="lowerLetter"/>
      <w:start w:val="3"/>
    </w:lvl>
  </w:abstractNum>
  <w:abstractNum w:abstractNumId="31">
    <w:nsid w:val="15B5AF5C"/>
    <w:multiLevelType w:val="hybridMultilevel"/>
    <w:lvl w:ilvl="0">
      <w:lvlJc w:val="left"/>
      <w:lvlText w:val="(%1)"/>
      <w:numFmt w:val="lowerLetter"/>
      <w:start w:val="6"/>
    </w:lvl>
  </w:abstractNum>
  <w:abstractNum w:abstractNumId="32">
    <w:nsid w:val="741226BB"/>
    <w:multiLevelType w:val="hybridMultilevel"/>
    <w:lvl w:ilvl="0">
      <w:lvlJc w:val="left"/>
      <w:lvlText w:val="(%1)"/>
      <w:numFmt w:val="lowerLetter"/>
      <w:start w:val="1"/>
    </w:lvl>
  </w:abstractNum>
  <w:abstractNum w:abstractNumId="33">
    <w:nsid w:val="D34B6A8"/>
    <w:multiLevelType w:val="hybridMultilevel"/>
    <w:lvl w:ilvl="0">
      <w:lvlJc w:val="left"/>
      <w:lvlText w:val="(%1)"/>
      <w:numFmt w:val="lowerLetter"/>
      <w:start w:val="2"/>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1"/>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lowerLetter"/>
      <w:start w:val="4"/>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Roman"/>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2"/>
    </w:lvl>
    <w:lvl w:ilvl="1">
      <w:lvlJc w:val="left"/>
      <w:lvlText w:val="%2)"/>
      <w:numFmt w:val="lowerLetter"/>
      <w:start w:val="1"/>
    </w:lvl>
  </w:abstractNum>
  <w:abstractNum w:abstractNumId="45">
    <w:nsid w:val="4AD084E9"/>
    <w:multiLevelType w:val="hybridMultilevel"/>
    <w:lvl w:ilvl="0">
      <w:lvlJc w:val="left"/>
      <w:lvlText w:val="%1)"/>
      <w:numFmt w:val="lowerLetter"/>
      <w:start w:val="16"/>
    </w:lvl>
  </w:abstractNum>
  <w:abstractNum w:abstractNumId="46">
    <w:nsid w:val="1F48EAA1"/>
    <w:multiLevelType w:val="hybridMultilevel"/>
    <w:lvl w:ilvl="0">
      <w:lvlJc w:val="left"/>
      <w:lvlText w:val="%1)"/>
      <w:numFmt w:val="lowerLetter"/>
      <w:start w:val="27"/>
    </w:lvl>
  </w:abstractNum>
  <w:abstractNum w:abstractNumId="47">
    <w:nsid w:val="1381823A"/>
    <w:multiLevelType w:val="hybridMultilevel"/>
    <w:lvl w:ilvl="0">
      <w:lvlJc w:val="left"/>
      <w:lvlText w:val="%1."/>
      <w:numFmt w:val="decimal"/>
      <w:start w:val="3"/>
    </w:lvl>
    <w:lvl w:ilvl="1">
      <w:lvlJc w:val="left"/>
      <w:lvlText w:val="(%2)"/>
      <w:numFmt w:val="lowerLetter"/>
      <w:start w:val="1"/>
    </w:lvl>
  </w:abstractNum>
  <w:abstractNum w:abstractNumId="48">
    <w:nsid w:val="5DB70AE5"/>
    <w:multiLevelType w:val="hybridMultilevel"/>
    <w:lvl w:ilvl="0">
      <w:lvlJc w:val="left"/>
      <w:lvlText w:val="%1."/>
      <w:numFmt w:val="decimal"/>
      <w:start w:val="4"/>
    </w:lvl>
    <w:lvl w:ilvl="1">
      <w:lvlJc w:val="left"/>
      <w:lvlText w:val="(%2)"/>
      <w:numFmt w:val="lowerLetter"/>
      <w:start w:val="1"/>
    </w:lvl>
  </w:abstractNum>
  <w:abstractNum w:abstractNumId="49">
    <w:nsid w:val="100F8FCA"/>
    <w:multiLevelType w:val="hybridMultilevel"/>
    <w:lvl w:ilvl="0">
      <w:lvlJc w:val="left"/>
      <w:lvlText w:val="%1."/>
      <w:numFmt w:val="decimal"/>
      <w:start w:val="5"/>
    </w:lvl>
    <w:lvl w:ilvl="1">
      <w:lvlJc w:val="left"/>
      <w:lvlText w:val="(%2)"/>
      <w:numFmt w:val="lowerLetter"/>
      <w:start w:val="1"/>
    </w:lvl>
  </w:abstractNum>
  <w:abstractNum w:abstractNumId="50">
    <w:nsid w:val="6590700B"/>
    <w:multiLevelType w:val="hybridMultilevel"/>
    <w:lvl w:ilvl="0">
      <w:lvlJc w:val="left"/>
      <w:lvlText w:val="%1"/>
      <w:numFmt w:val="decimal"/>
      <w:start w:val="1"/>
    </w:lvl>
    <w:lvl w:ilvl="1">
      <w:lvlJc w:val="left"/>
      <w:lvlText w:val="(%2)"/>
      <w:numFmt w:val="lowerLetter"/>
      <w:start w:val="3"/>
    </w:lvl>
  </w:abstractNum>
  <w:abstractNum w:abstractNumId="51">
    <w:nsid w:val="15014ACB"/>
    <w:multiLevelType w:val="hybridMultilevel"/>
    <w:lvl w:ilvl="0">
      <w:lvlJc w:val="left"/>
      <w:lvlText w:val="%1."/>
      <w:numFmt w:val="decimal"/>
      <w:start w:val="7"/>
    </w:lvl>
    <w:lvl w:ilvl="1">
      <w:lvlJc w:val="left"/>
      <w:lvlText w:val="(%2)"/>
      <w:numFmt w:val="lowerLetter"/>
      <w:start w:val="1"/>
    </w:lvl>
  </w:abstractNum>
  <w:abstractNum w:abstractNumId="52">
    <w:nsid w:val="5F5E7FD0"/>
    <w:multiLevelType w:val="hybridMultilevel"/>
    <w:lvl w:ilvl="0">
      <w:lvlJc w:val="left"/>
      <w:lvlText w:val="%1"/>
      <w:numFmt w:val="decimal"/>
      <w:start w:val="1"/>
    </w:lvl>
    <w:lvl w:ilvl="1">
      <w:lvlJc w:val="left"/>
      <w:lvlText w:val="(%2)"/>
      <w:numFmt w:val="lowerLetter"/>
      <w:start w:val="3"/>
    </w:lvl>
  </w:abstractNum>
  <w:abstractNum w:abstractNumId="53">
    <w:nsid w:val="98A3148"/>
    <w:multiLevelType w:val="hybridMultilevel"/>
    <w:lvl w:ilvl="0">
      <w:lvlJc w:val="left"/>
      <w:lvlText w:val="%1."/>
      <w:numFmt w:val="decimal"/>
      <w:start w:val="8"/>
    </w:lvl>
    <w:lvl w:ilvl="1">
      <w:lvlJc w:val="left"/>
      <w:lvlText w:val="(%2)"/>
      <w:numFmt w:val="lowerLetter"/>
      <w:start w:val="1"/>
    </w:lvl>
  </w:abstractNum>
  <w:abstractNum w:abstractNumId="54">
    <w:nsid w:val="799D0247"/>
    <w:multiLevelType w:val="hybridMultilevel"/>
    <w:lvl w:ilvl="0">
      <w:lvlJc w:val="left"/>
      <w:lvlText w:val="%1"/>
      <w:numFmt w:val="decimal"/>
      <w:start w:val="1"/>
    </w:lvl>
    <w:lvl w:ilvl="1">
      <w:lvlJc w:val="left"/>
      <w:lvlText w:val="(%2)"/>
      <w:numFmt w:val="lowerLetter"/>
      <w:start w:val="4"/>
    </w:lvl>
  </w:abstractNum>
  <w:abstractNum w:abstractNumId="55">
    <w:nsid w:val="6B94764"/>
    <w:multiLevelType w:val="hybridMultilevel"/>
    <w:lvl w:ilvl="0">
      <w:lvlJc w:val="left"/>
      <w:lvlText w:val="%1."/>
      <w:numFmt w:val="decimal"/>
      <w:start w:val="10"/>
    </w:lvl>
    <w:lvl w:ilvl="1">
      <w:lvlJc w:val="left"/>
      <w:lvlText w:val="(%2)"/>
      <w:numFmt w:val="lowerLetter"/>
      <w:start w:val="1"/>
    </w:lvl>
  </w:abstractNum>
  <w:abstractNum w:abstractNumId="56">
    <w:nsid w:val="42C296B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57">
    <w:nsid w:val="168E121F"/>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8">
    <w:nsid w:val="1EBA5D23"/>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lvl w:ilvl="3">
      <w:lvlJc w:val="left"/>
      <w:lvlText w:val="%4"/>
      <w:numFmt w:val="lowerRoman"/>
      <w:start w:val="1"/>
    </w:lvl>
  </w:abstractNum>
  <w:abstractNum w:abstractNumId="59">
    <w:nsid w:val="661E3F1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0">
    <w:nsid w:val="5DC79EA8"/>
    <w:multiLevelType w:val="hybridMultilevel"/>
    <w:lvl w:ilvl="0">
      <w:lvlJc w:val="left"/>
      <w:lvlText w:val="%1."/>
      <w:numFmt w:val="decimal"/>
      <w:start w:val="17"/>
    </w:lvl>
  </w:abstractNum>
  <w:abstractNum w:abstractNumId="61">
    <w:nsid w:val="540A471C"/>
    <w:multiLevelType w:val="hybridMultilevel"/>
    <w:lvl w:ilvl="0">
      <w:lvlJc w:val="left"/>
      <w:lvlText w:val="%1."/>
      <w:numFmt w:val="decimal"/>
      <w:start w:val="22"/>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2"/>
    </w:lvl>
    <w:lvl w:ilvl="1">
      <w:lvlJc w:val="left"/>
      <w:lvlText w:val="%2)"/>
      <w:numFmt w:val="lowerLetter"/>
      <w:start w:val="1"/>
    </w:lvl>
  </w:abstractNum>
  <w:abstractNum w:abstractNumId="64">
    <w:nsid w:val="613EFDC5"/>
    <w:multiLevelType w:val="hybridMultilevel"/>
    <w:lvl w:ilvl="0">
      <w:lvlJc w:val="left"/>
      <w:lvlText w:val="%1)"/>
      <w:numFmt w:val="lowerLetter"/>
      <w:start w:val="17"/>
    </w:lvl>
  </w:abstractNum>
  <w:abstractNum w:abstractNumId="65">
    <w:nsid w:val="BF72B14"/>
    <w:multiLevelType w:val="hybridMultilevel"/>
    <w:lvl w:ilvl="0">
      <w:lvlJc w:val="left"/>
      <w:lvlText w:val="%1)"/>
      <w:numFmt w:val="lowerLetter"/>
      <w:start w:val="27"/>
    </w:lvl>
  </w:abstractNum>
  <w:abstractNum w:abstractNumId="66">
    <w:nsid w:val="11447B73"/>
    <w:multiLevelType w:val="hybridMultilevel"/>
    <w:lvl w:ilvl="0">
      <w:lvlJc w:val="left"/>
      <w:lvlText w:val="%1."/>
      <w:numFmt w:val="decimal"/>
      <w:start w:val="3"/>
    </w:lvl>
    <w:lvl w:ilvl="1">
      <w:lvlJc w:val="left"/>
      <w:lvlText w:val="(%2)"/>
      <w:numFmt w:val="lowerLetter"/>
      <w:start w:val="1"/>
    </w:lvl>
  </w:abstractNum>
  <w:abstractNum w:abstractNumId="67">
    <w:nsid w:val="42963E5A"/>
    <w:multiLevelType w:val="hybridMultilevel"/>
    <w:lvl w:ilvl="0">
      <w:lvlJc w:val="left"/>
      <w:lvlText w:val="%1."/>
      <w:numFmt w:val="decimal"/>
      <w:start w:val="4"/>
    </w:lvl>
    <w:lvl w:ilvl="1">
      <w:lvlJc w:val="left"/>
      <w:lvlText w:val="(%2)"/>
      <w:numFmt w:val="lowerLetter"/>
      <w:start w:val="1"/>
    </w:lvl>
  </w:abstractNum>
  <w:abstractNum w:abstractNumId="68">
    <w:nsid w:val="A0382C5"/>
    <w:multiLevelType w:val="hybridMultilevel"/>
    <w:lvl w:ilvl="0">
      <w:lvlJc w:val="left"/>
      <w:lvlText w:val="%1."/>
      <w:numFmt w:val="decimal"/>
      <w:start w:val="5"/>
    </w:lvl>
    <w:lvl w:ilvl="1">
      <w:lvlJc w:val="left"/>
      <w:lvlText w:val="(%2)"/>
      <w:numFmt w:val="lowerLetter"/>
      <w:start w:val="1"/>
    </w:lvl>
  </w:abstractNum>
  <w:abstractNum w:abstractNumId="69">
    <w:nsid w:val="8F2B15E"/>
    <w:multiLevelType w:val="hybridMultilevel"/>
    <w:lvl w:ilvl="0">
      <w:lvlJc w:val="left"/>
      <w:lvlText w:val="%1"/>
      <w:numFmt w:val="decimal"/>
      <w:start w:val="1"/>
    </w:lvl>
    <w:lvl w:ilvl="1">
      <w:lvlJc w:val="left"/>
      <w:lvlText w:val="(%2)"/>
      <w:numFmt w:val="lowerLetter"/>
      <w:start w:val="3"/>
    </w:lvl>
  </w:abstractNum>
  <w:abstractNum w:abstractNumId="70">
    <w:nsid w:val="1A32234B"/>
    <w:multiLevelType w:val="hybridMultilevel"/>
    <w:lvl w:ilvl="0">
      <w:lvlJc w:val="left"/>
      <w:lvlText w:val="%1."/>
      <w:numFmt w:val="decimal"/>
      <w:start w:val="7"/>
    </w:lvl>
    <w:lvl w:ilvl="1">
      <w:lvlJc w:val="left"/>
      <w:lvlText w:val="(%2)"/>
      <w:numFmt w:val="lowerLetter"/>
      <w:start w:val="1"/>
    </w:lvl>
  </w:abstractNum>
  <w:abstractNum w:abstractNumId="71">
    <w:nsid w:val="3B0FD379"/>
    <w:multiLevelType w:val="hybridMultilevel"/>
    <w:lvl w:ilvl="0">
      <w:lvlJc w:val="left"/>
      <w:lvlText w:val="%1"/>
      <w:numFmt w:val="decimal"/>
      <w:start w:val="1"/>
    </w:lvl>
    <w:lvl w:ilvl="1">
      <w:lvlJc w:val="left"/>
      <w:lvlText w:val="(%2)"/>
      <w:numFmt w:val="lowerLetter"/>
      <w:start w:val="4"/>
    </w:lvl>
  </w:abstractNum>
  <w:abstractNum w:abstractNumId="72">
    <w:nsid w:val="68EB2F63"/>
    <w:multiLevelType w:val="hybridMultilevel"/>
    <w:lvl w:ilvl="0">
      <w:lvlJc w:val="left"/>
      <w:lvlText w:val="%1."/>
      <w:numFmt w:val="decimal"/>
      <w:start w:val="8"/>
    </w:lvl>
    <w:lvl w:ilvl="1">
      <w:lvlJc w:val="left"/>
      <w:lvlText w:val="(%2)"/>
      <w:numFmt w:val="lowerLetter"/>
      <w:start w:val="1"/>
    </w:lvl>
  </w:abstractNum>
  <w:abstractNum w:abstractNumId="73">
    <w:nsid w:val="4962813B"/>
    <w:multiLevelType w:val="hybridMultilevel"/>
    <w:lvl w:ilvl="0">
      <w:lvlJc w:val="left"/>
      <w:lvlText w:val="%1."/>
      <w:numFmt w:val="decimal"/>
      <w:start w:val="10"/>
    </w:lvl>
    <w:lvl w:ilvl="1">
      <w:lvlJc w:val="left"/>
      <w:lvlText w:val="(%2)"/>
      <w:numFmt w:val="lowerLetter"/>
      <w:start w:val="1"/>
    </w:lvl>
  </w:abstractNum>
  <w:abstractNum w:abstractNumId="74">
    <w:nsid w:val="60B6DF7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75">
    <w:nsid w:val="6A5EE6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76">
    <w:nsid w:val="1433062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77">
    <w:nsid w:val="7FFFCA11"/>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lvl w:ilvl="3">
      <w:lvlJc w:val="left"/>
      <w:lvlText w:val="%4"/>
      <w:numFmt w:val="lowerRoman"/>
      <w:start w:val="1"/>
    </w:lvl>
  </w:abstractNum>
  <w:abstractNum w:abstractNumId="78">
    <w:nsid w:val="1A27709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79">
    <w:nsid w:val="71EA1109"/>
    <w:multiLevelType w:val="hybridMultilevel"/>
    <w:lvl w:ilvl="0">
      <w:lvlJc w:val="left"/>
      <w:lvlText w:val="%1."/>
      <w:numFmt w:val="decimal"/>
      <w:start w:val="17"/>
    </w:lvl>
  </w:abstractNum>
  <w:abstractNum w:abstractNumId="80">
    <w:nsid w:val="100F59DC"/>
    <w:multiLevelType w:val="hybridMultilevel"/>
    <w:lvl w:ilvl="0">
      <w:lvlJc w:val="left"/>
      <w:lvlText w:val="%1."/>
      <w:numFmt w:val="decimal"/>
      <w:start w:val="22"/>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1)"/>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97" Type="http://schemas.openxmlformats.org/officeDocument/2006/relationships/hyperlink" Target="http://www.sec.gov/Archives/edgar/data/15615/000119312510039265/dex31.htm" TargetMode="External"/><Relationship Id="rId98" Type="http://schemas.openxmlformats.org/officeDocument/2006/relationships/hyperlink" Target="http://www.sec.gov/Archives/edgar/data/15615/000119312510015833/dex31.htm" TargetMode="External"/><Relationship Id="rId99" Type="http://schemas.openxmlformats.org/officeDocument/2006/relationships/hyperlink" Target="http://www.sec.gov/Archives/edgar/data/15615/000119312509126293/dex42.htm" TargetMode="External"/><Relationship Id="rId100" Type="http://schemas.openxmlformats.org/officeDocument/2006/relationships/hyperlink" Target="https://www.sec.gov/Archives/edgar/data/15615/000119312520209447/d79552dex42.htm" TargetMode="External"/><Relationship Id="rId101" Type="http://schemas.openxmlformats.org/officeDocument/2006/relationships/hyperlink" Target="https://www.sec.gov/Archives/edgar/data/15615/000001561520000005/mtz12311910-kex417.htm" TargetMode="External"/><Relationship Id="rId102" Type="http://schemas.openxmlformats.org/officeDocument/2006/relationships/hyperlink" Target="http://www.sec.gov/Archives/edgar/data/15615/000001561518000007/mtz12311710-kex101.htm" TargetMode="External"/><Relationship Id="rId103" Type="http://schemas.openxmlformats.org/officeDocument/2006/relationships/hyperlink" Target="http://www.sec.gov/Archives/edgar/data/15615/000001561518000007/mtz12311710-kex102.htm" TargetMode="External"/><Relationship Id="rId104" Type="http://schemas.openxmlformats.org/officeDocument/2006/relationships/hyperlink" Target="http://www.sec.gov/Archives/edgar/data/15615/000119312510015833/dex102.htm" TargetMode="External"/><Relationship Id="rId105" Type="http://schemas.openxmlformats.org/officeDocument/2006/relationships/hyperlink" Target="http://www.sec.gov/Archives/edgar/data/15615/000001561519000049/mtz9301910-qex101.htm" TargetMode="External"/><Relationship Id="rId106" Type="http://schemas.openxmlformats.org/officeDocument/2006/relationships/hyperlink" Target="https://www.sec.gov/Archives/edgar/data/15615/000001561520000005/mtz12311910-kex107.htm" TargetMode="External"/><Relationship Id="rId107" Type="http://schemas.openxmlformats.org/officeDocument/2006/relationships/hyperlink" Target="https://www.sec.gov/Archives/edgar/data/15615/000001561520000005/mtz12311910-kex108.htm" TargetMode="External"/><Relationship Id="rId108" Type="http://schemas.openxmlformats.org/officeDocument/2006/relationships/hyperlink" Target="https://www.sec.gov/Archives/edgar/data/15615/000001561520000005/mtz12311910-kex109.htm" TargetMode="External"/><Relationship Id="rId109" Type="http://schemas.openxmlformats.org/officeDocument/2006/relationships/hyperlink" Target="http://www.sec.gov/Archives/edgar/data/15615/000095014407003626/g06830exv10w1.htm" TargetMode="External"/><Relationship Id="rId110" Type="http://schemas.openxmlformats.org/officeDocument/2006/relationships/hyperlink" Target="http://www.sec.gov/Archives/edgar/data/15615/000095014408001445/g12007exv10w53.htm" TargetMode="External"/><Relationship Id="rId111" Type="http://schemas.openxmlformats.org/officeDocument/2006/relationships/hyperlink" Target="http://www.sec.gov/Archives/edgar/data/15615/000001561517000015/mtz3311710-qex102.htm" TargetMode="External"/><Relationship Id="rId112" Type="http://schemas.openxmlformats.org/officeDocument/2006/relationships/hyperlink" Target="http://www.sec.gov/Archives/edgar/data/15615/000001561517000015/mtz3311710-qex103.htm" TargetMode="External"/><Relationship Id="rId113" Type="http://schemas.openxmlformats.org/officeDocument/2006/relationships/hyperlink" Target="http://www.sec.gov/Archives/edgar/data/15615/000001561517000015/mtz3311710-qex104.htm" TargetMode="External"/><Relationship Id="rId114" Type="http://schemas.openxmlformats.org/officeDocument/2006/relationships/hyperlink" Target="http://www.sec.gov/Archives/edgar/data/15615/000001561517000015/mtz3311710-qex105.htm" TargetMode="External"/><Relationship Id="rId115" Type="http://schemas.openxmlformats.org/officeDocument/2006/relationships/hyperlink" Target="http://www.sec.gov/Archives/edgar/data/15615/000001561517000015/mtz3311710-qex106.htm" TargetMode="External"/><Relationship Id="rId118" Type="http://schemas.openxmlformats.org/officeDocument/2006/relationships/hyperlink" Target="https://www.sec.gov/Archives/edgar/data/15615/000001561520000024/mtz6302010-qex101.htm" TargetMode="External"/><Relationship Id="rId119" Type="http://schemas.openxmlformats.org/officeDocument/2006/relationships/hyperlink" Target="https://www.sec.gov/Archives/edgar/data/15615/000001561520000024/mtz6302010-qex102.htm" TargetMode="External"/><Relationship Id="rId120" Type="http://schemas.openxmlformats.org/officeDocument/2006/relationships/hyperlink" Target="http://www.sec.gov/Archives/edgar/data/15615/000119312514020463/d664915dex102.htm" TargetMode="External"/><Relationship Id="rId121" Type="http://schemas.openxmlformats.org/officeDocument/2006/relationships/hyperlink" Target="http://www.sec.gov/Archives/edgar/data/15615/000001561505000097/deferred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2021-02-25T17:01:29Z</dcterms:created>
  <dcterms:modified xsi:type="dcterms:W3CDTF">2021-02-25T17:01:29Z</dcterms:modified>
</cp:coreProperties>
</file>