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March 31,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7"/>
              </w:rPr>
              <w:t>Florida</w:t>
            </w:r>
          </w:p>
        </w:tc>
        <w:tc>
          <w:tcPr>
            <w:tcW w:w="5040" w:type="dxa"/>
            <w:vAlign w:val="bottom"/>
          </w:tcPr>
          <w:p>
            <w:pPr>
              <w:jc w:val="right"/>
              <w:ind w:right="46"/>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800 S. Douglas Road, 12th Floor,</w:t>
            </w:r>
          </w:p>
        </w:tc>
        <w:tc>
          <w:tcPr>
            <w:tcW w:w="5040" w:type="dxa"/>
            <w:vAlign w:val="bottom"/>
          </w:tcPr>
          <w:p>
            <w:pPr>
              <w:spacing w:after="0"/>
              <w:rPr>
                <w:sz w:val="24"/>
                <w:szCs w:val="24"/>
                <w:color w:val="auto"/>
              </w:rPr>
            </w:pPr>
          </w:p>
        </w:tc>
      </w:tr>
      <w:tr>
        <w:trPr>
          <w:trHeight w:val="27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Coral Gables, FL</w:t>
            </w:r>
          </w:p>
        </w:tc>
        <w:tc>
          <w:tcPr>
            <w:tcW w:w="5040" w:type="dxa"/>
            <w:vAlign w:val="bottom"/>
          </w:tcPr>
          <w:p>
            <w:pPr>
              <w:jc w:val="right"/>
              <w:ind w:right="226"/>
              <w:spacing w:after="0"/>
              <w:rPr>
                <w:sz w:val="20"/>
                <w:szCs w:val="20"/>
                <w:color w:val="auto"/>
              </w:rPr>
            </w:pPr>
            <w:r>
              <w:rPr>
                <w:rFonts w:ascii="Arial" w:cs="Arial" w:eastAsia="Arial" w:hAnsi="Arial"/>
                <w:sz w:val="16"/>
                <w:szCs w:val="16"/>
                <w:b w:val="1"/>
                <w:bCs w:val="1"/>
                <w:color w:val="auto"/>
              </w:rPr>
              <w:t>33134</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184"/>
        </w:trPr>
        <w:tc>
          <w:tcPr>
            <w:tcW w:w="2300" w:type="dxa"/>
            <w:vAlign w:val="bottom"/>
          </w:tcPr>
          <w:p>
            <w:pPr>
              <w:spacing w:after="0"/>
              <w:rPr>
                <w:sz w:val="16"/>
                <w:szCs w:val="16"/>
                <w:color w:val="auto"/>
              </w:rPr>
            </w:pPr>
          </w:p>
        </w:tc>
        <w:tc>
          <w:tcPr>
            <w:tcW w:w="5040" w:type="dxa"/>
            <w:vAlign w:val="bottom"/>
          </w:tcPr>
          <w:p>
            <w:pPr>
              <w:jc w:val="right"/>
              <w:ind w:right="2786"/>
              <w:spacing w:after="0"/>
              <w:rPr>
                <w:sz w:val="20"/>
                <w:szCs w:val="20"/>
                <w:color w:val="auto"/>
              </w:rPr>
            </w:pPr>
            <w:r>
              <w:rPr>
                <w:rFonts w:ascii="Arial" w:cs="Arial" w:eastAsia="Arial" w:hAnsi="Arial"/>
                <w:sz w:val="16"/>
                <w:szCs w:val="16"/>
                <w:b w:val="1"/>
                <w:bCs w:val="1"/>
                <w:color w:val="auto"/>
              </w:rPr>
              <w:t>(305) 599-1800</w:t>
            </w:r>
          </w:p>
        </w:tc>
      </w:tr>
      <w:tr>
        <w:trPr>
          <w:trHeight w:val="182"/>
        </w:trPr>
        <w:tc>
          <w:tcPr>
            <w:tcW w:w="2300" w:type="dxa"/>
            <w:vAlign w:val="bottom"/>
          </w:tcPr>
          <w:p>
            <w:pPr>
              <w:spacing w:after="0"/>
              <w:rPr>
                <w:sz w:val="15"/>
                <w:szCs w:val="15"/>
                <w:color w:val="auto"/>
              </w:rPr>
            </w:pPr>
          </w:p>
        </w:tc>
        <w:tc>
          <w:tcPr>
            <w:tcW w:w="5040" w:type="dxa"/>
            <w:vAlign w:val="bottom"/>
          </w:tcPr>
          <w:p>
            <w:pPr>
              <w:jc w:val="center"/>
              <w:ind w:right="160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bl>
    <w:p>
      <w:pPr>
        <w:spacing w:after="0" w:line="200" w:lineRule="exact"/>
        <w:rPr>
          <w:sz w:val="24"/>
          <w:szCs w:val="24"/>
          <w:color w:val="auto"/>
        </w:rPr>
      </w:pPr>
    </w:p>
    <w:p>
      <w:pPr>
        <w:spacing w:after="0" w:line="221"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58" w:right="239" w:bottom="1440" w:gutter="0" w:footer="0" w:header="0"/>
        </w:sectPr>
      </w:pPr>
    </w:p>
    <w:p>
      <w:pPr>
        <w:spacing w:after="0" w:line="345" w:lineRule="exact"/>
        <w:rPr>
          <w:sz w:val="24"/>
          <w:szCs w:val="24"/>
          <w:color w:val="auto"/>
        </w:rPr>
      </w:pPr>
    </w:p>
    <w:p>
      <w:pPr>
        <w:ind w:left="8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3280" w:space="720"/>
            <w:col w:w="2400" w:space="720"/>
            <w:col w:w="2400" w:space="720"/>
            <w:col w:w="1180"/>
          </w:cols>
          <w:pgMar w:left="240" w:top="958" w:right="239" w:bottom="1440" w:gutter="0" w:footer="0" w:header="0"/>
          <w:type w:val="continuous"/>
        </w:sectPr>
      </w:pPr>
    </w:p>
    <w:p>
      <w:pPr>
        <w:spacing w:after="0" w:line="30" w:lineRule="exact"/>
        <w:rPr>
          <w:sz w:val="24"/>
          <w:szCs w:val="24"/>
          <w:color w:val="auto"/>
        </w:rPr>
      </w:pPr>
    </w:p>
    <w:p>
      <w:pPr>
        <w:ind w:left="8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120" w:lineRule="exact"/>
        <w:rPr>
          <w:sz w:val="24"/>
          <w:szCs w:val="24"/>
          <w:color w:val="auto"/>
        </w:rPr>
      </w:pPr>
    </w:p>
    <w:p>
      <w:pPr>
        <w:sectPr>
          <w:pgSz w:w="11900" w:h="16838" w:orient="portrait"/>
          <w:cols w:equalWidth="0" w:num="3">
            <w:col w:w="3280" w:space="720"/>
            <w:col w:w="140" w:space="240"/>
            <w:col w:w="704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1" w:lineRule="exact"/>
        <w:rPr>
          <w:sz w:val="24"/>
          <w:szCs w:val="24"/>
          <w:color w:val="auto"/>
        </w:rPr>
      </w:pPr>
    </w:p>
    <w:p>
      <w:pPr>
        <w:ind w:right="1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660"/>
        <w:spacing w:after="0" w:line="184" w:lineRule="exact"/>
        <w:tabs>
          <w:tab w:leader="none" w:pos="7360" w:val="left"/>
        </w:tabs>
        <w:rPr>
          <w:sz w:val="20"/>
          <w:szCs w:val="20"/>
          <w:color w:val="auto"/>
        </w:rPr>
      </w:pPr>
      <w:r>
        <w:rPr>
          <w:rFonts w:ascii="Arial" w:cs="Arial" w:eastAsia="Arial" w:hAnsi="Arial"/>
          <w:sz w:val="16"/>
          <w:szCs w:val="16"/>
          <w:color w:val="auto"/>
        </w:rPr>
        <w:t>Indicate by check mark whether the registrant is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April 24, 2018, MasTec, Inc. had 80,467,691 shares of common stock, $0.10 par value, outstanding.</w:t>
      </w:r>
    </w:p>
    <w:p>
      <w:pPr>
        <w:sectPr>
          <w:pgSz w:w="11900" w:h="16838" w:orient="portrait"/>
          <w:cols w:equalWidth="0" w:num="1">
            <w:col w:w="11420"/>
          </w:cols>
          <w:pgMar w:left="240" w:top="95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MARCH 31,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222"/>
        </w:trPr>
        <w:tc>
          <w:tcPr>
            <w:tcW w:w="248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6380" w:type="dxa"/>
            <w:vAlign w:val="bottom"/>
            <w:gridSpan w:val="9"/>
          </w:tcPr>
          <w:p>
            <w:pPr>
              <w:spacing w:after="0"/>
              <w:rPr>
                <w:sz w:val="19"/>
                <w:szCs w:val="19"/>
                <w:color w:val="auto"/>
              </w:rPr>
            </w:pPr>
          </w:p>
        </w:tc>
        <w:tc>
          <w:tcPr>
            <w:tcW w:w="216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22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Unaudited Consolidated Statements of Comprehensive Income</w:t>
              </w:r>
            </w:hyperlink>
          </w:p>
        </w:tc>
        <w:tc>
          <w:tcPr>
            <w:tcW w:w="2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Unaudited Consolidated Statements of Cash Flows</w:t>
              </w:r>
            </w:hyperlink>
          </w:p>
        </w:tc>
        <w:tc>
          <w:tcPr>
            <w:tcW w:w="22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Management’s Discussion and Analysis of Financial Condition and Results of Operations</w:t>
              </w:r>
            </w:hyperlink>
          </w:p>
        </w:tc>
        <w:tc>
          <w:tcPr>
            <w:tcW w:w="224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3</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Quantitative and Qualitative Disclosures About Market Risk</w:t>
              </w:r>
            </w:hyperlink>
          </w:p>
        </w:tc>
        <w:tc>
          <w:tcPr>
            <w:tcW w:w="22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4</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Controls and Procedures</w:t>
              </w:r>
            </w:hyperlink>
          </w:p>
        </w:tc>
        <w:tc>
          <w:tcPr>
            <w:tcW w:w="22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35">
              <w:r>
                <w:rPr>
                  <w:rFonts w:ascii="Arial" w:cs="Arial" w:eastAsia="Arial" w:hAnsi="Arial"/>
                  <w:sz w:val="16"/>
                  <w:szCs w:val="16"/>
                  <w:color w:val="0000EE"/>
                  <w:w w:val="97"/>
                </w:rPr>
                <w:t>Part II. OTHER INFORMATION</w:t>
              </w:r>
            </w:hyperlink>
          </w:p>
        </w:tc>
        <w:tc>
          <w:tcPr>
            <w:tcW w:w="6660" w:type="dxa"/>
            <w:vAlign w:val="bottom"/>
            <w:gridSpan w:val="11"/>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5">
              <w:r>
                <w:rPr>
                  <w:rFonts w:ascii="Arial" w:cs="Arial" w:eastAsia="Arial" w:hAnsi="Arial"/>
                  <w:sz w:val="16"/>
                  <w:szCs w:val="16"/>
                  <w:color w:val="0000FF"/>
                  <w:w w:val="78"/>
                </w:rPr>
                <w:t>35</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Legal Proceedings</w:t>
              </w:r>
            </w:hyperlink>
          </w:p>
        </w:tc>
        <w:tc>
          <w:tcPr>
            <w:tcW w:w="22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1A</w:t>
              </w:r>
            </w:hyperlink>
          </w:p>
        </w:tc>
        <w:tc>
          <w:tcPr>
            <w:tcW w:w="774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22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Unregistered Sales of Equity Securities and Use of Proceeds</w:t>
              </w:r>
            </w:hyperlink>
          </w:p>
        </w:tc>
        <w:tc>
          <w:tcPr>
            <w:tcW w:w="224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Item 4</w:t>
              </w:r>
            </w:hyperlink>
          </w:p>
        </w:tc>
        <w:tc>
          <w:tcPr>
            <w:tcW w:w="7740" w:type="dxa"/>
            <w:vAlign w:val="bottom"/>
            <w:gridSpan w:val="15"/>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Mine Safety Disclosures</w:t>
              </w:r>
            </w:hyperlink>
          </w:p>
        </w:tc>
        <w:tc>
          <w:tcPr>
            <w:tcW w:w="224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6</w:t>
              </w:r>
            </w:hyperlink>
          </w:p>
        </w:tc>
        <w:tc>
          <w:tcPr>
            <w:tcW w:w="7740" w:type="dxa"/>
            <w:vAlign w:val="bottom"/>
            <w:gridSpan w:val="15"/>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Exhibits</w:t>
              </w:r>
            </w:hyperlink>
          </w:p>
        </w:tc>
        <w:tc>
          <w:tcPr>
            <w:tcW w:w="224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2"/>
          </w:tcPr>
          <w:p>
            <w:pPr>
              <w:ind w:left="44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31" w:right="3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1,396,834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1,158,184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1,237,299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971,134</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42,904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63,622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64,781</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12,597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(1,646)</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37,589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67,985</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(27,358)</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26,463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40,627</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26,560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40,970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Earnings per share (Note 2):</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81,150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80,697</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82,157</w:t>
            </w:r>
          </w:p>
        </w:tc>
      </w:tr>
      <w:tr>
        <w:trPr>
          <w:trHeight w:val="20"/>
        </w:trPr>
        <w:tc>
          <w:tcPr>
            <w:tcW w:w="8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9"/>
              </w:rPr>
              <w:t>For the Three Months Ended March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26,463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(losses) gains, net of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Unrealized gains on equity investee activity, net of tax</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636</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33,656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42,441</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Comprehensive loss attributable to non-controlling interests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33,753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42,784</w:t>
            </w:r>
          </w:p>
        </w:tc>
      </w:tr>
      <w:tr>
        <w:trPr>
          <w:trHeight w:val="20"/>
        </w:trPr>
        <w:tc>
          <w:tcPr>
            <w:tcW w:w="8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72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shares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14"/>
                <w:szCs w:val="14"/>
                <w:color w:val="auto"/>
              </w:rPr>
              <w:t>(Note 5)</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1,705,126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1,598,015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76,992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54,077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101,270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1,907,595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1,852,366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709,806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1,145,434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1,137,738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191,142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204,071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178,824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4,154,348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4,066,576</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86,558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87,866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377,954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78,118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89,087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215,707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194,494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65,455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1,047,340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963,827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1,343,549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1,280,706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204,518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184,172</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2,780,151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2,633,223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5"/>
              </w:rPr>
              <w:t>Common stock, $0.10 par value: authorized shares - 145,000,000; issued shares - 91,063,699 and 90,935,584 (including</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1,523,484 and 1,421,041 of unvested stock awards) as of March 31, 2018 and December 31, 2017, respectively</w:t>
            </w:r>
          </w:p>
        </w:tc>
        <w:tc>
          <w:tcPr>
            <w:tcW w:w="2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9,106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885,277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857,154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(63,712)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w w:val="97"/>
              </w:rPr>
              <w:t>Treasury stock, at cost: 10,171,531 and 8,132,811 shares as of March 31, 2018 and December 31, 2017, respectively</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(147,124)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1,430,799</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1,433,353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4,154,348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4,066,576</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720"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2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26,463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40,627</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49,940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42,904</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3,773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from) provision for 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(1,646)</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sales of assets, net, including fixed assets held-for-sale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non-cash items,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(97,240)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73,723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55,033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2,190</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(74,121)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Billings in excess of costs and earnings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16,888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19,612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Book overdrafts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11,729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18,390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154,173</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(28,901)</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for other investments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(14,779)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(53,347)</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12,118</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(30,856)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(69,619)</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816,888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361,743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(447,112)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Repayments of other borrowings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(90,880)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(payments for) stock-based awards,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(761)</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(53,458)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(107,794)</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on cash</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(23,080)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15,687</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8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21,355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18,023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(refunds) payments,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w:t>
            </w:r>
          </w:p>
        </w:tc>
      </w:tr>
      <w:tr>
        <w:trPr>
          <w:trHeight w:val="237"/>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Additions to acquisition-related contingent consideration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Equipment acquired under capital lease and financing arrangements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25,755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33,916</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w:t>
            </w:r>
          </w:p>
        </w:tc>
      </w:tr>
      <w:tr>
        <w:trPr>
          <w:trHeight w:val="33"/>
        </w:trPr>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614"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31" w:right="239" w:bottom="61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UNAUDITED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power generation;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2017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2017 contained in the Company’s 2017 Annual Report on Form 10-K (the “2017 Form 10-K”). In management’s opinion, all normal and recurring adjustments considered necessary for a fair presentation of the financial position, results of operations and cash flows for the periods presented have been included.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the equity method of accounting. Equity method investments are recorded as other long-term assets. Income or loss from these investments is recorded as a separate line item in the statements of operations. Intercompany profits or losses associated with the Company’s equity method investments are eliminated until realized by the investee in transactions with third parties.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Equity investments, other than those accounted for as equity method investments or those that are consolidated, are measured at fair value if their fair values are readily determinable. Equity investments that do not have readily determinable fair values are measured at cost, adjusted for changes from observable market transactions, less impairment. Realized and unrealized gains or losses related to equity investments are recognized in other income or expense.</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March 31, 2018, the Company determined that certain of its investment arrangements were VIEs; however, because it does not have the power to direct the primary activities that most significantly impact the economic performance of these VIEs, the Company is not the primary beneficiary, and accordingly, has not consolidated these VIEs.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accumulated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31" w:right="2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16"/>
          <w:szCs w:val="16"/>
          <w:color w:val="auto"/>
        </w:rPr>
        <w:t>Company defines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business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The Company adopted the requirements of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is also referred to as Accounting Standards Codification (“ASC”) Topic 606 (“Topic 606”), under the modified retrospective transition approach effective January 1, 2018, with application to all existing contracts that were not substantially completed as of January 1, 2018. The difference between the recognition criteria under Topic 606 and the Company’s previous revenue recognition practices under the previous revenue recognition guidance, ASC Topic 605-35, was recognized through a cumulative effect adjustment of approximately $2 million that was made to the opening balance of retained earnings as of January 1, 2018. Consistent with the modified retrospective transition approach, the comparative 2017 prior period was not adjusted to conform to the current period presentation.</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Under Topic 606, revenue is recognized when control of promised goods and services is transferred to customers, and the amount of revenue recognized reflects the consideration to which an entity expects to be entitled in exchange for the goods and services transferred. The adoption of Topic 606 did not have, and is not expected to have, a material effect on the timing or amount of revenue recognized as compared with the Company’s previous revenue recognition practices. Revenue is recognized by the Company primarily over time utilizing the cost-to-cost measure of progress for fixed price contracts and certain master service and other service agreements, consistent with the Company’s previous revenue recognition practices. Under Topic 606, the cost-to-cost measure of progress best depicts the transfer of control of goods or services to the customer for these contracts.</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Contracts. </w:t>
      </w:r>
      <w:r>
        <w:rPr>
          <w:rFonts w:ascii="Arial" w:cs="Arial" w:eastAsia="Arial" w:hAnsi="Arial"/>
          <w:sz w:val="15"/>
          <w:szCs w:val="15"/>
          <w:color w:val="auto"/>
        </w:rPr>
        <w:t>The Company derives revenue primarily from construction projects performed: i) under master and other service agreements, which provide a menu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services in a specific geographic territory that are utilized on an as-needed basis, and are typically priced using time and materials or a fixed price per unit basis; or ii) under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master service and other service agreements totaled 41% and 46% of consolidated revenue for the three month periods ended March 31, 2018 and 2017, respectively.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Revenue from fixed price contracts provides for a fixed amount of revenue for the entire project. Revenue from these contracts, as well as for certain projects pursuant to master and other service agreements, is recognized over time using the cost-to-cost measure of progress. For these contracts, the cost-to-cost measure of progress best depicts the continuous transfer of control of goods or services to the customer. Such contracts provide that the customer accept completion of progress to date and compensate the Company for services rendered.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For certain of the Company’s master service and other service agreements, under which it performs installation and maintenance services, primarily for install-to-the-home service providers in its Communications segment, revenue is recognized at a point in time. This is generally when the work order has been fulfilled and control has been transferred to the customer, which is typically the same day the work order is initiated. Substantially all of the Company’s other revenue is recognized over time.</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Contract costs include all direct materials, labor and subcontracted costs, as well as indirect costs related to contract performance, such as indirect labor, supplies, tools, repairs and the operational costs of capital equipment. 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profit recognition. Changes in these factors could result in revisions to revenue and costs of revenue in the period in which the revisions are determined on a prospective basis, which could materially affect the Company’s consolidated results of operations for that period. Provisions for losses on uncompleted contracts are recorded in the period in which such losses are determined. Revenue recognized for the three month period ended March 31, 2018 from performance obligations satisfied, or work completed, in previous periods totaled approximately $44.3 million.</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For install-to-the-home contracts, work orders are billed and paid as completed. Amounts billed and due from customers, as well as the amount of contract assets, are classified within accounts receivable, net, in the consolidated balance sheets. See Note 5 - Accounts Receivable, Net, and Contract Assets and Liabilities for related discussion. Amounts expected to be collected beyond one year are classified as other long-term assets.</w:t>
      </w:r>
    </w:p>
    <w:p>
      <w:pPr>
        <w:spacing w:after="0" w:line="1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promise in a contract to transfer a distinct good or service to the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Company’s contracts often require significant integration services, and even when delivering multiple distinct services, are generally accounted for as a single performance obligation. Contract amendments and change orders are generally not distinct from the existing contract due to the significant integration service provided in the context of the contract, and are accounted for as a modification of the existing contract and performance obligation. The majority of the Company’s performance obligations are completed within one year.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643" w:right="239" w:bottom="1440" w:gutter="0" w:footer="0" w:header="0"/>
        </w:sectPr>
      </w:pPr>
    </w:p>
    <w:bookmarkStart w:id="8" w:name="page9"/>
    <w:bookmarkEnd w:id="8"/>
    <w:p>
      <w:pPr>
        <w:jc w:val="both"/>
        <w:ind w:firstLine="648"/>
        <w:spacing w:after="0" w:line="256" w:lineRule="auto"/>
        <w:rPr>
          <w:sz w:val="20"/>
          <w:szCs w:val="20"/>
          <w:color w:val="auto"/>
        </w:rPr>
      </w:pPr>
      <w:r>
        <w:rPr>
          <w:rFonts w:ascii="Arial" w:cs="Arial" w:eastAsia="Arial" w:hAnsi="Arial"/>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more than one performance obligation. This evaluation requires significant judgment and is based on the facts and circumstances of the various contracts, which could change the amount of revenue and profit recognition in a given period depending upon the outcome of the evaluation.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prices for fixed price contracts and open purchase orders or work orders under master and other service agreements for which work is wholly or partially unperformed. As of March 31, 2018, the amount of the Company’s remaining performance obligations was $5.4 billion. The Company expects to recognize approximately $3.9 billion of its remaining performance obligations as revenue in 2018, with the remainder recognized primarily in 2019.</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Variable Consideration. </w:t>
      </w:r>
      <w:r>
        <w:rPr>
          <w:rFonts w:ascii="Arial" w:cs="Arial" w:eastAsia="Arial" w:hAnsi="Arial"/>
          <w:sz w:val="15"/>
          <w:szCs w:val="15"/>
          <w:color w:val="auto"/>
        </w:rPr>
        <w:t>Transaction pricing for the Company’s contracts may include variable consideration, which is comprised of items such as change orders,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claims, incentives and liquidated damages. Management estimates variable consideration for a performance obligation utilizing estimation methods that best predict the amount of consideration to which the Company will be entitled. Variable consideration is included in the estimated transaction price to the extent it is probable that a significant reversal of cumulative revenue recognized will not occur when the uncertainty associated with the variable consideration is resolved. Management’s estimates of variable consideration and determination of whether to include estimated amounts in transaction price are based largely on engineering studies and legal opinions, past practices with the customer, specific discussions, correspondence or preliminary negotiations with the customer and all other relevant information that is reasonably available. The effect of variable consideration on the transaction price of a performance obligation is typically recognized as an adjustment to revenue on a cumulative catch-up basis. To the extent unapproved change orders, claims and liquidated damages reflected in transaction price are not resolved in the Company’s favor, or to the extent incentives reflected in transaction price are not earned, there could be reductions in, or reversals of, previously recognized revenue.</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March 31, 2018 and December 31, 2017, the Company included approximately $280 million and $146 million, respectively,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as appropriate. As of March 31, 2018 and December 31, 2017, these change orders and/or claims were primarily related to certain large long-haul pipeline construction projects in the Oil and Gas segment that are expected to reach substantial completion in the coming months.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25"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See the revenue recognition discussion within Significant Accounting Policies above, and the recent accounting pronouncements discussion below, for information pertaining to the effects of recently adopted and other recent accounting pronouncements, as updated from the discussion in the Company’s 2017 Form 10-K.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Adopted in 2018</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 xml:space="preserve">In August 2016, the Financial Accounting Standards Board (“FASB”) issued ASU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Receipts and Cash Payments </w:t>
      </w:r>
      <w:r>
        <w:rPr>
          <w:rFonts w:ascii="Arial" w:cs="Arial" w:eastAsia="Arial" w:hAnsi="Arial"/>
          <w:sz w:val="15"/>
          <w:szCs w:val="15"/>
          <w:color w:val="auto"/>
        </w:rPr>
        <w:t>(“ASU 2016-15”) to reduce diversity in practice by providing guidance on the classification of certain cash receipts and payments in the statement</w:t>
      </w:r>
      <w:r>
        <w:rPr>
          <w:rFonts w:ascii="Arial" w:cs="Arial" w:eastAsia="Arial" w:hAnsi="Arial"/>
          <w:sz w:val="15"/>
          <w:szCs w:val="15"/>
          <w:i w:val="1"/>
          <w:iCs w:val="1"/>
          <w:color w:val="auto"/>
        </w:rPr>
        <w:t xml:space="preserve"> </w:t>
      </w:r>
      <w:r>
        <w:rPr>
          <w:rFonts w:ascii="Arial" w:cs="Arial" w:eastAsia="Arial" w:hAnsi="Arial"/>
          <w:sz w:val="15"/>
          <w:szCs w:val="15"/>
          <w:color w:val="auto"/>
        </w:rPr>
        <w:t>of cash flows</w:t>
      </w:r>
      <w:r>
        <w:rPr>
          <w:rFonts w:ascii="Arial" w:cs="Arial" w:eastAsia="Arial" w:hAnsi="Arial"/>
          <w:sz w:val="15"/>
          <w:szCs w:val="15"/>
          <w:color w:val="252525"/>
        </w:rPr>
        <w:t>. This ASU, which the Company adopted</w:t>
      </w:r>
      <w:r>
        <w:rPr>
          <w:rFonts w:ascii="Arial" w:cs="Arial" w:eastAsia="Arial" w:hAnsi="Arial"/>
          <w:sz w:val="15"/>
          <w:szCs w:val="15"/>
          <w:color w:val="auto"/>
        </w:rPr>
        <w:t xml:space="preserve"> as of January 1, 2018, is effective on a retrospective basis, and will result in the reclassification of certain types of activity in the consolidated statement of cash flows, including the reclassification of $12 million of second quarter 2017 acquisition-related contingent consideration payments in excess of acquisition date liabilities from financing to operating cash flows. Additionally, in connection with the adoption of this ASU, the Company elected to account for distributions received from equity method investees using the nature of distributions approach, under which distributions are classified based on the nature of the activity that generated them. The other provisions of this ASU did not have a material effect on the Company’s consolidated financial statements.</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Financial Instruments - Overall (Subtopic 825-10): Recognition and Measurement of Financial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Liabilities </w:t>
      </w:r>
      <w:r>
        <w:rPr>
          <w:rFonts w:ascii="Arial" w:cs="Arial" w:eastAsia="Arial" w:hAnsi="Arial"/>
          <w:sz w:val="15"/>
          <w:szCs w:val="15"/>
          <w:color w:val="auto"/>
        </w:rPr>
        <w:t>(“ASU 2016-01”), which was further amended in February and in March 2018 by ASU 2018-03,</w:t>
      </w:r>
      <w:r>
        <w:rPr>
          <w:rFonts w:ascii="Arial" w:cs="Arial" w:eastAsia="Arial" w:hAnsi="Arial"/>
          <w:sz w:val="15"/>
          <w:szCs w:val="15"/>
          <w:i w:val="1"/>
          <w:iCs w:val="1"/>
          <w:color w:val="auto"/>
        </w:rPr>
        <w:t xml:space="preserve"> Technical Corrections and Improvements to Financial Instruments - Overall (Subtopic 825-10): Recognition and Measurement of Financial Assets and Financial Liabilities </w:t>
      </w:r>
      <w:r>
        <w:rPr>
          <w:rFonts w:ascii="Arial" w:cs="Arial" w:eastAsia="Arial" w:hAnsi="Arial"/>
          <w:sz w:val="15"/>
          <w:szCs w:val="15"/>
          <w:color w:val="auto"/>
        </w:rPr>
        <w:t>(“ASU 2018-03”) and ASU 2018-04,</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52525"/>
        </w:rPr>
        <w:t>Investments - Debt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252525"/>
        </w:rPr>
        <w:t>Securities (Topic 320) and Regulated Operations (Topic 980):</w:t>
      </w:r>
      <w:r>
        <w:rPr>
          <w:rFonts w:ascii="Arial" w:cs="Arial" w:eastAsia="Arial" w:hAnsi="Arial"/>
          <w:sz w:val="15"/>
          <w:szCs w:val="15"/>
          <w:i w:val="1"/>
          <w:iCs w:val="1"/>
          <w:color w:val="000000"/>
        </w:rPr>
        <w:t xml:space="preserve">Amendments to SEC Paragraphs Pursuant to SEC Staff Accounting Bulletin No. 117 and SEC Release No. 33-9273 </w:t>
      </w:r>
      <w:r>
        <w:rPr>
          <w:rFonts w:ascii="Arial" w:cs="Arial" w:eastAsia="Arial" w:hAnsi="Arial"/>
          <w:sz w:val="15"/>
          <w:szCs w:val="15"/>
          <w:color w:val="000000"/>
        </w:rPr>
        <w:t>(“ASU 2018-04”) to clarify certain aspects of ASU 2016-01 and to update Securities and Exchange Commission (“SEC”) interpretive guidance in connection with the</w:t>
      </w:r>
      <w:r>
        <w:rPr>
          <w:rFonts w:ascii="Arial" w:cs="Arial" w:eastAsia="Arial" w:hAnsi="Arial"/>
          <w:sz w:val="15"/>
          <w:szCs w:val="15"/>
          <w:i w:val="1"/>
          <w:iCs w:val="1"/>
          <w:color w:val="000000"/>
        </w:rPr>
        <w:t xml:space="preserve"> </w:t>
      </w:r>
      <w:r>
        <w:rPr>
          <w:rFonts w:ascii="Arial" w:cs="Arial" w:eastAsia="Arial" w:hAnsi="Arial"/>
          <w:sz w:val="15"/>
          <w:szCs w:val="15"/>
          <w:color w:val="000000"/>
        </w:rPr>
        <w:t xml:space="preserve">provisions of ASU 2016-01. These ASUs provide guidance for the recognition, measurement, presentation and disclosure of financial assets and financial liabilities, including equity investments other than </w:t>
      </w:r>
      <w:r>
        <w:rPr>
          <w:rFonts w:ascii="Arial" w:cs="Arial" w:eastAsia="Arial" w:hAnsi="Arial"/>
          <w:sz w:val="15"/>
          <w:szCs w:val="15"/>
          <w:color w:val="252525"/>
        </w:rPr>
        <w:t>those accounted for under the equity method of accounting or those that are consolidated</w:t>
      </w:r>
      <w:r>
        <w:rPr>
          <w:rFonts w:ascii="Arial" w:cs="Arial" w:eastAsia="Arial" w:hAnsi="Arial"/>
          <w:sz w:val="15"/>
          <w:szCs w:val="15"/>
          <w:color w:val="000000"/>
        </w:rPr>
        <w:t xml:space="preserve">. </w:t>
      </w:r>
      <w:r>
        <w:rPr>
          <w:rFonts w:ascii="Arial" w:cs="Arial" w:eastAsia="Arial" w:hAnsi="Arial"/>
          <w:sz w:val="15"/>
          <w:szCs w:val="15"/>
          <w:color w:val="252525"/>
        </w:rPr>
        <w:t>Equity investments within the scope of these ASUs are</w:t>
      </w:r>
      <w:r>
        <w:rPr>
          <w:rFonts w:ascii="Arial" w:cs="Arial" w:eastAsia="Arial" w:hAnsi="Arial"/>
          <w:sz w:val="15"/>
          <w:szCs w:val="15"/>
          <w:color w:val="000000"/>
        </w:rPr>
        <w:t xml:space="preserve"> </w:t>
      </w:r>
      <w:r>
        <w:rPr>
          <w:rFonts w:ascii="Arial" w:cs="Arial" w:eastAsia="Arial" w:hAnsi="Arial"/>
          <w:sz w:val="15"/>
          <w:szCs w:val="15"/>
          <w:color w:val="252525"/>
        </w:rPr>
        <w:t xml:space="preserve">required to be measured at fair value with changes in fair value recognized in net income. Equity investments that do not have readily determinable fair values are permitted to be measured at cost, less any impairment, plus or minus any changes resulting from observable price changes for identical or similar investments of the same issuer (the “measurement alternative”). The Company adopted these ASUs as of January 1, 2018, which was applicable to the Company on a prospective basis for its equity investments as they do not have readily determinable fair values, and for which the Company elected to utilize the measurement alternative. The adoption of these ASUs will result in volatility in other income (expense), net, upon the occurrence of any observable price changes or impairments related to its equity investments. For further information pertaining to the Company’s equity investments, see Note 4 - Fair Value of Financial Instruments. </w:t>
      </w:r>
      <w:r>
        <w:rPr>
          <w:rFonts w:ascii="Arial" w:cs="Arial" w:eastAsia="Arial" w:hAnsi="Arial"/>
          <w:sz w:val="15"/>
          <w:szCs w:val="15"/>
          <w:color w:val="000000"/>
        </w:rPr>
        <w:t>The other provisions of these ASUs did not have a material effect on the</w:t>
      </w:r>
      <w:r>
        <w:rPr>
          <w:rFonts w:ascii="Arial" w:cs="Arial" w:eastAsia="Arial" w:hAnsi="Arial"/>
          <w:sz w:val="15"/>
          <w:szCs w:val="15"/>
          <w:color w:val="252525"/>
        </w:rPr>
        <w:t xml:space="preserve"> </w:t>
      </w:r>
      <w:r>
        <w:rPr>
          <w:rFonts w:ascii="Arial" w:cs="Arial" w:eastAsia="Arial" w:hAnsi="Arial"/>
          <w:sz w:val="15"/>
          <w:szCs w:val="15"/>
          <w:color w:val="000000"/>
        </w:rPr>
        <w:t>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Recent Accounting Pronouncements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52525"/>
        </w:rPr>
        <w:t xml:space="preserve">In February 2016, the FASB issued ASU 2016-02, </w:t>
      </w:r>
      <w:r>
        <w:rPr>
          <w:rFonts w:ascii="Arial" w:cs="Arial" w:eastAsia="Arial" w:hAnsi="Arial"/>
          <w:sz w:val="16"/>
          <w:szCs w:val="16"/>
          <w:i w:val="1"/>
          <w:iCs w:val="1"/>
          <w:color w:val="252525"/>
        </w:rPr>
        <w:t>Leases (Topic 842)</w:t>
      </w:r>
      <w:r>
        <w:rPr>
          <w:rFonts w:ascii="Arial" w:cs="Arial" w:eastAsia="Arial" w:hAnsi="Arial"/>
          <w:sz w:val="16"/>
          <w:szCs w:val="16"/>
          <w:color w:val="252525"/>
        </w:rPr>
        <w:t xml:space="preserve"> (“ASU 2016-02”). ASU 2016-02 provides revised guidance for lease accounting and related disclosure requirements, including a requirement for lessees to recognize right-of use assets and lease liabilities on the balance sheet for leases with durations greater than twelve months. ASU 2016-02 is effective for fiscal years, and for interim periods within those fiscal years, beginning after December 15, 2018, with early adoption permitted. Modified retrospective application is required for all leases existing as of, or entered into after, the beginning of the earliest comparative period presented in the consolidated financial statements, with certain practical expedients available.</w:t>
      </w:r>
    </w:p>
    <w:p>
      <w:pPr>
        <w:sectPr>
          <w:pgSz w:w="11900" w:h="16838" w:orient="portrait"/>
          <w:cols w:equalWidth="0" w:num="1">
            <w:col w:w="11420"/>
          </w:cols>
          <w:pgMar w:left="240" w:top="643" w:right="2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643" w:right="239" w:bottom="1440" w:gutter="0" w:footer="0" w:header="0"/>
          <w:type w:val="continuous"/>
        </w:sectPr>
      </w:pPr>
    </w:p>
    <w:bookmarkStart w:id="9" w:name="page10"/>
    <w:bookmarkEnd w:id="9"/>
    <w:p>
      <w:pPr>
        <w:jc w:val="both"/>
        <w:spacing w:after="0" w:line="275" w:lineRule="auto"/>
        <w:rPr>
          <w:sz w:val="20"/>
          <w:szCs w:val="20"/>
          <w:color w:val="auto"/>
        </w:rPr>
      </w:pPr>
      <w:r>
        <w:rPr>
          <w:rFonts w:ascii="Arial" w:cs="Arial" w:eastAsia="Arial" w:hAnsi="Arial"/>
          <w:sz w:val="16"/>
          <w:szCs w:val="16"/>
          <w:color w:val="252525"/>
        </w:rPr>
        <w:t xml:space="preserve">The Company will adopt ASU 2016-02 as of January 1, 2019, and </w:t>
      </w:r>
      <w:r>
        <w:rPr>
          <w:rFonts w:ascii="Arial" w:cs="Arial" w:eastAsia="Arial" w:hAnsi="Arial"/>
          <w:sz w:val="16"/>
          <w:szCs w:val="16"/>
          <w:color w:val="000000"/>
        </w:rPr>
        <w:t>expects to utilize the expedients permitted under ASU 2016-02, which allow entities to retain the</w:t>
      </w:r>
      <w:r>
        <w:rPr>
          <w:rFonts w:ascii="Arial" w:cs="Arial" w:eastAsia="Arial" w:hAnsi="Arial"/>
          <w:sz w:val="16"/>
          <w:szCs w:val="16"/>
          <w:color w:val="252525"/>
        </w:rPr>
        <w:t xml:space="preserve"> </w:t>
      </w:r>
      <w:r>
        <w:rPr>
          <w:rFonts w:ascii="Arial" w:cs="Arial" w:eastAsia="Arial" w:hAnsi="Arial"/>
          <w:sz w:val="16"/>
          <w:szCs w:val="16"/>
          <w:color w:val="000000"/>
        </w:rPr>
        <w:t>classification of lease contracts existing as of the date of adoption.</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52525"/>
        </w:rPr>
        <w:t>The Company is continuing to assess the potential effects of this ASU, which have not yet been quantified, on its consolidated financial statements, business processes, systems and controls. The Company’s assessment, which it expects to substantially complete in the fourth quarter of 2018, includes a detailed review of representative lease contracts at each of the Company’s business units and a comparison of its historical accounting policies and practices to the new standard. Based on the Company’s progress in reviewing its leasing arrangements across all of its business units, the Company expects to recognize incremental lease assets and liabilities on its consolidated balance sheets upon adoption of the standard.</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252525"/>
        </w:rPr>
        <w:t xml:space="preserve">This ASU is not expected to have a material effect on the amount of expense recognized in connection with the Company’s current leasing arrangements as compared to current practice, however, based on the Company’s preliminary review of its lease contracts to date, it anticipates that the amount of incremental lease assets and lease liabilities to be recognized upon adoption of this ASU will be material. The Company’s expectations may change as its assessment progresses. For information about the Company’s future lease commitments as of December 31, 2017, see Note 8 - Lease Obligations, in the Company’s </w:t>
      </w:r>
      <w:r>
        <w:rPr>
          <w:rFonts w:ascii="Arial" w:cs="Arial" w:eastAsia="Arial" w:hAnsi="Arial"/>
          <w:sz w:val="15"/>
          <w:szCs w:val="15"/>
          <w:color w:val="000000"/>
        </w:rPr>
        <w:t>2017</w:t>
      </w:r>
      <w:r>
        <w:rPr>
          <w:rFonts w:ascii="Arial" w:cs="Arial" w:eastAsia="Arial" w:hAnsi="Arial"/>
          <w:sz w:val="15"/>
          <w:szCs w:val="15"/>
          <w:color w:val="252525"/>
        </w:rPr>
        <w:t xml:space="preserve"> Form 10-K.</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or loss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Three Months Ended March 31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26,560</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40,970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80,697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Dilutive common stock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7"/>
        </w:trPr>
        <w:tc>
          <w:tcPr>
            <w:tcW w:w="858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82,157</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Additional information:</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Weighted average anti-dilutive common stock equivalents </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anti-dilutive common stock equivalents as calculated under the treasury stock method.</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During the three month period ended March 31, 2018, the Company repurchased approximately 2.0 million shares of its common stock, as discussed in Note 11 - Equity. The effect of these repurchases on the Company’s weighted average shares outstanding for the three month period ended March 31, 2018 was minimal due to the timing of the repurchases, which occurred in the latter part of the quarter. In future quarters, these share repurchases will be fully reflected in the total number of weighted average shares outstanding for the respective quarter to date periods.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March 31, 2018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466.2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141.8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1,218.3</w:t>
            </w:r>
          </w:p>
        </w:tc>
      </w:tr>
      <w:tr>
        <w:trPr>
          <w:trHeight w:val="246"/>
        </w:trPr>
        <w:tc>
          <w:tcPr>
            <w:tcW w:w="5040" w:type="dxa"/>
            <w:vAlign w:val="bottom"/>
          </w:tcPr>
          <w:p>
            <w:pPr>
              <w:ind w:left="18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(72.9)</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466.2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387.5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141.8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1,145.4</w:t>
            </w:r>
          </w:p>
        </w:tc>
      </w:tr>
    </w:tbl>
    <w:p>
      <w:pPr>
        <w:spacing w:after="0" w:line="2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For the three month period ended March 31, 2018, additions to goodwill totaled $9.8 million from new business combinations and reductions to goodwill, net, from measurement period adjustments related to the Company’s 2017 acquisitions totaled $0.6 million. Measurement period adjustments consisted primarily of a decrease in deferred tax liabilities, offset by increases in estimated earn-out liabilities, working capital adjustments and a decrease in intangible assets. For the three month period ended March 31, 2018, currency translation effects related to goodwill and accumulated impairment losses totaled approximately $3.4 million of losses and $1.9 million of gains, respectively, and for the three month period ended March 31, 2017, totaled $1.1 million of gains and $0.6 million of losses,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43"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color w:val="auto"/>
        </w:rPr>
        <w:t>The following table provides a reconciliation of changes in other intangible assets, net, for the period indicated (in millions):</w:t>
      </w:r>
    </w:p>
    <w:p>
      <w:pPr>
        <w:sectPr>
          <w:pgSz w:w="11900" w:h="16838" w:orient="portrait"/>
          <w:cols w:equalWidth="0" w:num="1">
            <w:col w:w="11420"/>
          </w:cols>
          <w:pgMar w:left="240" w:top="6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gross, as of December 31, 2017</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amortization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 as of December 31, 2017</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Additions from new business combinations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5"/>
          <w:szCs w:val="25"/>
          <w:b w:val="1"/>
          <w:bCs w:val="1"/>
          <w:color w:val="auto"/>
          <w:vertAlign w:val="superscript"/>
        </w:rPr>
        <w:t>(b)</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expense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Currency translation adjustments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 as of March 31, 2018</w:t>
      </w:r>
    </w:p>
    <w:p>
      <w:pPr>
        <w:spacing w:after="0" w:line="11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Consists principally of trade names and non-compete agreements.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3910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5"/>
                <w:szCs w:val="15"/>
                <w:b w:val="1"/>
                <w:bCs w:val="1"/>
                <w:color w:val="auto"/>
              </w:rPr>
              <w:t>Non-Amortizing</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Amortizing</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Trade Names</w:t>
            </w:r>
          </w:p>
        </w:tc>
        <w:tc>
          <w:tcPr>
            <w:tcW w:w="1400" w:type="dxa"/>
            <w:vAlign w:val="bottom"/>
            <w:gridSpan w:val="3"/>
          </w:tcPr>
          <w:p>
            <w:pPr>
              <w:ind w:left="40"/>
              <w:spacing w:after="0"/>
              <w:rPr>
                <w:sz w:val="20"/>
                <w:szCs w:val="20"/>
                <w:color w:val="auto"/>
              </w:rPr>
            </w:pPr>
            <w:r>
              <w:rPr>
                <w:rFonts w:ascii="Arial" w:cs="Arial" w:eastAsia="Arial" w:hAnsi="Arial"/>
                <w:sz w:val="15"/>
                <w:szCs w:val="15"/>
                <w:b w:val="1"/>
                <w:bCs w:val="1"/>
                <w:color w:val="auto"/>
              </w:rPr>
              <w:t>Pre-Qualifications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2"/>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77.6</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223.0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356.9</w:t>
            </w:r>
          </w:p>
        </w:tc>
        <w:tc>
          <w:tcPr>
            <w:tcW w:w="0" w:type="dxa"/>
            <w:vAlign w:val="bottom"/>
          </w:tcPr>
          <w:p>
            <w:pPr>
              <w:spacing w:after="0"/>
              <w:rPr>
                <w:sz w:val="1"/>
                <w:szCs w:val="1"/>
                <w:color w:val="auto"/>
              </w:rPr>
            </w:pPr>
          </w:p>
        </w:tc>
      </w:tr>
      <w:tr>
        <w:trPr>
          <w:trHeight w:val="274"/>
        </w:trPr>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(165.8)</w:t>
            </w:r>
          </w:p>
        </w:tc>
        <w:tc>
          <w:tcPr>
            <w:tcW w:w="0" w:type="dxa"/>
            <w:vAlign w:val="bottom"/>
          </w:tcPr>
          <w:p>
            <w:pPr>
              <w:spacing w:after="0"/>
              <w:rPr>
                <w:sz w:val="1"/>
                <w:szCs w:val="1"/>
                <w:color w:val="auto"/>
              </w:rPr>
            </w:pP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77.6</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70.6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191.1</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76.4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-1379855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-1036955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-694055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-351155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540" w:space="720"/>
            <w:col w:w="6160"/>
          </w:cols>
          <w:pgMar w:left="240" w:top="643" w:right="239" w:bottom="1440" w:gutter="0" w:footer="0" w:header="0"/>
          <w:type w:val="continuous"/>
        </w:sect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the fair values of intangible assets acquired within the measurement period for the Company’s 2017 acquisitions.</w:t>
      </w:r>
    </w:p>
    <w:p>
      <w:pPr>
        <w:spacing w:after="0" w:line="22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three month periods ended March 31, 2018 and 2017 totaled $4.9 million and $4.1 million, respectively.</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2018 Acquisitions. </w:t>
      </w:r>
      <w:r>
        <w:rPr>
          <w:rFonts w:ascii="Arial" w:cs="Arial" w:eastAsia="Arial" w:hAnsi="Arial"/>
          <w:sz w:val="16"/>
          <w:szCs w:val="16"/>
          <w:color w:val="auto"/>
        </w:rPr>
        <w:t>During the first quarter of 2018, MasTec acquired all of the equity interests in: (i) a construction management firm specializing in steel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(ii) a wind turbine services company, both of which are included in the Company’s Power Generation and Industrial segment. The aggregate purchase price for these entities was composed of approximately $6.1 million in cash and estimated earn-out liabilities totaling $1.5 million as of March 31, 2018. Determination of the estimated fair values of the net assets acquired and the estimated earn-out liabilities for these acquisitions was preliminary as of March 31, 2018, and further adjustments to these estimates may occur.</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2017 Acquisitions. </w:t>
      </w:r>
      <w:r>
        <w:rPr>
          <w:rFonts w:ascii="Arial" w:cs="Arial" w:eastAsia="Arial" w:hAnsi="Arial"/>
          <w:sz w:val="16"/>
          <w:szCs w:val="16"/>
          <w:color w:val="auto"/>
        </w:rPr>
        <w:t>During 2017, MasTec completed three acquisitions, which included all of the equity interests in: (i) a wireline/fiber deployment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 Determination of the estimated fair values of the net assets acquired and the estimated earn-out liabilities for these acquisitions was preliminary as of March 31, 2018, and further adjustments to these estimates may occur.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summarizes the estimated fair values of consideration paid and net assets acquired as of the respective dates of acquisition, as adjusted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Acquisition consideration:</w:t>
            </w:r>
          </w:p>
        </w:tc>
        <w:tc>
          <w:tcPr>
            <w:tcW w:w="500" w:type="dxa"/>
            <w:vAlign w:val="bottom"/>
          </w:tcPr>
          <w:p>
            <w:pPr>
              <w:spacing w:after="0"/>
              <w:rPr>
                <w:sz w:val="18"/>
                <w:szCs w:val="18"/>
                <w:color w:val="auto"/>
              </w:rPr>
            </w:pPr>
          </w:p>
        </w:tc>
        <w:tc>
          <w:tcPr>
            <w:tcW w:w="16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120.3</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Fair value of contingent consideration (earn-out liability)</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96.3</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 transferred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216.6</w:t>
            </w:r>
          </w:p>
        </w:tc>
      </w:tr>
      <w:tr>
        <w:trPr>
          <w:trHeight w:val="231"/>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primarily composed of accounts receivable and $2.8 million of cash acquired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43.8</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Property and equipment and other long-term assets</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57.2</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Amortizing 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28.1</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Current liabilities, including current portion of capital lease obligations and long-term debt</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(29.4)</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including capital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Deferred income taxes and other long-term liabilities</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(10.6)</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net assets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79.2</w:t>
            </w:r>
          </w:p>
        </w:tc>
      </w:tr>
      <w:tr>
        <w:trPr>
          <w:trHeight w:val="217"/>
        </w:trPr>
        <w:tc>
          <w:tcPr>
            <w:tcW w:w="92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137.4</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assets acquired, including goodwill</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216.6</w:t>
            </w:r>
          </w:p>
        </w:tc>
      </w:tr>
      <w:tr>
        <w:trPr>
          <w:trHeight w:val="20"/>
        </w:trPr>
        <w:tc>
          <w:tcPr>
            <w:tcW w:w="9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Amortizing intangible assets related to the 2017 acquisitions are primarily composed of customer relationships, backlog and other amortizing intangible assets, which had weighted average lives, as adjusted, of approximately 11 years, 4 years and 6 years, respectively, and a weighted average life of 10 years in total, and will be amortized in a manner consistent with the pattern in which the related benefits are expected to be consumed. The goodwill balances for the respective acquisitions represent the estimated value of each acquired company’s geographic presence in key markets, its assembled workforce and management team industry-specific project management expertise, as well as synergies expected to be achieved from the combined operations of the acquired companies and MasTec. Approximately $90 million of the acquired goodwill balance as of March 31, 2018 is expected to be tax deductible.</w:t>
      </w:r>
    </w:p>
    <w:p>
      <w:pPr>
        <w:sectPr>
          <w:pgSz w:w="11900" w:h="16838" w:orient="portrait"/>
          <w:cols w:equalWidth="0" w:num="1">
            <w:col w:w="11420"/>
          </w:cols>
          <w:pgMar w:left="240" w:top="643" w:right="23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43" w:right="239" w:bottom="1440" w:gutter="0" w:footer="0" w:header="0"/>
          <w:type w:val="continuous"/>
        </w:sectPr>
      </w:pPr>
    </w:p>
    <w:bookmarkStart w:id="11" w:name="page12"/>
    <w:bookmarkEnd w:id="11"/>
    <w:p>
      <w:pPr>
        <w:jc w:val="both"/>
        <w:ind w:firstLine="648"/>
        <w:spacing w:after="0" w:line="272" w:lineRule="auto"/>
        <w:rPr>
          <w:sz w:val="20"/>
          <w:szCs w:val="20"/>
          <w:color w:val="auto"/>
        </w:rPr>
      </w:pPr>
      <w:r>
        <w:rPr>
          <w:rFonts w:ascii="Arial" w:cs="Arial" w:eastAsia="Arial" w:hAnsi="Arial"/>
          <w:sz w:val="15"/>
          <w:szCs w:val="15"/>
          <w:color w:val="auto"/>
        </w:rPr>
        <w:t>The contingent consideration included in the table above equals the acquired companies’ earnings before interest, taxes, depreciation and amortization (“EBITDA”) above certain thresholds, if applicable, for a period of five years, as set forth in the respective purchase agreements, which amounts are payable annually. The fair values of the earn-out liabilities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a significantly higher or lower potential earn-out liability. As of March 31, 2018, the range of potential undiscounted earn-out liabilities for the 2017 acquisitions was estimated to be between $14 million and $188 million; however, there is no maximum payment amount.</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For the three month periods ended March 31, 2018 and 2017, unaudited supplemental pro forma revenue totaled approximately $1,400.3 million and $1,220.2 million, respectively, and unaudited supplemental pro forma net income totaled approximately $24.1 million and $42.6 million, respectively. These unaudited pro forma financial results represent the results of operations of the companies acquired as if the acquired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adjusting the historical results of MasTec to include the historical results of the acquired businesses described above, and then adjusted (i) to remove acquisition costs; (ii) to increase amortization expense resulting from the acquired intangible assets; (iii) to increase interest expense as a result of the cash consideration paid; (iv) to reduce interest expense from debt repaid upon acquisition; and (iv) to eliminate the effects of intercompany transactions. These unaudited pro forma financial results do not include adjustments to reflect other cost savings or synergies that may have resulted from these acquisitions. Future results may vary significantly due to future events and transactions, as well as other factors, many of which are beyond the Company’s control.</w:t>
      </w:r>
    </w:p>
    <w:p>
      <w:pPr>
        <w:spacing w:after="0" w:line="1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three month period ended March 31, 2018, acquisition-related results included in the Company’s consolidated results of operations included revenue of approximately $76.8 million and net income of approximately $2.0 million, based on the Company’s consolidated effective tax rate. These acquisition-related results do not include the effects of acquisition costs or interest expense associated with consideration paid for the related acquisitions.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and debt obligations.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deferred compensation plan assets and liabilities and outstanding balances on its credit facilities approximate their fair values.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March 31, 2018 and December 31, 2017, financial instruments required to be measured at fair value on a recurring basis consisted primarily of acquisition-related contingent consideration, or “earn-out” liabilities, which represents the estimated fair value of future amounts payable for acquisitions of businesses and other interests. Acquisition-related contingent consideration liabilities are based on management estimates and entity-specific assumptions, which are Level 3 inputs, and are evaluated on an ongoing basis. As of March 31, 2018 and December 31, 2017, the estimated fair value of the Company’s earn-out liabilities totaled $121.4 million and $117.2 million, respectively, of which $23.8 million and $22.6 million, respectively, was included within other current liabilities. The fair value of the Company’s earn-out liabilities is estimated using income approaches such as discounted cash flows or option pricing models and incorporates significant inputs not observable in the market. Key assumptions include the discount rate and probability-weighted EBITDA projections. Significant changes in any of these assumptions could result in a significantly higher or lower potential earn-out liability. As of March 31, 2018, the range of potential undiscounted earn-out liabilities was estimated to be between $28 million and $214 million; however, there is no maximum payment amount.</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Acquisition-related contingent consideration activity consists primarily of additions from new business combinations and acquisitions of other interests; payments; and changes in the expected fair value of future earn-out obligations. Fair value adjustments for earn-out liabilities that relate to circumstances that developed after the date of acquisition are recorded within other income or expense, as appropriate. Fair value adjustments for earn-out liabilities that relate to new information obtained about the facts and circumstances that existed as of the date of acquisition, which are referred to as measurement period adjustments, are recorded to goodwill. For the three month period ended March 31, 2018, additions to acquisition-related contingent consideration from new business combinations totaled approximately $1.5 million and additions from measurement period adjustments totaled approximately $2.7 million. Other acquisition-related contingent consideration activity was de minimis in both the three month periods ended March 31, 2018 and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43"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Non-Recurring Basis</w:t>
      </w:r>
    </w:p>
    <w:p>
      <w:pPr>
        <w:spacing w:after="0" w:line="22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Assets and liabilities recognized or disclosed at fair value on a non-recurring basis, for which remeasurement occurs in the event of an impairment or other measurement event, if applicable, include items such as equity investments, life insurance assets, long-lived assets, goodwill, other intangible assets and debt.</w:t>
      </w:r>
    </w:p>
    <w:p>
      <w:pPr>
        <w:spacing w:after="0" w:line="149"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As of both March 31, 2018 and December 31, 2017, the gross carrying amount of the Company’s 4.875% Senior Notes totaled $400 million. As of March 31, 2018 and December 31, 2017, the estimated fair value of the 4.875% Senior Notes, based on Level 1 inputs, totaled $400.0 million and $410.0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Company’s equity investments as of March 31, 2018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its proportionately consolidated non-controlled contractual joint ventures; (iv) the Company’s equity interests in Pensare Acquisition Corp. (“Pensare”); and (v) certain other equity investments. See below and Note 15 - Related Party Transactions.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fair values of the Company’s equity investments are not readily determinable. The Company’s equity investments, other than those accounted for as equity method investments or those that are proportionately consolidated, are measured at cost, adjusted for changes from observable market transactions, less impairment (“adjusted cost basis”), with realized and unrealized gains or losses recognized in other income or expense. Fair value measurements for the Company’s equity investments are classified within Level 3 in the fair value hierarchy based on the nature of the fair value inputs. For the three month period ended March 31, 2018, the Company was not aware of any observable market transactions related to, or impairments of, its equity investments. The aggregate carrying value of the Company’s equity investments as of March 31, 2018 and December 31, 2017 totaled approximately $163 million and $141 million, respectively, including approximately $18 million of equity investments measured on an adjusted cost basis as of both periods.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The Waha JVs</w:t>
      </w:r>
      <w:r>
        <w:rPr>
          <w:rFonts w:ascii="Arial" w:cs="Arial" w:eastAsia="Arial" w:hAnsi="Arial"/>
          <w:sz w:val="16"/>
          <w:szCs w:val="16"/>
          <w:color w:val="auto"/>
        </w:rPr>
        <w:t>. The Waha JVs own and operate two pipelines and a header system that transport natural gas to the Mexican border for export. These pipelines,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interconnect with pipelines in Mexico, commenced operations in 2017. For the three month periods ended March 31, 2018 and 2017, the Company made equity contributions to these joint ventures of approximately $14.8 million and $53.3 million, respectively. In connection with its equity commitments in the Waha JVs, the Company has, in the past, issued letters of credit, of which $19 million were outstanding as of December 31, 2017. As of March 31, 2018, there were no letters of credit remaining, and all of the Company’s equity commitments had been satisfied.</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Equity in earnings related to the Company’s proportionate share of income from the Waha JVs, which is included within the Company’s Other segment, totaled approximately $5.6 million and $1.6 million for the three month periods ended March 31, 2018 and 2017, respectively. Cumulative undistributed earnings from the Waha JVs totaled $16.8 million as of March 31, 2018. For the three month period ended March 31, 2018, the Company received $5.7 million in distributions of earnings from the Waha JVs. The Company’s net investment in the Waha JVs, which differs from its proportionate share of the net assets of the Waha JVs due largely to capitalized investment costs, totaled approximately $144 million and $121 million as of March 31, 2018 and December 31, 2017, respectively. Certain subsidiaries of MasTec have provided pipeline construction services to the Waha JVs. For the three month period ended March 31, 2018, revenue recognized in connection with work performed for the Waha JVs, including intercompany eliminations, was de minimis, and for the three month period ended March 31, 2017, totaled $151.4 million. As of March 31, 2018 and December 31, 2017, related receivables, net of billings in excess of costs and earnings, totaled $0.2 million and $2.8 million, respectively.</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TPP and CTP are party to separate non-recourse financing facilities, which are each secured by pledges of the equity interests in the respective entities, as well as a first lien security interest over virtually all of TPP’s and CTP’s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The Company’s proportionate share of unrecognized unrealized activity on these interest rate swaps for the three month periods ended March 31, 2018 and 2017 were gains of approximately $10.1 million and $1.0 million, respectively, or $7.7 million and $0.6 million, net of tax, respectively.</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Investments</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During the third quarter of 2017, the Company paid $2.0 million for approximately 4% of the common stock of Pensare and warrants to purchase 2.0 million shares of Pensare common stock, which is a special purpose acquisition company focusing on transactions in the telecommunications industry. The shares of common stock purchased by MasTec are not transferable or salable until one year after Pensare successfully completes a business combination transaction, with limited exceptions, as specified in the agreement. The warrants purchased by MasTec are exercisable at a purchase price of $11.50 per share after Pensare successfully completes a business combination. Both the warrants and shares expire and/or are effectively forfeitable if Pensare does not successfully complete a business combination by February 1, 2019. The warrants, which are derivative financial instruments, and the shares, which are measured on an adjusted cost basis, are included within other long-term assets in the Company’s consolidated financial statements as of March 31, 2018. The fair value of the warrants, as determined based on Level 3 inputs, approximated their initial cost basis as of March 31, 2018. The fair value of the shares is not readily determinable due to the nature of the restrictions. José R. Mas, MasTec’s Chief Executive Officer, is a director of Pensare.</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connection with the 2014 acquisition of Pacer Construction Holdings Corporation and its affiliated operating companies (collectively, “Pacer”), the Company acquired an investment that is in the final stages of being liquidated and is being managed by a receiver. The Company received $5.4 million and $12.1 million of proceeds from the receiver in the three month periods ended March 31, 2018 and 2017, respectively. The net carrying value, which is included within other current assets, totaled $4.0 million and $9.6 million as of March 31, 2018 and December 31, 2017,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43"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Note 5 - Accounts Receivable, Net, and Contract Assets and Liabilities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following table provides details of accounts receivable, net of allowance, contract assets (together, “accounts receivable, net”) and contract liabilities as of the dates indicated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allowance for doubtful accounts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599.2</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Retainage and costs and earnings in excess of billings (together, “contract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1,034.7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1,598.0</w:t>
            </w:r>
          </w:p>
        </w:tc>
      </w:tr>
      <w:tr>
        <w:trPr>
          <w:trHeight w:val="291"/>
        </w:trPr>
        <w:tc>
          <w:tcPr>
            <w:tcW w:w="8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Billings in excess of costs and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Accrued project losses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Contract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w:t>
            </w:r>
          </w:p>
        </w:tc>
      </w:tr>
      <w:tr>
        <w:trPr>
          <w:trHeight w:val="20"/>
        </w:trPr>
        <w:tc>
          <w:tcPr>
            <w:tcW w:w="8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Contract assets consist of costs and earnings in excess of billings (“CIEB”) and retainage. CIEB, which is also referred to as work in process, represents the estimated value of unbilled work.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 are generally classified as current assets within the Company’s consolidated balance sheets.</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Under certain contracts, the Company may be entitled to receive payments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are generally classified within current liabilities on the Company’s consolidated balance sheets. If revenue from BIEC is not expected to be recognized within one year, the related amounts are classified as other long-term liabilities. For the three month period ended March 31, 2018, the Company recognized revenue of approximately $84.8 million related to amounts that were included in BIEC as of December 31, 2017, resulting primarily from the advancement of physical progress on the respective projects during the period. Contract liabilities also include accrued project losses, which are classified within other current liabilities on the Company’s consolidated balance sheets.</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Provisions for doubtful accounts for each of the three month periods ended March 31, 2018 and 2017 totaled $0.8 million and $0.5 million, respectively. Retainage, which has been billed, but is not due until completion of performance and acceptance by customers, is expected to be collected within one year. Accounts receivable expected to be collected beyond one year are recorded within other long-term assets. The increase in the CIEB balance for the three month period ended March 31, 2018 was driven largely by long-haul project activity and timing of billings within our Oil and Gas segment.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$1.9 million and $0.9 million for the three month periods ended March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capital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149.9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1,489.0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1,455.6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709.8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706.5</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801" w:right="239" w:bottom="1440" w:gutter="0" w:footer="0" w:header="0"/>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801" w:right="239" w:bottom="1440" w:gutter="0" w:footer="0" w:header="0"/>
          <w:type w:val="continuous"/>
        </w:sectPr>
      </w:pPr>
    </w:p>
    <w:bookmarkStart w:id="14" w:name="page15"/>
    <w:bookmarkEnd w:id="14"/>
    <w:p>
      <w:pPr>
        <w:jc w:val="both"/>
        <w:ind w:firstLine="648"/>
        <w:spacing w:after="0" w:line="256"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$113.8 million and $109.9 million as of March 31, 2018 and December 31, 2017, respectively. Capitalized internal-use software, net of accumulated amortization, totaled $25.0 million and $23.5 million as of March 31, 2018 and December 31, 2017, respectively. Depreciation and amortization expense associated with property and equipment for the three month periods ended March 31, 2018 and 2017 totaled $45.1 million and $38.8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December 31,</w:t>
            </w:r>
          </w:p>
        </w:tc>
      </w:tr>
      <w:tr>
        <w:trPr>
          <w:trHeight w:val="210"/>
        </w:trPr>
        <w:tc>
          <w:tcPr>
            <w:tcW w:w="51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Description</w:t>
            </w:r>
          </w:p>
        </w:tc>
        <w:tc>
          <w:tcPr>
            <w:tcW w:w="384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February 22, 2022</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840" w:type="dxa"/>
            <w:vAlign w:val="bottom"/>
            <w:gridSpan w:val="3"/>
          </w:tcPr>
          <w:p>
            <w:pPr>
              <w:ind w:left="36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453.8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377.7</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396.9</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84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 weighted average interest rate of 3.7%</w:t>
            </w: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 installments through September 1, 2022</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Other debt obligations</w:t>
            </w:r>
          </w:p>
        </w:tc>
        <w:tc>
          <w:tcPr>
            <w:tcW w:w="3840" w:type="dxa"/>
            <w:vAlign w:val="bottom"/>
            <w:gridSpan w:val="3"/>
          </w:tcPr>
          <w:p>
            <w:pPr>
              <w:ind w:left="20"/>
              <w:spacing w:after="0"/>
              <w:rPr>
                <w:sz w:val="20"/>
                <w:szCs w:val="20"/>
                <w:color w:val="auto"/>
              </w:rPr>
            </w:pPr>
            <w:r>
              <w:rPr>
                <w:rFonts w:ascii="Arial" w:cs="Arial" w:eastAsia="Arial" w:hAnsi="Arial"/>
                <w:sz w:val="16"/>
                <w:szCs w:val="16"/>
                <w:color w:val="auto"/>
              </w:rPr>
              <w:t>Varies</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25.8</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long-term debt obligations</w:t>
            </w:r>
          </w:p>
        </w:tc>
        <w:tc>
          <w:tcPr>
            <w:tcW w:w="3840" w:type="dxa"/>
            <w:vAlign w:val="bottom"/>
            <w:tcBorders>
              <w:bottom w:val="single" w:sz="8" w:color="CCEEFF"/>
            </w:tcBorders>
            <w:gridSpan w:val="3"/>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1,381.6</w:t>
            </w: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840" w:type="dxa"/>
            <w:vAlign w:val="bottom"/>
            <w:tcBorders>
              <w:bottom w:val="single" w:sz="8" w:color="CCEEFF"/>
            </w:tcBorders>
            <w:gridSpan w:val="3"/>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1,368.6</w:t>
            </w: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Current portion of long-term debt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debt</w:t>
            </w:r>
          </w:p>
        </w:tc>
        <w:tc>
          <w:tcPr>
            <w:tcW w:w="366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 has a senior secured credit facility (the “Credit Facility”). Under the Credit Facility, aggregate borrowing commitments totaled approximately $1.5 billion as of March 31, 2018, composed of $1.1 billion of revolving commitments and a term loan of approximately $0.4 billion. The term loan is subject to amortization in quarterly principal installments. An initial installment of $3.1 million was paid in December 2017, and for the three month period ended March 31, 2018, an installment of $5.0 million was paid. Quarterly principal installments on the term loan are subject to adjustment, if applicable, for certain prepayments.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March 31, 2018 and December 31, 2017, outstanding revolving loans, which included $112 million and $117 million, respectively, of borrowings denominated in foreign currencies, accrued interest at weighted average rates of approximately 3.98% and 3.69% per annum, respectively. The term loan accrued interest at a rate of 3.50% and 3.07% as of March 31, 2018 and December 31, 2017, respectively. Letters of credit of approximately $131.7 million and $157.1 million were issued as of March 31, 2018 and December 31, 2017, respectively. As of March 31, 2018 and December 31, 2017, letters of credit fees accrued at 0.750% and 0.625% per annum, respectively, for performance standby letters of credit, and at 1.625% and 1.50% per annum, respectively, for financial standby letters of credit. Outstanding letters of credit mature at various dates and most have automatic renewal provisions, subject to prior notice of cancellation. As of March 31, 2018 and December 31, 2017, availability for revolving loans totaled $514.5 million and $565.2 million, respectively, or up to $514.5 million and $492.9 million, respectively, for new letters of credit. Revolving loan borrowing capacity included $187.7 million and $183.4 million of availability in either Canadian dollars or Mexican pesos as of March 31, 2018 and December 31, 2017, respectively. The unused facility fee as of March 31, 2018 and December 31, 2017 accrued at a rate of 0.30% and 0.25%, respectively.</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Other Credit Facilities</w:t>
      </w:r>
      <w:r>
        <w:rPr>
          <w:rFonts w:ascii="Arial" w:cs="Arial" w:eastAsia="Arial" w:hAnsi="Arial"/>
          <w:sz w:val="15"/>
          <w:szCs w:val="15"/>
          <w:color w:val="auto"/>
        </w:rPr>
        <w:t>. The Company has other credit facilities that support the working capital requirements of its foreign operations. Borrowings under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credit facilities, which have varying dates of maturity and are generally renewed on an annual basis, are denominated in Canadian dollars. As of both March 31, 2018 and December 31, 2017, maximum borrowing capacity totaled Canadian $20.0 million, or approximately $15.5 million and $15.9 million, respectively. As of March 31, 2018 and December 31, 2017, outstanding borrowings totaled approximately $6.4 million and $10.4 million, respectively, and accrued interest at a weighted average rate of approximately 4.2% and 4.0%, respectively. Outstanding borrowings that are not renewed are repaid with borrowings under the Credit Facility. Accordingly, the carrying amounts of the Company’s borrowings under its other credit facilities, which are included within other debt obligations in the table above, are classified within long-term debt in the Company’s consolidated balance sheets. The Company’s other credit facilities are subject to customary provisions and covenants.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Unaudited Consolidating Financial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MasTec was in compliance with the provisions and covenants of its outstanding debt instruments as of March 31, 2018 and December 31, 2017.</w:t>
      </w:r>
    </w:p>
    <w:p>
      <w:pPr>
        <w:sectPr>
          <w:pgSz w:w="11900" w:h="16838" w:orient="portrait"/>
          <w:cols w:equalWidth="0" w:num="1">
            <w:col w:w="11420"/>
          </w:cols>
          <w:pgMar w:left="240" w:top="697"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97" w:right="239" w:bottom="1440" w:gutter="0" w:footer="0" w:header="0"/>
          <w:type w:val="continuous"/>
        </w:sectPr>
      </w:pPr>
    </w:p>
    <w:bookmarkStart w:id="15" w:name="page16"/>
    <w:bookmarkEnd w:id="15"/>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2018 and December 31, 2017, accrued interest payable, which is recorded within other accrued expenses in the consolidated balance sheets, totaled $2.5 million and $7.4 million, respectively. For additional information pertaining to the Company’s debt instruments, including its 4.875% Senior Notes, see Note 7 - Debt in the Company’s 2017 Form 10-K.</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Capital Leases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enters into agreements that provide lease financing for machinery and equipment. The gross amount of assets held under capital leases as of March 31, 2018 and December 31, 2017, which are included within property and equipment, net, totaled $429.9 million and $418.0 million, respectively. Assets held under capital leases, net of accumulated depreciation, totaled $288.2 million and $277.3 million as of March 31, 2018 and December 31, 2017,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ordinary course of business, the Company enters into non-cancelable operating leases for certain of its facility, vehicle and equipment needs, including related party leases. See Note 15 - Related Party Transactions. Rent and related expense for operating leases that have non-cancelable terms in excess of one year totaled approximately $26.9 million and $25.6 million for the three month periods ended March 31, 2018 and 2017, respectively. The Company also incurred rent and related expense for facilities, vehicles and equipment having original terms of one year or less totaling approximately $91.7 million and $55.1 million for the three month periods ended March 31, 2018 and 2017,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stock-based compensation plans, under which shares of the Company’s common stock are reserved for issuance. Under all stock-based compensation plans in effect as of March 31, 2018, including employee stock purchase plans, there were approximately 4.7 million shares available for future grant.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employees and directors,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March 31, 2018 was approximately $23.0 million, which is expected to be recognized over a weighted average period of approximately 2.2 years. The intrinsic value of restricted shares that vested, which is based on the market price on the date of vesting, totaled $0.1 million and $11.6 million for the three month periods ended March 31, 2018 and 2017,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Average Grant Date</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color w:val="auto"/>
                <w:vertAlign w:val="superscript"/>
              </w:rPr>
              <w:t>(a)</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2017</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1,448,591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111,367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50.83</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(6,552)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22.23</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March 31,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1,551,034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25.23</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Includes 27,550 restricted stock units as of both March 31, 2018 </w:t>
      </w:r>
      <w:r>
        <w:rPr>
          <w:rFonts w:ascii="Arial" w:cs="Arial" w:eastAsia="Arial" w:hAnsi="Arial"/>
          <w:sz w:val="16"/>
          <w:szCs w:val="16"/>
          <w:color w:val="auto"/>
        </w:rPr>
        <w:t>and</w:t>
      </w:r>
      <w:r>
        <w:rPr>
          <w:rFonts w:ascii="Arial" w:cs="Arial" w:eastAsia="Arial" w:hAnsi="Arial"/>
          <w:sz w:val="14"/>
          <w:szCs w:val="14"/>
          <w:color w:val="auto"/>
        </w:rPr>
        <w:t xml:space="preserve"> December 31, 2017, respectively.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6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8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9"/>
              </w:rPr>
              <w:t>For the Three Months Ended March 31</w:t>
            </w:r>
          </w:p>
        </w:tc>
      </w:tr>
      <w:tr>
        <w:trPr>
          <w:trHeight w:val="33"/>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400" w:type="dxa"/>
            <w:vAlign w:val="bottom"/>
          </w:tcPr>
          <w:p>
            <w:pPr>
              <w:spacing w:after="0"/>
              <w:rPr>
                <w:sz w:val="20"/>
                <w:szCs w:val="20"/>
                <w:color w:val="auto"/>
              </w:rPr>
            </w:pPr>
          </w:p>
        </w:tc>
        <w:tc>
          <w:tcPr>
            <w:tcW w:w="4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486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3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25,638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24,026</w:t>
            </w:r>
          </w:p>
        </w:tc>
      </w:tr>
      <w:tr>
        <w:trPr>
          <w:trHeight w:val="33"/>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486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486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8.49</w:t>
            </w:r>
          </w:p>
        </w:tc>
      </w:tr>
      <w:tr>
        <w:trPr>
          <w:trHeight w:val="473"/>
        </w:trPr>
        <w:tc>
          <w:tcPr>
            <w:tcW w:w="4400" w:type="dxa"/>
            <w:vAlign w:val="bottom"/>
          </w:tcPr>
          <w:p>
            <w:pPr>
              <w:spacing w:after="0"/>
              <w:rPr>
                <w:sz w:val="24"/>
                <w:szCs w:val="24"/>
                <w:color w:val="auto"/>
              </w:rPr>
            </w:pPr>
          </w:p>
        </w:tc>
        <w:tc>
          <w:tcPr>
            <w:tcW w:w="3940" w:type="dxa"/>
            <w:vAlign w:val="bottom"/>
          </w:tcPr>
          <w:p>
            <w:pPr>
              <w:jc w:val="right"/>
              <w:ind w:right="2459"/>
              <w:spacing w:after="0"/>
              <w:rPr>
                <w:sz w:val="20"/>
                <w:szCs w:val="20"/>
                <w:color w:val="auto"/>
              </w:rPr>
            </w:pPr>
            <w:r>
              <w:rPr>
                <w:rFonts w:ascii="Arial" w:cs="Arial" w:eastAsia="Arial" w:hAnsi="Arial"/>
                <w:sz w:val="16"/>
                <w:szCs w:val="16"/>
                <w:color w:val="auto"/>
              </w:rPr>
              <w:t>16</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643"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Non-Cash Stock-Based Compensation Expense</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9960" w:type="dxa"/>
            <w:vAlign w:val="bottom"/>
            <w:gridSpan w:val="4"/>
          </w:tcPr>
          <w:p>
            <w:pPr>
              <w:jc w:val="right"/>
              <w:ind w:right="700"/>
              <w:spacing w:after="0"/>
              <w:rPr>
                <w:sz w:val="20"/>
                <w:szCs w:val="20"/>
                <w:color w:val="auto"/>
              </w:rPr>
            </w:pPr>
            <w:r>
              <w:rPr>
                <w:rFonts w:ascii="Arial" w:cs="Arial" w:eastAsia="Arial" w:hAnsi="Arial"/>
                <w:sz w:val="16"/>
                <w:szCs w:val="16"/>
                <w:color w:val="auto"/>
                <w:w w:val="98"/>
              </w:rPr>
              <w:t>Details of non-cash stock-based compensation expense and related tax effects for the periods indicated were as follows (in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9"/>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stock-based compensation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Income Tax Effects: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effect of non-cash stock-based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311"/>
        </w:trPr>
        <w:tc>
          <w:tcPr>
            <w:tcW w:w="8340" w:type="dxa"/>
            <w:vAlign w:val="bottom"/>
          </w:tcPr>
          <w:p>
            <w:pPr>
              <w:ind w:left="180"/>
              <w:spacing w:after="0"/>
              <w:rPr>
                <w:sz w:val="20"/>
                <w:szCs w:val="20"/>
                <w:color w:val="auto"/>
              </w:rPr>
            </w:pPr>
            <w:r>
              <w:rPr>
                <w:rFonts w:ascii="Arial" w:cs="Arial" w:eastAsia="Arial" w:hAnsi="Arial"/>
                <w:sz w:val="16"/>
                <w:szCs w:val="16"/>
                <w:color w:val="auto"/>
              </w:rPr>
              <w:t xml:space="preserve">Excess tax benefit from non-cash stock-based compensation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jc w:val="both"/>
        <w:ind w:left="420" w:hanging="412"/>
        <w:spacing w:after="0" w:line="252"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Excess tax benefits represent cash flows from tax deductions in excess of the tax effect of compensation expense associated with share-based payment arrangements. For the three month period ended March 31, 2018, tax benefits, net of tax deficiencies, related to the vesting of share-based payment awards were de minimis, and, for the three month period ended March 31, 2017, the Company recognized a tax deficiency, net of tax benefits, of $0.2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Multiemployer Plans. </w:t>
      </w:r>
      <w:r>
        <w:rPr>
          <w:rFonts w:ascii="Arial" w:cs="Arial" w:eastAsia="Arial" w:hAnsi="Arial"/>
          <w:sz w:val="15"/>
          <w:szCs w:val="15"/>
          <w:color w:val="auto"/>
        </w:rPr>
        <w:t>Certain of MasTec’s subsidiaries, including certain subsidiaries in Canada, contribute amounts to multiemployer pension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any given time, and the plans in which they participate, vary depending upon the location and number of ongoing projects at a given time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Arial" w:cs="Arial" w:eastAsia="Arial" w:hAnsi="Arial"/>
                <w:sz w:val="16"/>
                <w:szCs w:val="16"/>
                <w:b w:val="1"/>
                <w:bCs w:val="1"/>
                <w:color w:val="auto"/>
                <w:w w:val="92"/>
              </w:rPr>
              <w:t xml:space="preserve">Contributions </w:t>
            </w:r>
            <w:r>
              <w:rPr>
                <w:rFonts w:ascii="Arial" w:cs="Arial" w:eastAsia="Arial" w:hAnsi="Arial"/>
                <w:sz w:val="15"/>
                <w:szCs w:val="15"/>
                <w:b w:val="1"/>
                <w:bCs w:val="1"/>
                <w:color w:val="auto"/>
                <w:w w:val="92"/>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jc w:val="right"/>
              <w:ind w:right="2139"/>
              <w:spacing w:after="0"/>
              <w:rPr>
                <w:sz w:val="20"/>
                <w:szCs w:val="20"/>
                <w:color w:val="auto"/>
              </w:rPr>
            </w:pPr>
            <w:r>
              <w:rPr>
                <w:rFonts w:ascii="Arial" w:cs="Arial" w:eastAsia="Arial" w:hAnsi="Arial"/>
                <w:sz w:val="16"/>
                <w:szCs w:val="16"/>
                <w:b w:val="1"/>
                <w:bCs w:val="1"/>
                <w:color w:val="auto"/>
                <w:w w:val="94"/>
              </w:rPr>
              <w:t>For the Three Months Ended March 31:</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jc w:val="right"/>
              <w:ind w:right="4619"/>
              <w:spacing w:after="0"/>
              <w:rPr>
                <w:sz w:val="20"/>
                <w:szCs w:val="20"/>
                <w:color w:val="auto"/>
              </w:rPr>
            </w:pPr>
            <w:r>
              <w:rPr>
                <w:rFonts w:ascii="Arial" w:cs="Arial" w:eastAsia="Arial" w:hAnsi="Arial"/>
                <w:sz w:val="16"/>
                <w:szCs w:val="16"/>
                <w:color w:val="auto"/>
                <w:w w:val="89"/>
              </w:rPr>
              <w:t>2018</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37"/>
        </w:trPr>
        <w:tc>
          <w:tcPr>
            <w:tcW w:w="5040" w:type="dxa"/>
            <w:vAlign w:val="bottom"/>
          </w:tcPr>
          <w:p>
            <w:pPr>
              <w:jc w:val="right"/>
              <w:ind w:right="4619"/>
              <w:spacing w:after="0"/>
              <w:rPr>
                <w:sz w:val="20"/>
                <w:szCs w:val="20"/>
                <w:color w:val="auto"/>
              </w:rPr>
            </w:pPr>
            <w:r>
              <w:rPr>
                <w:rFonts w:ascii="Arial" w:cs="Arial" w:eastAsia="Arial" w:hAnsi="Arial"/>
                <w:sz w:val="16"/>
                <w:szCs w:val="16"/>
                <w:color w:val="auto"/>
                <w:w w:val="89"/>
              </w:rPr>
              <w:t>2017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are primarily related to higher levels of union resource-based project activity within the Company’s oil and gas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month period ended March 31, 2018, the Company repurchased approximately 2.0 million shares of its common stock for an aggregate purchase price of $98.4 million, of which approximately $8 million was settled in April 2018, under a now completed share repurchase program that was established in 2016. Subsequently, in March 2018, the Company’s Board of Directors authorized a new $100 million share repurchase program (the “2018 Share Repurchase Program”). There were no share repurchases under the 2018 Share Repurchase Program during the first quarter of 2018; however, in April 2018, the Company repurchased approximately 0.6 million shares of its common stock for an aggregate purchase price of $24.5 million under this program.</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2018 Share Repurchase Program, which does not have an expiration date, the Company may repurchase shares of its common stock from time to time in open market transactions or in privately-negotiated transactions in accordance with applicable securities laws. The timing and the amount of any repurchases will be determined based on market conditions, legal requirements, cash flow and liquidity needs and other factors. The share repurchase program may be modified or suspended at any time at the Company’s discretion. Share repurchases, which are recorded at cost and are held in the Company’s treasury, are funded with available cash or with availability under the Credit Facility.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Accumulated other comprehensive loss is composed of unrealized foreign currency gains and losses from fluctuations in foreign currency exchange rates of the Company’s foreign subsidiaries with a functional currency other than the U.S. dollar, as well as unrealized gains and losses from certain investment activities. Unrealized foreign currency activity for both the three month periods ended March 31, 2018 and 2017 is primarily related to translation gains and losses resulting from the Company’s Canadian operations, and investment activity for both the three month periods ended March 31, 2018 and 2017 relates to unrealized gains and losses on interest rate swaps associated with the Waha JVs.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97"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Note 12 - Income Taxes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December 2017, the Tax Cuts and Jobs Act of 2017 (the “2017 Tax Act”) was enacted, which included broad tax reform that is applicable to the Company. Under the provisions of the 2017 Tax Act, the U.S. corporate tax rate decreased from 35% to 21% effective January 1, 2018. The Company completed an initial remeasurement of its U.S. deferred tax assets and liabilities as of December 31, 2017 as a result of this new tax law and recognized a non-cash tax benefit of $120.1 million in the fourth quarter of 2017. This initial remeasurement contained estimates of the effect of the 2017 Tax Act, as permitted under Staff Accounting Bulletin (“SAB”) 118, and may be affected by future guidance. In March 2018, the FASB issued ASU 2018-05, </w:t>
      </w:r>
      <w:r>
        <w:rPr>
          <w:rFonts w:ascii="Arial" w:cs="Arial" w:eastAsia="Arial" w:hAnsi="Arial"/>
          <w:sz w:val="16"/>
          <w:szCs w:val="16"/>
          <w:i w:val="1"/>
          <w:iCs w:val="1"/>
          <w:color w:val="auto"/>
        </w:rPr>
        <w:t>Income Taxes (Topic 740): Amendments to SEC Paragraphs Pursuant to SEC Staff Accounting Bulletin No.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118 </w:t>
      </w:r>
      <w:r>
        <w:rPr>
          <w:rFonts w:ascii="Arial" w:cs="Arial" w:eastAsia="Arial" w:hAnsi="Arial"/>
          <w:sz w:val="16"/>
          <w:szCs w:val="16"/>
          <w:color w:val="auto"/>
        </w:rPr>
        <w:t>(“ASU 2018-05”), which amended Topic 740 to incorporate the requirements of SAB 118. Any revisions to the initial remeasurement of the Company’s deferred tax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as of December 31, 2017 for the effects of the 2017 Tax Act will be treated in accordance with the measurement period guidance as outlined in Topic 740 and SAB 118.</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heavy civil and industrial infrastructure. The Other segment includes equity investees, the services of which vary from those provided by the Company’s four primary segments, as well as other small business units that perform construction and other services for a variety of international end-markets.</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(in millions). The tables below may contain slight summation differences due to rounding.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Three Months Ended March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1,158.2</w:t>
            </w:r>
          </w:p>
        </w:tc>
      </w:tr>
      <w:tr>
        <w:trPr>
          <w:trHeight w:val="20"/>
        </w:trPr>
        <w:tc>
          <w:tcPr>
            <w:tcW w:w="8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right="2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17.8% and 13.4% of Communications segment revenue for the three month periods ended March 31, 2018 and 2017,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1440" w:gutter="0" w:footer="0" w:header="0"/>
        </w:sectPr>
      </w:pPr>
    </w:p>
    <w:bookmarkStart w:id="18" w:name="page19"/>
    <w:bookmarkEnd w:id="18"/>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Communications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Electrical Transmission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Power Generation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Consolidated EBITDA</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Communications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Electrical Transmission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Power Generation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Consolidated depreciation and amortization</w:t>
      </w: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EBITDA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EBITDA</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5"/>
          <w:szCs w:val="15"/>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45085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366"/>
        </w:trPr>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Three Months Ended March 31</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366"/>
        </w:trPr>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Three Months Ended March 31</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68.0</w:t>
            </w:r>
          </w:p>
        </w:tc>
      </w:tr>
      <w:tr>
        <w:trPr>
          <w:trHeight w:val="540"/>
        </w:trPr>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2">
            <w:col w:w="7860" w:space="720"/>
            <w:col w:w="2840"/>
          </w:cols>
          <w:pgMar w:left="240" w:top="868" w:right="239" w:bottom="1440" w:gutter="0" w:footer="0" w:header="0"/>
        </w:sectPr>
      </w:pPr>
    </w:p>
    <w:p>
      <w:pPr>
        <w:jc w:val="both"/>
        <w:ind w:firstLine="648"/>
        <w:spacing w:after="0" w:line="269" w:lineRule="auto"/>
        <w:rPr>
          <w:sz w:val="20"/>
          <w:szCs w:val="20"/>
          <w:color w:val="auto"/>
        </w:rPr>
      </w:pPr>
      <w:r>
        <w:rPr>
          <w:rFonts w:ascii="Arial" w:cs="Arial" w:eastAsia="Arial" w:hAnsi="Arial"/>
          <w:sz w:val="15"/>
          <w:szCs w:val="15"/>
          <w:b w:val="1"/>
          <w:bCs w:val="1"/>
          <w:color w:val="auto"/>
        </w:rPr>
        <w:t xml:space="preserve">Foreign Operations. </w:t>
      </w:r>
      <w:r>
        <w:rPr>
          <w:rFonts w:ascii="Arial" w:cs="Arial" w:eastAsia="Arial" w:hAnsi="Arial"/>
          <w:sz w:val="15"/>
          <w:szCs w:val="15"/>
          <w:color w:val="auto"/>
        </w:rPr>
        <w:t>MasTec operates in North America, primarily in the United States and Canada, and, to a lesser extent, in Mexico. For the three 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ended March 31, 2018 and 2017, revenue of $1.4 billion and $1.1 billion, respectively, was derived from U.S. operations, and revenue of $33.8 million and $59.2 million, respectively, was derived from foreign operations, the majority of which was from the Company’s Canadian operations in the Oil and Gas segment. Long-lived assets held in the U.S. included property and equipment, net, of $658.1 million and $649.5 million as of March 31, 2018 and December 31, 2017, respectively, and, for the Company’s businesses in foreign countries, the majority of which are in Canada, totaled $51.7 million and $57.0 million, respectively. Intangible assets and goodwill, net, related to the Company’s U.S. operations totaled approximately $1.2 billion as of both March 31, 2018 and December 31, 2017, and for the Company’s businesses in foreign countries, the majority of which are in Canada, totaled approximately $109.5 million and $112.8 million as of March 31, 2018 and December 31, 2017, respectively. Amounts due from customers from which foreign revenue was derived accounted for approximately 5% of the Company’s consolidated net accounts receivable position, which represents accounts receivable, net, less BIEC, as of both March 31, 2018 and December 31, 2017.</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For the Three Months Ended March 31</w:t>
            </w:r>
          </w:p>
        </w:tc>
      </w:tr>
      <w:tr>
        <w:trPr>
          <w:trHeight w:val="33"/>
        </w:trPr>
        <w:tc>
          <w:tcPr>
            <w:tcW w:w="8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27%</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w:t>
            </w:r>
          </w:p>
        </w:tc>
      </w:tr>
      <w:tr>
        <w:trPr>
          <w:trHeight w:val="290"/>
        </w:trPr>
        <w:tc>
          <w:tcPr>
            <w:tcW w:w="8580" w:type="dxa"/>
            <w:vAlign w:val="bottom"/>
          </w:tcPr>
          <w:p>
            <w:pPr>
              <w:ind w:left="18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(b)</w:t>
            </w:r>
          </w:p>
        </w:tc>
        <w:tc>
          <w:tcPr>
            <w:tcW w:w="1360" w:type="dxa"/>
            <w:vAlign w:val="bottom"/>
          </w:tcPr>
          <w:p>
            <w:pPr>
              <w:jc w:val="center"/>
              <w:spacing w:after="0"/>
              <w:rPr>
                <w:sz w:val="20"/>
                <w:szCs w:val="20"/>
                <w:color w:val="auto"/>
              </w:rPr>
            </w:pPr>
            <w:r>
              <w:rPr>
                <w:rFonts w:ascii="Arial" w:cs="Arial" w:eastAsia="Arial" w:hAnsi="Arial"/>
                <w:sz w:val="16"/>
                <w:szCs w:val="16"/>
                <w:color w:val="auto"/>
                <w:w w:val="87"/>
              </w:rPr>
              <w:t>26%</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17%</w:t>
            </w:r>
          </w:p>
        </w:tc>
      </w:tr>
    </w:tbl>
    <w:p>
      <w:pPr>
        <w:jc w:val="both"/>
        <w:ind w:left="340" w:hanging="332"/>
        <w:spacing w:after="0" w:line="24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spacing w:after="0" w:line="29"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68"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and acquisition purchase price disputes. See Note 14 - Commitments and Contingencies in the Company’s 2017 Form 10-K for additional information.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16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b w:val="1"/>
          <w:bCs w:val="1"/>
          <w:color w:val="auto"/>
        </w:rPr>
        <w:t xml:space="preserve">Letters of Credit. </w:t>
      </w:r>
      <w:r>
        <w:rPr>
          <w:rFonts w:ascii="Arial" w:cs="Arial" w:eastAsia="Arial" w:hAnsi="Arial"/>
          <w:sz w:val="14"/>
          <w:szCs w:val="14"/>
          <w:color w:val="auto"/>
        </w:rPr>
        <w:t>In the ordinary course of business, the Company is required to post letters of credit for its insurance carriers, surety bond providers and in support</w:t>
      </w:r>
      <w:r>
        <w:rPr>
          <w:rFonts w:ascii="Arial" w:cs="Arial" w:eastAsia="Arial" w:hAnsi="Arial"/>
          <w:sz w:val="14"/>
          <w:szCs w:val="14"/>
          <w:b w:val="1"/>
          <w:bCs w:val="1"/>
          <w:color w:val="auto"/>
        </w:rPr>
        <w:t xml:space="preserve"> </w:t>
      </w:r>
      <w:r>
        <w:rPr>
          <w:rFonts w:ascii="Arial" w:cs="Arial" w:eastAsia="Arial" w:hAnsi="Arial"/>
          <w:sz w:val="14"/>
          <w:szCs w:val="14"/>
          <w:color w:val="auto"/>
        </w:rPr>
        <w:t>of performance under certain contracts as well as certain obligations associated with the Company’s equity investments,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2018 and December 31, 2017, there were $131.7 million and $157.1 million, respectively, of letters of credit issued under the Company’s Credit Facility. The Company is not aware of material claims relating to its outstanding letters of credit as of March 31, 2018 or December 31, 2017.</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March 31, 2018 and December 31, 2017, outstanding performance and payment bonds totaled $129.6 million and $119.7 million, respectively, and estimated costs to complete projects secured by these bonds totaled $127.7 million and $46.0 million as of March 31, 2018 and December 31, 2017, respectively. These amounts do not include performance and payment bonds associated with the Company’s equity investments.</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b w:val="1"/>
          <w:bCs w:val="1"/>
          <w:color w:val="auto"/>
        </w:rPr>
        <w:t xml:space="preserve">Investment Arrangements. </w:t>
      </w:r>
      <w:r>
        <w:rPr>
          <w:rFonts w:ascii="Arial" w:cs="Arial" w:eastAsia="Arial" w:hAnsi="Arial"/>
          <w:sz w:val="15"/>
          <w:szCs w:val="15"/>
          <w:color w:val="auto"/>
        </w:rPr>
        <w:t>From time to time, the Company may participate in selected investment or strategic arrangements to expand its operations,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base or geographic reach, including arrangements that combine the Company’s skills and resources with those of others to allow for the performance of particular projects. The Company holds undivided interests, ranging from 85% to 90%, in several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2018, the Company was not aware of circumstances that would reasonably lead to material future claims against it in connection with these arrangements. Included in the Company’s cash balances as of March 31, 2018 and December 31, 2017 are amounts held by entities that are proportionately consolidated totaling $18.8 million and $17.3 million, respectively. These amounts are available to support the operations of those entities, but are not available for the Company’s other operations. Advances on project work associated with the Company’s proportionately consolidated contractual joint ventures, which are reflected within other current liabilities, totaled $10.3 million as of March 31, 2018.</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other investment arrangements, as discussed in Note 4 - Fair Value of Financial Instruments and Note 15 - Related Party Transactions. The Company may incur costs or provide financing, performance, financial and/or other guarantees to or in connection with these arrangements.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March 31, 2018 and December 31, 2017, MasTec’s liability for unpaid claims and associated expenses, including incurred but not reported losses related to these policies, totaled $111.8 million and $106.2 million, respectively, of which $76.6 million and $72.2 million, respectively, were reflected within other long-term liabilities in the consolidated balance sheets. MasTec also maintains an insurance policy with respect to employee group medical claims, which is subject to annual per employee maximum losses. MasTec’s liability for employee group medical claims totaled $2.4 million and $2.6 million as of March 31, 2018 and December 31, 2017, respectively.</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required to post letters of credit and provide cash collateral to certain of its insurance carriers and to provide surety bonds in certain states. Insurance-related letters of credit for the Company’s workers’ compensation, general liability and automobile liability policies amounted to $88.9 million as of both March 31, 2018 and December 31, 2017. In addition, cash collateral deposited with insurance carriers, which is included within other long-term assets, amounted to $1.6 million for these policies as of both March 31, 2018 and December 31, 2017. Outstanding surety bonds related to workers’ compensation self-insurance programs amounted to $15.2 million as of both March 31, 2018 and December 31, 2017.</w:t>
      </w:r>
    </w:p>
    <w:p>
      <w:pPr>
        <w:spacing w:after="0" w:line="18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sectPr>
      </w:pPr>
    </w:p>
    <w:bookmarkStart w:id="20" w:name="page21"/>
    <w:bookmarkEnd w:id="20"/>
    <w:p>
      <w:pPr>
        <w:jc w:val="both"/>
        <w:ind w:right="20"/>
        <w:spacing w:after="0" w:line="275" w:lineRule="auto"/>
        <w:rPr>
          <w:sz w:val="20"/>
          <w:szCs w:val="20"/>
          <w:color w:val="auto"/>
        </w:rPr>
      </w:pPr>
      <w:r>
        <w:rPr>
          <w:rFonts w:ascii="Arial" w:cs="Arial" w:eastAsia="Arial" w:hAnsi="Arial"/>
          <w:sz w:val="16"/>
          <w:szCs w:val="16"/>
          <w:color w:val="auto"/>
        </w:rPr>
        <w:t>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10 - Other Retirement Plans, certain of MasTec’s subsidiaries are party to</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of March 31, 2018,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March 31, 2018 and December 31, 2017, the Company was not aware of any material asserted or unasserted claims in connection with these indemnity obligations.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Accrued warranty claims are, and historically have been, de minimis.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Concentrations of Risk. </w:t>
      </w:r>
      <w:r>
        <w:rPr>
          <w:rFonts w:ascii="Arial" w:cs="Arial" w:eastAsia="Arial" w:hAnsi="Arial"/>
          <w:sz w:val="16"/>
          <w:szCs w:val="16"/>
          <w:color w:val="auto"/>
        </w:rPr>
        <w:t>The Company had approximately 350 customers for the three month period ended March 31, 2018. As of March 31, 2018 and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2017, one customer accounted for approximately 43% and 46%, respectively, of the Company’s consolidated net accounts receivable position, which represents accounts receivable, net, less BIEC. As of March 31, 2018 and December 31, 2017, a separate customer accounted for approximately 16% and 15%, respectively, of the Company’s consolidated net accounts receivable position. In addition, the Company derived 74% and 76%, respectively, of its revenue from its top ten customers for the three month periods ended March 31, 2018 and 2017.</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MasTec purchases, rents and leases equipment and purchases various types of supplies and services used in its business from a number of different vendors on a non-exclusive basis, including entities that are associated with members of subsidiary management. For the three month periods ended March 31, 2018 and 2017, related party lease payments for operational facilities and equipment totaled approximately $7.5 million and $12.7 million, respectively. Payables associated with these related party leases totaled approximately $3.4 million and $0.1 million as of March 31, 2018 and December 31, 2017, respectively. Additionally, payments to related parties for various types of supplies and services, including ancillary construction services, project-related site restoration and marketing and business development activities totaled approximately $9.0 million and $6.6 million for the three month periods ended March 31, 2018 and 2017, respectively. As of March 31, 2018 and December 31, 2017, related amounts payable totaled approximately $1.4 million and $5.2 million, respectively.</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In the third quarter of 2017, MasTec entered into an arrangement to perform construction services for an entity of which a member of subsidiary management is a minority owner. Revenue from this arrangement totaled approximately $2.7 million for the three month period ended March 31, 2018, and related amounts receivable totaled approximately $2.0 million and $0.6 million as of March 31, 2018 and December 31, 2017, respectively. In the third quarter of 2017, MasTec acquired an oil and gas pipeline equipment company that was formerly owned by a member of subsidiary management for approximately $40.6 million in cash and an estimated earn-out liability of $59.9 million as of March 31, 2018. MasTec previously leased equipment from this company. 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$5.4 million in cash and an estimated earn-out liability of approximately $1.3 million as of March 31, 2018. The net assets acquired included notes payable to the former owners totaling approximately $2.6 million, which amount was subsequently repaid.</w:t>
      </w:r>
    </w:p>
    <w:p>
      <w:pPr>
        <w:spacing w:after="0" w:line="1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MasTec rents and leases equipment and purchases equipment supplies used in its business from CCI, in which it has a 15% equity investment. Juan Carlos Mas serves as the chairman of CCI, and a member of management of a MasTec subsidiary is a minority owner. MasTec paid CCI approximately $5.9 million and $1.0 million, net of rebates, for the three month periods ended March 31, 2018 and 2017, respectively, for equipment supplies, rentals, leases and servicing. Related amounts payable, net of rebates receivable, totaled approximately $3.4 million as of March 31, 2018, and as of December 31, 2017, were de minimis.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March 31, 2018 and 2017, MasTec incurred approximately $5.0 million and $0.6 million, respectively, of expenses under this subcontracting arrangement. As of March 31, 2018 and December 31, 2017, related amounts payable totaled approximately $1.0 million and $2.0 million, respectively.</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leases employees to a customer in which Jorge Mas and José R. Mas own a majority interest. For both the three month periods ended March 31, 2018 and 2017, MasTec charged approximately $0.2 million to this customer. As of both March 31, 2018 and December 31, 2017, outstanding receivables from employee leasing arrangements with this customer totaled approximately $0.2 million. The Company also provides satellite communication services to this customer. For the three month periods ended March 31, 2018 and 2017, revenue from satellite communication services</w:t>
      </w:r>
    </w:p>
    <w:p>
      <w:pPr>
        <w:sectPr>
          <w:pgSz w:w="11900" w:h="16838" w:orient="portrait"/>
          <w:cols w:equalWidth="0" w:num="1">
            <w:col w:w="11420"/>
          </w:cols>
          <w:pgMar w:left="240" w:top="643" w:right="2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643" w:right="239" w:bottom="1440" w:gutter="0" w:footer="0" w:header="0"/>
          <w:type w:val="continuous"/>
        </w:sectPr>
      </w:pPr>
    </w:p>
    <w:bookmarkStart w:id="21" w:name="page22"/>
    <w:bookmarkEnd w:id="21"/>
    <w:p>
      <w:pPr>
        <w:jc w:val="both"/>
        <w:spacing w:after="0" w:line="275" w:lineRule="auto"/>
        <w:rPr>
          <w:sz w:val="20"/>
          <w:szCs w:val="20"/>
          <w:color w:val="auto"/>
        </w:rPr>
      </w:pPr>
      <w:r>
        <w:rPr>
          <w:rFonts w:ascii="Arial" w:cs="Arial" w:eastAsia="Arial" w:hAnsi="Arial"/>
          <w:sz w:val="16"/>
          <w:szCs w:val="16"/>
          <w:color w:val="auto"/>
        </w:rPr>
        <w:t>provided to this customer totaled approximately $0.3 million and $0.2 million, respectively. As of both March 31, 2018 and December 31, 2017, amounts receivable from this arrangement totaled approximately $0.3 million.</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a leasing arrangement with an independent third party that leases an aircraft from a Company owned by Jorge Mas. For both the three month periods ended March 31, 2018 and 2017, MasTec paid approximately $0.5 million under this leasing arrangement. As of both March 31, 2018 and December 31, 2017, related amounts payable were de minimis.</w:t>
      </w:r>
    </w:p>
    <w:p>
      <w:pPr>
        <w:spacing w:after="0" w:line="18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Company has a 40% interest in an entity that is accounted for as an equity method investment. As of both March 31, 2018 and December 31, 2017, advances outstanding from this entity, net, totaled approximately $0.3 million.</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Company’s Pacer subsidiary has a subcontracting arrangement with a contractual joint venture in which it holds a 35% undivided interest. For the three month periods ended March 31, 2018 and 2017, revenue recognized by the Company in connection with this arrangement totaled approximately $0.3 million and $0.1 million, respectively. As of March 31, 2018 and December 31, 2017, accounts receivable, net of BIEC, from this contractual joint venture totaled approximately $0.7 million and $0.8 million, respectively. Outstanding performance guarantees on behalf of this contractual joint venture, which are based on the original full contract value of the associated project, totaled Canadian $132.1 million as of both March 31, 2018 and December 31, 2017 (or approximately $102.4 million and $105.1 million, respectively). Additionally, the Company provided project-related financing in connection with this contractual joint venture of approximately $0.6 million and $0.8 million for the three month periods ended March 31, 2018 and 2017, respectively. As of March 31, 2018, there were no additional amounts committed to this entity.</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In October 2017, the Company acquired the remaining non-controlling interests of one of these entities, with which it had a subcontracting arrangement for the performance of ancillary oil and gas construction services, for approximately $21.4 million in cash and an estimated earn-out liability of $9.0 million as of March 31, 2018, which liability is reflected within other current and other long-term liabilities, as appropriate. For the three month periods ended March 31, 2018 and 2017, the Company made distributions of earnings of approximately $0.6 million and $1.3 million, respectively, to holders of these non-controlling interests.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first quarter of 2018, Jorge Mas, the Company, and José R. Mas and Juan Carlos Mas, as trustees of the Jorge Mas trust, entered into an amended and restated split dollar life insurance agreement that replaced the prior split dollar agreement with Jorge Mas. Additionally, in the first quarter of 2018, José R. Mas, the Company, and Jorge Mas, Juan Carlos Mas and Patricia Mas, as trustees of the José R. Mas trust, entered into an amended and restated split dollar life insurance agreement that replaced the prior split dollar life insurance agreement with José R. Mas. For details of the amended and restated split dollar life insurance agreements with each of Jorge and José R. Mas, see Note 15 - Related Party Transactions in the Company’s 2017 Form 10-K.</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No payments were made in connection with either the current or predecessor agreements in either of the three month periods ended March 31, 2018 or 2017. As of both March 31, 2018 and December 31, 2017, life insurance assets associated with these agreements, which amounts are included within other long-term assets, totaled approximately $16.6 million.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Supplemental Guarantor Condensed Unaudited Consolidating Financial Information</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March 31, 2018,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43" w:right="2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1,265.6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1,396.8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1,136.2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1,237.3</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63.6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26.5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26.5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26.5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29.8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26.6</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33.7</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1,083.2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1,158.2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888.7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971.1</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64.8</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68.0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40.6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41.0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45.4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40.6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41.0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45.5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41.0</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42.4</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89"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March 31, 2018</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1,641.5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376.6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1,907.6</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648.2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709.8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1,195.6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1,332.9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1,356.0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1,016.6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204.1</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1,371.7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4,525.7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1,442.5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4,154.3</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996.7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1,047.3</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1,336.0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1,343.5</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389.3</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2,713.1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2,780.2</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1,371.7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1,812.6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1,265.0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1,374.2</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1,371.7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4,525.7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1,442.5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(3,185.6)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4,154.3</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2017</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1,536.6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332.9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1,852.4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706.5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1,328.9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178.8</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4,066.6</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963.8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1,280.7</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388.7</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2,427.9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2,633.2</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1,806.4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1,205.5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(3,009.3)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1,433.4</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1,430.8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4,234.3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1,427.9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4,066.6</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89"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83.5</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(30.9)</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810.6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816.9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(747.1)</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90.0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(53.5)</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0.7</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40.3</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40.2</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March 31,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154.2</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(53.3)</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(69.6)</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357.2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361.7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(447.1)</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stock-based awards, net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(107.8)</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38.8</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15.7</w:t>
            </w:r>
          </w:p>
        </w:tc>
      </w:tr>
    </w:tbl>
    <w:p>
      <w:pPr>
        <w:spacing w:after="0" w:line="200" w:lineRule="exact"/>
        <w:rPr>
          <w:sz w:val="20"/>
          <w:szCs w:val="20"/>
          <w:color w:val="auto"/>
        </w:rPr>
      </w:pPr>
    </w:p>
    <w:p>
      <w:pPr>
        <w:sectPr>
          <w:pgSz w:w="11900" w:h="16838" w:orient="portrait"/>
          <w:cols w:equalWidth="0" w:num="1">
            <w:col w:w="11420"/>
          </w:cols>
          <w:pgMar w:left="240" w:top="527"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527"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2017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of our business, financial position and results of operations as of and for the three month periods ended March 31, 2018 and 2017. This discussion and analysis should be read in conjunction with the condensed unaudited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2017 Form 10-K. In this MD&amp;A, “$” means U.S. dollars unless specified otherwise.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conventional and renewable power generation; heavy civil and industrial infrastructure. Our customers are primarily in these industries. Including our predecessor companies, we have been in business for almost 90 years. We offer our services primarily under the MasTec service mark and, as of March 31, 2018, we had approximately 17,200 employees and 390 locations. We have been consistently ranked among the top specialty contractors by Engineering News-Record for the past several years.</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Revenue from non-recurring, project specific work may experience greater variability than master service and other service agreement work due to the need to replace the revenue as projects are completed. If we are not able to replace work from completed projects with new project work, we may not be able to maintain our current revenue levels or our current level of capacity and resource utilization. We actively review our backlog of project work and take appropriate action to minimize such exposure.</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as well as operating results by segment and significant customer concentrations.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65% of our March 31, 2018 estimated backlog in 2018. The following table presents 18-month backlog by reportable segment, as of the dates indicated: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3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740" w:type="dxa"/>
            <w:vAlign w:val="bottom"/>
          </w:tcPr>
          <w:p>
            <w:pPr>
              <w:ind w:left="180"/>
              <w:spacing w:after="0"/>
              <w:rPr>
                <w:sz w:val="20"/>
                <w:szCs w:val="20"/>
                <w:color w:val="auto"/>
              </w:rPr>
            </w:pPr>
            <w:r>
              <w:rPr>
                <w:rFonts w:ascii="Arial" w:cs="Arial" w:eastAsia="Arial" w:hAnsi="Arial"/>
                <w:sz w:val="16"/>
                <w:szCs w:val="16"/>
                <w:b w:val="1"/>
                <w:bCs w:val="1"/>
                <w:color w:val="auto"/>
              </w:rPr>
              <w:t>Reportable Segment (in millions):</w:t>
            </w: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6740" w:type="dxa"/>
            <w:vAlign w:val="bottom"/>
          </w:tcPr>
          <w:p>
            <w:pPr>
              <w:ind w:left="680"/>
              <w:spacing w:after="0"/>
              <w:rPr>
                <w:sz w:val="20"/>
                <w:szCs w:val="20"/>
                <w:color w:val="auto"/>
              </w:rPr>
            </w:pPr>
            <w:r>
              <w:rPr>
                <w:rFonts w:ascii="Arial" w:cs="Arial" w:eastAsia="Arial" w:hAnsi="Arial"/>
                <w:sz w:val="16"/>
                <w:szCs w:val="16"/>
                <w:color w:val="auto"/>
              </w:rPr>
              <w:t>Estimated 18-month backlog</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7,087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5,685</w:t>
            </w:r>
          </w:p>
        </w:tc>
      </w:tr>
      <w:tr>
        <w:trPr>
          <w:trHeight w:val="33"/>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45% of our backlog as of March 31, 2018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regulatory factors and/or other project-related factors. These changes could cause estimated revenue to be realized in periods later than originally expected, or not at all. In the past, we have occasionally experienced postponements, cancellations and reductions in expected future work from master service agreements due to changes in our customers’ spending plans, as well as on construction projects, due to market volatility and regulatory factors. There can be no assurance as to our customers’ requirements or the accuracy of our estimates. As a result, our backlog as of any particular date is an uncertain indicator of future revenue and earnings.</w:t>
      </w:r>
    </w:p>
    <w:p>
      <w:pPr>
        <w:spacing w:after="0" w:line="18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Backlog is not a term recognized under U.S. GAAP; however, it is a common measurement used in our industry. Our methodology for determining backlog may not, however, be comparable to the methodologies used by others. Backlog differs from the amount of our remaining performance obligations as described in Note 1 - Business, Basis of Presentation and Significant Accounting Policies in the notes to our condensed unaudited consolidated financial statements, which is incorporated by reference, primarily due to the inclusion of $2.6 billion of estimates of future revenue under master service and other service agreements within our backlog estimates, as described above, and the exclusion of $0.4 billion of remaining performance obligations in excess of 18 months, which amount is not included in the backlog estimates above.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closely monitor the effects that changes in economic and market conditions may have on our customers. General economic and market conditions can negatively affect demand for our customers’ products and services, which can lead to rationalization of our customers’ capital and maintenance budgets in certain end-markets. Fluctuations in market prices for oil, gas and other fuel sources can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we strive to maintain our profit margins through productivity improvements and cost reduction programs. Other market, regulatory and industry factors, such as (i) changes to our customers’ capital spending plans; (ii) mergers and acquisitions among the customers we serve; (iii) access to capital for customers in the industries we serve; (iv) new or changing regulatory requirements or other governmental policy uncertainty; (v) economic, market or political developments; and (vi) changes in technology, tax and other incentives could also affect demand for our services.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revenue and results of operations can be subject to seasonal and other variations. These variations are influenced by weather, customer spending patterns, bidding seasons, project schedules and timing, in particular, for large non-recurring projects and holidays. Typically, our revenue is lowest in the first quarter of the year because cold, snowy or wet conditions cause project delays. Revenue in the second quarter is typically higher than in the first quarter, as some projects begin, but continued cold and wet weather can often impact second quarter productivity. The third and fourth quarters are typically the most productive quarters of the year, as a greater number of projects are underway and weather is normally more accommodating to construction projects. In the fourth quarter, many projects tend to be completed by customers seeking to spend their capital budgets before the end of the year, which generally has a positive impact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or natural catastrophes such as hurricanes or other severe weather, making it difficult to predict quarterly revenue and margin variations.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impact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period, even if not in total.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 We base our estimates on historical experience and on various other assumptions that we believe to be reasonable under the circumstances, the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93" w:right="239" w:bottom="1440" w:gutter="0" w:footer="0" w:header="0"/>
        </w:sectPr>
      </w:pPr>
    </w:p>
    <w:bookmarkStart w:id="27" w:name="page28"/>
    <w:bookmarkEnd w:id="27"/>
    <w:p>
      <w:pPr>
        <w:jc w:val="both"/>
        <w:spacing w:after="0" w:line="288" w:lineRule="auto"/>
        <w:rPr>
          <w:sz w:val="20"/>
          <w:szCs w:val="20"/>
          <w:color w:val="auto"/>
        </w:rPr>
      </w:pPr>
      <w:r>
        <w:rPr>
          <w:rFonts w:ascii="Arial" w:cs="Arial" w:eastAsia="Arial" w:hAnsi="Arial"/>
          <w:sz w:val="14"/>
          <w:szCs w:val="14"/>
          <w:color w:val="auto"/>
        </w:rPr>
        <w:t>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Refer to Note 1 - Business, Basis of Presentation and Significant Accounting Policies in the notes to our condensed unaudited consolidated financial statements, which is incorporated by reference, and to our 2017 Form 10-K for discussion of our significant accounting policies. During the first quarter of 2018, we performed quantitative assessments of the goodwill associated with certain of our operating segments and of an indefinite-lived pre-qualification intangible asset in conjunction with our quarterly review for indicators of impairment. Based on the results of these assessments, we determined that the estimated fair value of one of the reporting units in our Oil and Gas segment substantially exceeded its carrying value, and that the fair values of a separate reporting unit and of an indefinite-lived pre-qualification intangible asset in our Oil and Gas segment, which have an aggregate carrying value of approximately $110 million, exceeded their carrying values by approximately 6% for each. Significant changes in the assumptions or estimates used in management’s assessment, such as a reduction in profitability and/or cash flows, could result in non-cash goodwill and indefinite-lived intangible asset impairment charges in the future.</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valuations of goodwill, indefinite-lived intangible assets and acquisition-related contingent consideration and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For the Three Months Ended March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7"/>
        </w:trPr>
        <w:tc>
          <w:tcPr>
            <w:tcW w:w="50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r>
      <w:tr>
        <w:trPr>
          <w:trHeight w:val="231"/>
        </w:trPr>
        <w:tc>
          <w:tcPr>
            <w:tcW w:w="5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20" w:type="dxa"/>
            <w:vAlign w:val="bottom"/>
            <w:gridSpan w:val="3"/>
          </w:tcPr>
          <w:p>
            <w:pPr>
              <w:jc w:val="right"/>
              <w:ind w:right="1319"/>
              <w:spacing w:after="0"/>
              <w:rPr>
                <w:sz w:val="20"/>
                <w:szCs w:val="20"/>
                <w:color w:val="auto"/>
              </w:rPr>
            </w:pPr>
            <w:r>
              <w:rPr>
                <w:rFonts w:ascii="Arial" w:cs="Arial" w:eastAsia="Arial" w:hAnsi="Arial"/>
                <w:sz w:val="16"/>
                <w:szCs w:val="16"/>
                <w:b w:val="1"/>
                <w:bCs w:val="1"/>
                <w:color w:val="auto"/>
                <w:w w:val="84"/>
              </w:rPr>
              <w:t>2017</w:t>
            </w:r>
          </w:p>
        </w:tc>
      </w:tr>
      <w:tr>
        <w:trPr>
          <w:trHeight w:val="33"/>
        </w:trPr>
        <w:tc>
          <w:tcPr>
            <w:tcW w:w="5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46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1,158.2</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4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971.1</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83.8 %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4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64.8</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5.6 %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17"/>
        </w:trPr>
        <w:tc>
          <w:tcPr>
            <w:tcW w:w="506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46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1"/>
        </w:trPr>
        <w:tc>
          <w:tcPr>
            <w:tcW w:w="50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46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7"/>
        </w:trPr>
        <w:tc>
          <w:tcPr>
            <w:tcW w:w="5060" w:type="dxa"/>
            <w:vAlign w:val="bottom"/>
          </w:tcPr>
          <w:p>
            <w:pPr>
              <w:ind w:left="120"/>
              <w:spacing w:after="0"/>
              <w:rPr>
                <w:sz w:val="20"/>
                <w:szCs w:val="20"/>
                <w:color w:val="auto"/>
              </w:rPr>
            </w:pPr>
            <w:r>
              <w:rPr>
                <w:rFonts w:ascii="Arial" w:cs="Arial" w:eastAsia="Arial" w:hAnsi="Arial"/>
                <w:sz w:val="16"/>
                <w:szCs w:val="16"/>
                <w:color w:val="auto"/>
              </w:rPr>
              <w:t>Net income attributable to MasTec, Inc.</w:t>
            </w:r>
          </w:p>
        </w:tc>
        <w:tc>
          <w:tcPr>
            <w:tcW w:w="46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50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4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Revenue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center"/>
              <w:ind w:right="560"/>
              <w:spacing w:after="0"/>
              <w:rPr>
                <w:sz w:val="20"/>
                <w:szCs w:val="20"/>
                <w:color w:val="auto"/>
              </w:rPr>
            </w:pPr>
            <w:r>
              <w:rPr>
                <w:rFonts w:ascii="Arial" w:cs="Arial" w:eastAsia="Arial" w:hAnsi="Arial"/>
                <w:sz w:val="16"/>
                <w:szCs w:val="16"/>
                <w:b w:val="1"/>
                <w:bCs w:val="1"/>
                <w:color w:val="auto"/>
              </w:rPr>
              <w:t>EBITDA and EBITDA Margin</w:t>
            </w:r>
          </w:p>
        </w:tc>
        <w:tc>
          <w:tcPr>
            <w:tcW w:w="84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4"/>
              </w:rPr>
              <w:t>For the Three Months Ended March 31</w:t>
            </w:r>
          </w:p>
        </w:tc>
        <w:tc>
          <w:tcPr>
            <w:tcW w:w="84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Reportable Segment:</w:t>
            </w:r>
          </w:p>
        </w:tc>
        <w:tc>
          <w:tcPr>
            <w:tcW w:w="140" w:type="dxa"/>
            <w:vAlign w:val="bottom"/>
          </w:tcPr>
          <w:p>
            <w:pPr>
              <w:spacing w:after="0"/>
              <w:rPr>
                <w:sz w:val="20"/>
                <w:szCs w:val="20"/>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2017</w:t>
            </w:r>
          </w:p>
        </w:tc>
        <w:tc>
          <w:tcPr>
            <w:tcW w:w="840" w:type="dxa"/>
            <w:vAlign w:val="bottom"/>
          </w:tcPr>
          <w:p>
            <w:pPr>
              <w:spacing w:after="0"/>
              <w:rPr>
                <w:sz w:val="20"/>
                <w:szCs w:val="20"/>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20.6 %</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17"/>
        </w:trPr>
        <w:tc>
          <w:tcPr>
            <w:tcW w:w="3960" w:type="dxa"/>
            <w:vAlign w:val="bottom"/>
          </w:tcPr>
          <w:p>
            <w:pPr>
              <w:ind w:left="180"/>
              <w:spacing w:after="0"/>
              <w:rPr>
                <w:sz w:val="20"/>
                <w:szCs w:val="20"/>
                <w:color w:val="auto"/>
              </w:rPr>
            </w:pPr>
            <w:r>
              <w:rPr>
                <w:rFonts w:ascii="Arial" w:cs="Arial" w:eastAsia="Arial" w:hAnsi="Arial"/>
                <w:sz w:val="16"/>
                <w:szCs w:val="16"/>
                <w:color w:val="auto"/>
              </w:rPr>
              <w:t>Consolidated Results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1,396.8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1,158.2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10.7 %</w:t>
            </w:r>
          </w:p>
        </w:tc>
      </w:tr>
      <w:tr>
        <w:trPr>
          <w:trHeight w:val="33"/>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2018 Compared to Three Months Ended March 31, 2017</w:t>
      </w:r>
    </w:p>
    <w:p>
      <w:pPr>
        <w:spacing w:after="0" w:line="221"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5"/>
          <w:szCs w:val="15"/>
          <w:b w:val="1"/>
          <w:bCs w:val="1"/>
          <w:i w:val="1"/>
          <w:iCs w:val="1"/>
          <w:color w:val="auto"/>
        </w:rPr>
        <w:t>Revenue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 period ended March 31, 2018, consolidated revenue increased to $1,397 million from $1,158 million, an increase of $239 million, or 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the same period in 2017, driven by higher revenue in our Oil and Gas segment, which increased by $81 million, or 18%, our Power Generation and Industrial segment, which increased by $71 million, or 152%, our Communications segment, which increased by $68 million, or 12% and in our Electrical Transmission segment, which increased by $15 million, or 15%. Organic revenue increased by approximately $162 million, or 14%, and acquisitions contributed $77 million in revenue.</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$627 million for the three month period ended March 31, 2018, as compared with $560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2017, an increase of $68 million, or 12%. Organic revenue increased by approximately $28 million, or 5%, and acquisitions contributed $39 million of revenue. The increase in organic revenue was primarily driven by higher levels of wireline/fiber revenue and storm restoration services, partially offset by a decrease in install-to-the-home revenue.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$536 million for three month period ended March 31, 2018, as compared with $456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an increase of approximately $81 million, or 18%. The increase in Oil and Gas revenue was driven primarily by an increase in large long-haul pipeline construction project activity.</w:t>
      </w:r>
    </w:p>
    <w:p>
      <w:pPr>
        <w:spacing w:after="0" w:line="178"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$114 million for the three month period ended March 31, 2018, as compared with $99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2017, an increase of $15 million, or 15%, driven primarily by project activity and timing.</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$118 million for the three month period ended March 31,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$47 million for the same period in 2017, an increase of $71 million, or 152%. Organic revenue increased by approximately $34 million, or 72%, and acquisitions contributed $38 million of revenue. The increase in organic revenue was driven primarily by higher levels of renewable power project activity, including biomass facility construction.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Other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segment revenue was generally flat at approximately $2 million for both the three month periods ended March 31, 2018 and 2017.</w:t>
      </w:r>
    </w:p>
    <w:p>
      <w:pPr>
        <w:spacing w:after="0" w:line="23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4"/>
          <w:szCs w:val="14"/>
          <w:b w:val="1"/>
          <w:bCs w:val="1"/>
          <w:i w:val="1"/>
          <w:iCs w:val="1"/>
          <w:color w:val="auto"/>
        </w:rPr>
        <w:t xml:space="preserve">Costs of revenue, excluding depreciation and amortization. </w:t>
      </w:r>
      <w:r>
        <w:rPr>
          <w:rFonts w:ascii="Arial" w:cs="Arial" w:eastAsia="Arial" w:hAnsi="Arial"/>
          <w:sz w:val="14"/>
          <w:szCs w:val="14"/>
          <w:color w:val="auto"/>
        </w:rPr>
        <w:t>Costs of revenue, excluding depreciation and amortization, increased by $266 million, or 27%, to $1,237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for the three month period ended March 31, 2018 as compared with $971 million for the same period in 2017. Higher revenue contributed $200 million of an increase in costs of revenue, excluding depreciation and amortization, in addition to an increase of approximately $66 million from decreased productivity. Costs of revenue, excluding depreciation and amortization, as a percentage of revenue increased by approximately 470 basis points, from 83.8% of revenue for the three month period ended March 31, 2017 to 88.6% of revenue for the same period in 2018. The basis point increase was driven by reduced project efficiencies, closeouts and mix in our Oil and Gas segment for the three month period ended March 31, 2018 as compared to the same period in the prior year. The basis point increase in our Oil and Gas segment was offset, in part, by improved project efficiencies and mix in our Communications segment, including from wireline/fiber and storm restoration services. Additionally, costs of revenue, excluding depreciation and amortization, as a percentage of revenue improved in our Other segment for the three month period ended March 31, 2018 as compared with the same period in 2017 due to a reduction in project losses on a proportionately consolidated non-controlled Canadian joint venture, which totaled $7 million in the prior year period.</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$50 million, or 3.6% of revenue, for the three month period ended March 31, 2018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$43 million, or 3.7% of revenue, in 2017, an increase of $7 million, or 16%. Acquisitions contributed $4 million of incremental depreciation and amortization for the three month period ended March 31, 2018 as compared with the same period in 2017. As a percentage of revenue, depreciation and amortization decreased slightly due primarily to higher levels of revenue.</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$64 million, or 4.6% of revenue, for the three month period ended March 31, 2018,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$65 million, or 5.6% of revenue, for the same period in 2017, a decrease of $1 million, or 2%. Acquisitions contributed $6 million of incremental general and administrative expenses for the three month period ended March 31, 2018. Excluding the effects of acquisitions, administrative expenses decreased by $7 million as compared with the same period in the prior year, due to a reduction in various administrative costs, including compensation expense, timing of legal matters and other settlements. Overall, general and administrative expenses as a percentage of revenue decreased by 100 basis points for the three month period ended March 31, 2018 as compared with the same period in the prior year, due primarily to improvements in overhead cost utilization from higher levels of revenue.</w:t>
      </w:r>
    </w:p>
    <w:p>
      <w:pPr>
        <w:sectPr>
          <w:pgSz w:w="11900" w:h="16838" w:orient="portrait"/>
          <w:cols w:equalWidth="0" w:num="1">
            <w:col w:w="11420"/>
          </w:cols>
          <w:pgMar w:left="240" w:top="544"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544" w:right="239" w:bottom="1440" w:gutter="0" w:footer="0" w:header="0"/>
          <w:type w:val="continuous"/>
        </w:sectPr>
      </w:pPr>
    </w:p>
    <w:bookmarkStart w:id="29" w:name="page30"/>
    <w:bookmarkEnd w:id="29"/>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$17 million, or 1.2% of revenue, for the three month period ended March 31, 2018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 million, or 1.1% of revenue, in 2017. The increase in interest expense was primarily due to an increase in interest expense on our Credit Facility from a combination of higher average balances and higher weighted average interest rates as well as higher discount charges on financing arrangements in the first quarter of 2018 as compared with 2017.</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periods ended March 31, 2018 and 2017, equity in earnings from unconsolidated affiliates totaled $6 million and $2 million, respectively, and related to our investments in the Waha JVs, which commenced operations in 2017.</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consists primarily of gains or losses from sales of, or changes in estimated recoveries from, assets and investments,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legal/other settlements, gains or losses from changes to estimated earn-out accruals and certain restructuring charges related to losses on disposal of excess fixed assets. For the three month period ended March 31, 2018, other income, net, was $3 million, and primarily related to gains on sales of equipment, net, whereas for the three month period ended March 31, 2017, other expense, net, was de minimis.</w:t>
      </w:r>
    </w:p>
    <w:p>
      <w:pPr>
        <w:spacing w:after="0" w:line="18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$11 million for the three month period ended March 31, 2018 as compared with $27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 year. In the first quarter of 2018, pre-tax income decreased to $38 million as compared with $68 million for the same period in the prior year. Additionally, our effective tax rate decreased to 29.6% for the three month period ended March 31, 2018 from 40.2% for the same period in 2017, primarily due to the effect of the 2017 Tax Act, which reduced the U.S. corporate tax rate from 35% to 21% as of January 1, 2018, which benefit was offset, in part, by the elimination of certain previously deductible expenses. Our effective tax rate for the three month period ended March 31, 2018 also benefited from the utilization of certain tax credits as compared with the same period in the prior year.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$82 million, or 13.1% of revenue, for the three month period ended March 31, 2018,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$48 million, or 8.6% of revenue, for the same period in 2017, an increase of approximately $34 million, or 70%. As a percentage of revenue, EBITDA increased by approximately 450 basis points, or $28 million, due primarily to production efficiencies and mix, including storm restoration services and improved overhead utilization from higher levels of revenue.</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$33 million, or 6.2% of revenue, for the three month period ended March 31, 2018,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$94 million, or 20.6% of revenue, for the same period in 2017, a decrease in EBITDA of $61 million, or approximately 65%. Higher revenue contributed an increase in EBITDA of $17 million, which was offset by a decrease from lower EBITDA margins due to reduced project efficiencies, closeouts and mix as compared with the same period in the prior year.</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$5 million, or 4.0% of revenue, for the three month period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as compared with EBITDA of $3 million, or 3.2% of revenue, for the same period in 2017, for an improvement in EBITDA of approximately $1 million, or 43%, due primarily to a combination of project efficiencies and mix.</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$5 million, or 4.1%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March 31, 2018, as compared with EBITDA of $1 million, or 1.8% of revenue, for the same period in 2017, an improvement in EBITDA of $4 million, or approximately 470%. As a percentage of revenue, segment EBITDA improved by approximately 230 basis points as compared with the same period in the prior year due to a combination of improved project efficiencies and mix as well as improved cost and overhead utilization due to higher revenue.</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Other Segment. </w:t>
      </w:r>
      <w:r>
        <w:rPr>
          <w:rFonts w:ascii="Arial" w:cs="Arial" w:eastAsia="Arial" w:hAnsi="Arial"/>
          <w:sz w:val="15"/>
          <w:szCs w:val="15"/>
          <w:color w:val="auto"/>
        </w:rPr>
        <w:t>EBITDA from Other businesses was $6 million for the three month period ended March 31, 2018, as compared with EBITDA of negative $5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2017, an improvement of $11 million. Other segment EBITDA for the three month periods ended March 31, 2018 and 2017 included $6 million and $2 million, respectively, of equity in earnings from unconsolidated affiliates related to our investments in the Waha JVs, whereas for the three month period ended March 31, 2017, Other segment EBITDA included losses of $7 million on a proportionately consolidated non-controlled Canadian joint venture.</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$26 million for the three month period ended March 31, 2018, as compared with EBITDA of negative $17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2017, for a decrease in EBITDA of $8 million. For the three month period ended March 31, 2018, other corporate expenses increased as compared with the prior year period primarily as a result of the timing of legal matters and other settlements.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See Note 13 - Segments and Related Information in the notes to the condensed unaudited consolidated financial statements, which is incorporated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project results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certain restructuring charges; and, for Adjusted Net Income and Adjusted Diluted Earnings Per Share, the tax effects of the adjusted items, including non-cash stock based compensation expense. The definitions of EBITDA and Adjusted EBITDA above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ectPr>
          <w:pgSz w:w="11900" w:h="16838" w:orient="portrait"/>
          <w:cols w:equalWidth="0" w:num="1">
            <w:col w:w="11420"/>
          </w:cols>
          <w:pgMar w:left="240" w:top="481" w:right="2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81" w:right="239" w:bottom="1440" w:gutter="0" w:footer="0" w:header="0"/>
          <w:type w:val="continuous"/>
        </w:sectPr>
      </w:pPr>
    </w:p>
    <w:bookmarkStart w:id="30" w:name="page31"/>
    <w:bookmarkEnd w:id="30"/>
    <w:p>
      <w:pPr>
        <w:jc w:val="both"/>
        <w:ind w:firstLine="648"/>
        <w:spacing w:after="0" w:line="253"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Additionally, these measures provide a baseline for analyzing trends in our underlying business.</w:t>
      </w:r>
    </w:p>
    <w:p>
      <w:pPr>
        <w:spacing w:after="0" w:line="19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(dollar amounts in millions). The tables below may contain slight summation differences due to rounding.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For the Three Months 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20" w:type="dxa"/>
            <w:vAlign w:val="bottom"/>
            <w:gridSpan w:val="3"/>
          </w:tcPr>
          <w:p>
            <w:pPr>
              <w:jc w:val="right"/>
              <w:ind w:right="129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42.9</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51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560" w:type="dxa"/>
            <w:vAlign w:val="bottom"/>
          </w:tcPr>
          <w:p>
            <w:pPr>
              <w:spacing w:after="0"/>
              <w:rPr>
                <w:sz w:val="20"/>
                <w:szCs w:val="20"/>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w w:val="94"/>
              </w:rPr>
              <w:t>For the Three Months Ended March 31</w:t>
            </w:r>
          </w:p>
        </w:tc>
        <w:tc>
          <w:tcPr>
            <w:tcW w:w="90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900" w:type="dxa"/>
            <w:vAlign w:val="bottom"/>
          </w:tcPr>
          <w:p>
            <w:pPr>
              <w:spacing w:after="0"/>
              <w:rPr>
                <w:sz w:val="18"/>
                <w:szCs w:val="18"/>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560" w:type="dxa"/>
            <w:vAlign w:val="bottom"/>
          </w:tcPr>
          <w:p>
            <w:pPr>
              <w:spacing w:after="0"/>
              <w:rPr>
                <w:sz w:val="20"/>
                <w:szCs w:val="20"/>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31"/>
        </w:trPr>
        <w:tc>
          <w:tcPr>
            <w:tcW w:w="5120" w:type="dxa"/>
            <w:vAlign w:val="bottom"/>
          </w:tcPr>
          <w:p>
            <w:pPr>
              <w:ind w:left="40"/>
              <w:spacing w:after="0"/>
              <w:rPr>
                <w:sz w:val="20"/>
                <w:szCs w:val="20"/>
                <w:color w:val="auto"/>
              </w:rPr>
            </w:pPr>
            <w:r>
              <w:rPr>
                <w:rFonts w:ascii="Arial" w:cs="Arial" w:eastAsia="Arial" w:hAnsi="Arial"/>
                <w:sz w:val="16"/>
                <w:szCs w:val="16"/>
                <w:color w:val="auto"/>
              </w:rPr>
              <w:t>Reportable Segment:</w:t>
            </w: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Communications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Oil and Gas</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Electrical Transmission</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Power Generation and Industrial</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37"/>
        </w:trPr>
        <w:tc>
          <w:tcPr>
            <w:tcW w:w="512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NA</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and Adjusted Diluted Earnings Per Share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4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6"/>
                <w:szCs w:val="16"/>
                <w:b w:val="1"/>
                <w:bCs w:val="1"/>
                <w:color w:val="auto"/>
                <w:w w:val="96"/>
              </w:rPr>
              <w:t>For the Three Months Ended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w:t>
            </w:r>
          </w:p>
        </w:tc>
        <w:tc>
          <w:tcPr>
            <w:tcW w:w="20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Diluted Earnings</w:t>
            </w: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 Share</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Per Share</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0.08</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Total adjustments, pre-tax</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0.14</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4"/>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28.8</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48.4</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20955</wp:posOffset>
            </wp:positionV>
            <wp:extent cx="3978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62" w:lineRule="exact"/>
        <w:rPr>
          <w:sz w:val="20"/>
          <w:szCs w:val="20"/>
          <w:color w:val="auto"/>
        </w:rPr>
      </w:pPr>
    </w:p>
    <w:p>
      <w:pPr>
        <w:jc w:val="both"/>
        <w:ind w:left="420" w:hanging="412"/>
        <w:spacing w:after="0" w:line="249"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tax effect of the adjusted items that are subject to tax, including the tax effects of share-based compensation expense, which for the three month period ended March 31, 2018 was de minimis, and which includes a net tax deficiency of $0.2 million for the three month period ended March 31, 2017 related to the vesting of share-based payment awards. Tax effects are determined based on the tax treatment of the related items, the incremental statutory tax rate of the jurisdictions pertaining to each adjustment, and taking into consideration their effect on pre-tax income. For the three month period ended March 31, 2018 and 2017, our consolidated effective tax rates, as reported, were 30%, and 40%, respectively, and as adjusted, were 29% and 39%,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any of which may require our use of cash.</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 period ended March 31, 2018, we spent $23 million on capital expenditures, or $17 million, net of asset disposals,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incurred approximately $30 million of equipment purchases under capital lease and other financing arrangements. We estimate that we will spend approximately $110 million on capital expenditures, or approximately $90 million, net of asset disposals, in 2018, and expect to incur approximately $110 million to $130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Acquisitions and Earn-Out Liabilities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typically utilize cash for business acquisitions and other strategic arrangements, and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2018, we used $4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March 31, 2018 was approximately $121 million. Of this amount, $28 million represents the liability for earn-out obligations that have been earned. The remainder is management’s estimate of potential earn-out obligations that are contingent upon future performance. Potential future earn-out obligations for acquisitions are measured at their estimated fair value as of the date of acquisition, with subsequent changes in fair value recorded in earnings as a component of other income or expense. For the three month period ended March 31, 2018, we made no payments related to earn-out obligations.</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For the three month period ended March 31, 2018, tax refunds, net of tax payments, were approximately $29 million and resulted primarily from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utilization of certain tax credits, as well as the tax effect of an increase in tax depreciation. For the three month period ended March 31, 2017, tax payments, net of tax refunds, totaled approximately $2 million. Our tax payments, which are made quarterly, vary with changes in taxable income and earnings based on estimates of full year taxable income activity and estimated tax rates. In December 2017, the 2017 Tax Act was enacted, which included broad tax reforms that are applicable to us. Under the provisions of the 2017 Tax Act, the U.S. corporate tax rate decreased from 35% to 21% effective January 1, 2018.</w:t>
      </w:r>
    </w:p>
    <w:p>
      <w:pPr>
        <w:spacing w:after="0" w:line="17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March 31, 2018, we expect that substantially all of our CIEB will be billed to customers in the normal course of business within the next 12 months. Total accounts receivable, which consists of contract billings, CIEB and retainage, increased to $1.7 billion as of March 31, 2018 from $1.6 billion as of December 31, 2017 due to timing of collections and an increase in our days sales outstanding, as discussed below.</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06" w:right="239" w:bottom="1440" w:gutter="0" w:footer="0" w:header="0"/>
        </w:sectPr>
      </w:pPr>
    </w:p>
    <w:bookmarkStart w:id="32" w:name="page33"/>
    <w:bookmarkEnd w:id="32"/>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and other liquidity needs for at least the next 12 months.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225"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color w:val="auto"/>
        </w:rPr>
        <w:t>As of March 31, 2018, we had approximately $860 million in working capital, defined as current assets less current liabilities, as compared with $889 million as of December 31, 2017, a decrease of approximately $28 million. Cash and cash equivalents totaled approximately $40 million as of both March 31, 2018 and December 31,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ind w:left="660"/>
              <w:spacing w:after="0"/>
              <w:rPr>
                <w:sz w:val="20"/>
                <w:szCs w:val="20"/>
                <w:color w:val="auto"/>
              </w:rPr>
            </w:pPr>
            <w:r>
              <w:rPr>
                <w:rFonts w:ascii="Arial" w:cs="Arial" w:eastAsia="Arial" w:hAnsi="Arial"/>
                <w:sz w:val="16"/>
                <w:szCs w:val="16"/>
                <w:color w:val="auto"/>
              </w:rPr>
              <w:t>Sources and uses of cash are summarized below (in millions):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3"/>
        </w:trPr>
        <w:tc>
          <w:tcPr>
            <w:tcW w:w="8340" w:type="dxa"/>
            <w:vAlign w:val="bottom"/>
          </w:tcPr>
          <w:p>
            <w:pPr>
              <w:spacing w:after="0"/>
              <w:rPr>
                <w:sz w:val="24"/>
                <w:szCs w:val="24"/>
                <w:color w:val="auto"/>
              </w:rPr>
            </w:pPr>
          </w:p>
        </w:tc>
        <w:tc>
          <w:tcPr>
            <w:tcW w:w="308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9"/>
              </w:rPr>
              <w:t>For the Three Months Ended March 31</w:t>
            </w:r>
          </w:p>
        </w:tc>
      </w:tr>
      <w:tr>
        <w:trPr>
          <w:trHeight w:val="33"/>
        </w:trPr>
        <w:tc>
          <w:tcPr>
            <w:tcW w:w="8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33"/>
        </w:trPr>
        <w:tc>
          <w:tcPr>
            <w:tcW w:w="8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can also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affected by working capital needs associated with the various types of services we provide. Working capital is affected by changes in accounts receivable, net, CIEB, accounts payable and accrued expenses and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three month period ended March 31, 2018 was $84 million, as compared with approximately $154 million for the same period in 2017. Net cash provided by operating activities included approximately $6 million of distributions of earnings from our investments in the Waha JVs. The decrease in cash provided by operating activities was due primarily to increased investment in project-related working capital from timing of activity. Net changes in assets and liabilities had a negative effect on cash provided by operating activities of $41 million. Net cash provided by operating activities was also negatively affected by a decrease in net income of $14 million and a decrease in the effect of non-cash adjustments of $16 million.</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days sales outstanding (“DSO”), net of BIEC, was 96 as of March 31, 2018 as compared with 81 as of December 31, 2017. The increase in DSO, net of BIEC for the three month period ended March 31, 2018 was primarily related to certain large long-haul pipeline construction projects in our Oil and Gas segment that are expected to reach substantial completion in the coming months. DSO, net of BIEC, is calculated as accounts receivable, net, less BIEC, divided by average daily revenue for the most recently completed quarter as of the balance sheet date. DSOs can fluctuate from period to period due to timing of collections and settlements, changes in project and customer mix, timing of project close-outs and retainage collections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decreased by $39 million to $31 million for the three month period ended March 31, 2018 from $70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2017. Payments for other investments, which related primarily to our equity investment in the Waha JVs, totaled $15 million for the three month period ended March 31, 2018 as compared with $53 million for the same period in 2017, for a decrease in cash used in investing activities of approximately $39 million. Proceeds from other investments for the three month periods ended March 31, 2018 and 2017, which decreased by $7 million, related to recoveries from an investment that is in the final stages of liquidation and is being managed by a receiver. For the three month period ended March 31, 2018, we spent $23 million on capital expenditures, or $17 million, net of asset disposals, as compared with $29 million, or $28 million, net of asset disposals, for the same period in the prior year, a decrease of $11 million.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three month period ended March 31, 2018 was $53 million, as compared with $108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 period ended March 31, 2017, a decrease of approximately $54 million. Credit facility related activity, net, for the three month period ended March 31, 2018, totaled $70 million of borrowings, net of repayments, as compared to $85 million of payments, net of borrowings, for the three month period ended March 31, 2017, for a decrease in cash used in financing activities from credit facility-related activities, net, of $155 million. This decrease was partially offset by payments for share repurchases totaling $91 million.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2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have a senior secured credit facility (the “Credit Facility”). Aggregate borrowing commitments under the Credit Facility total approximately $1.5 billion, composed of $1.1 billion of revolving commitments and a term loan totaling approximately $0.4 billion. Borrowings under the Credit</w:t>
      </w:r>
    </w:p>
    <w:p>
      <w:pPr>
        <w:sectPr>
          <w:pgSz w:w="11900" w:h="16838" w:orient="portrait"/>
          <w:cols w:equalWidth="0" w:num="1">
            <w:col w:w="11420"/>
          </w:cols>
          <w:pgMar w:left="240" w:top="643" w:right="2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643" w:right="239" w:bottom="1440" w:gutter="0" w:footer="0" w:header="0"/>
          <w:type w:val="continuous"/>
        </w:sectPr>
      </w:pPr>
    </w:p>
    <w:bookmarkStart w:id="33" w:name="page34"/>
    <w:bookmarkEnd w:id="33"/>
    <w:p>
      <w:pPr>
        <w:jc w:val="both"/>
        <w:spacing w:after="0" w:line="275" w:lineRule="auto"/>
        <w:rPr>
          <w:sz w:val="20"/>
          <w:szCs w:val="20"/>
          <w:color w:val="auto"/>
        </w:rPr>
      </w:pPr>
      <w:r>
        <w:rPr>
          <w:rFonts w:ascii="Arial" w:cs="Arial" w:eastAsia="Arial" w:hAnsi="Arial"/>
          <w:sz w:val="16"/>
          <w:szCs w:val="16"/>
          <w:color w:val="auto"/>
        </w:rPr>
        <w:t>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which is incorporated by reference, and Note 7 - Debt in the notes to the audited consolidated financial statements included in our 2017 Form 10-K.</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2017 Form 10-K. Also, see Note 16 - Supplemental Guarantor Condensed Unaudited Consolidating Financial Information in the notes to the condensed unaudited consolidated financial statements in this Form 10-Q, which is incorporated by reference.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March 31, 2018.</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2017 Form 10-K. Also see Note 7 - Debt in the notes to the condensed unaudited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investments, including our 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23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tab/>
        <w:t>QUANTITATIVE AND QUALITATIVE DISCLOSURES ABOUT MARKET RISK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of March 31, 2018,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March 31, 2018, we had $454 million aggregate principal amount of outstanding revolving loans under our Credit Facility with a weighted average interest rate of 3.98% and a term loan with a balance of $392 million with an interest rate of 3.50%. A 100 basis point increase in the applicable interest rates under our credit facilities would have increased our interest expense by approximately $2 million for the three month period ended March 31, 2018.</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2018, our fixed interest rate debt primarily included $400 million aggregate principal amount of 4.875% Senior Notes and $188 million of capital lease obligations, which accrued interest at a weighted average interest rate of approximately 3.7%. None of this debt subjects us to interest rate risk, but we may be subject to changes in interest rates if and when we refinance this debt at maturity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foreign operations are primarily in Canada. Revenue generated from foreign operations represented 2% of our total revenue for the three month period ended March 31, 2018.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month period ended March 31, 2018. Translation gains or losses, which are recorded in other comprehensive income or loss, result from translation of the assets and liabilities of our foreign subsidiaries into U.S. dollars. For the three month period ended March 31, 2018, foreign currency translation losses totaled approximately $0.5 million, and related primarily to our Canadian operations.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w:t>
      </w:r>
    </w:p>
    <w:p>
      <w:pPr>
        <w:sectPr>
          <w:pgSz w:w="11900" w:h="16838" w:orient="portrait"/>
          <w:cols w:equalWidth="0" w:num="1">
            <w:col w:w="11420"/>
          </w:cols>
          <w:pgMar w:left="240" w:top="643" w:right="2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643" w:right="239" w:bottom="1440" w:gutter="0" w:footer="0" w:header="0"/>
          <w:type w:val="continuous"/>
        </w:sectPr>
      </w:pPr>
    </w:p>
    <w:bookmarkStart w:id="34" w:name="page35"/>
    <w:bookmarkEnd w:id="34"/>
    <w:p>
      <w:pPr>
        <w:jc w:val="both"/>
        <w:spacing w:after="0" w:line="275" w:lineRule="auto"/>
        <w:rPr>
          <w:sz w:val="20"/>
          <w:szCs w:val="20"/>
          <w:color w:val="auto"/>
        </w:rPr>
      </w:pPr>
      <w:r>
        <w:rPr>
          <w:rFonts w:ascii="Arial" w:cs="Arial" w:eastAsia="Arial" w:hAnsi="Arial"/>
          <w:sz w:val="16"/>
          <w:szCs w:val="16"/>
          <w:color w:val="auto"/>
        </w:rPr>
        <w:t>than the functional currency, which exposure was not significant to our consolidated financial position as of March 31, 2018. We may enter into foreign currency derivative contracts in the future to manage such exposure.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condensed unaudited consolidated financial statements, which is incorporated by reference, we have certain investments that may be subject to market risk and could be subject to volatility based on market conditions.</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Although the adoption of ASU 2014-09 had no significant effect on our results of operations, cash flows or financial position, certain updates to our internal controls were implemented in connection with its adoption. There have been no other changes in the Company’s internal control over financial reporting during the quarter ended March 31, 2018 that have materially affected, or are reasonably likely to materially affect, the Company’s internal control over financial reporting.</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Legacy Litigation</w:t>
      </w:r>
    </w:p>
    <w:p>
      <w:pPr>
        <w:spacing w:after="0" w:line="171"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2017 Form 10-K.</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There have been no material changes to either the cautionary statement regarding forward-looking statements or to any of the risk factors disclosed in our 2017 Form</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10-K.</w:t>
      </w:r>
    </w:p>
    <w:p>
      <w:pPr>
        <w:spacing w:after="0" w:line="25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March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ind w:right="63"/>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restart"/>
          </w:tcPr>
          <w:p>
            <w:pPr>
              <w:jc w:val="center"/>
              <w:ind w:right="63"/>
              <w:spacing w:after="0"/>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Paid per Share</w:t>
            </w:r>
          </w:p>
        </w:tc>
        <w:tc>
          <w:tcPr>
            <w:tcW w:w="120" w:type="dxa"/>
            <w:vAlign w:val="bottom"/>
            <w:vMerge w:val="restart"/>
          </w:tcPr>
          <w:p>
            <w:pPr>
              <w:spacing w:after="0"/>
              <w:rPr>
                <w:sz w:val="7"/>
                <w:szCs w:val="7"/>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Program </w:t>
            </w:r>
            <w:r>
              <w:rPr>
                <w:rFonts w:ascii="Arial" w:cs="Arial" w:eastAsia="Arial" w:hAnsi="Arial"/>
                <w:sz w:val="21"/>
                <w:szCs w:val="21"/>
                <w:b w:val="1"/>
                <w:bCs w:val="1"/>
                <w:color w:val="auto"/>
                <w:w w:val="90"/>
                <w:vertAlign w:val="superscript"/>
              </w:rPr>
              <w:t>(c)</w:t>
            </w:r>
          </w:p>
        </w:tc>
        <w:tc>
          <w:tcPr>
            <w:tcW w:w="120" w:type="dxa"/>
            <w:vAlign w:val="bottom"/>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 (b)</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through January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98,448,190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February 1 through February 28</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251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98,448,190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through March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2,038,720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48.29</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2,038,720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2,038,971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2,038,720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 w:lineRule="exact"/>
        <w:rPr>
          <w:sz w:val="20"/>
          <w:szCs w:val="20"/>
          <w:color w:val="auto"/>
        </w:rPr>
      </w:pPr>
    </w:p>
    <w:p>
      <w:pPr>
        <w:ind w:left="420" w:hanging="412"/>
        <w:spacing w:after="0" w:line="273"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2,038,720 shares of common stock repurchased under our 2016 share repurchase program and 251 shares of common stock withheld for income tax purposes in connection with shares issued to certain employees and directors under compensation and benefit programs.</w:t>
      </w:r>
    </w:p>
    <w:p>
      <w:pPr>
        <w:spacing w:after="0" w:line="11"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Except to the extent described in (a) above with respect to share repurchases associated with certain employee and director elections, all shares were acquired in open-market transactions.</w:t>
      </w:r>
    </w:p>
    <w:p>
      <w:pPr>
        <w:spacing w:after="0" w:line="66" w:lineRule="exact"/>
        <w:rPr>
          <w:rFonts w:ascii="Arial" w:cs="Arial" w:eastAsia="Arial" w:hAnsi="Arial"/>
          <w:sz w:val="13"/>
          <w:szCs w:val="13"/>
          <w:color w:val="auto"/>
        </w:rPr>
      </w:pP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Purchased pursuant to our publicly announced $100 million 2016 share repurchase program, which was publicly announced on February 25, 2016, and completed in March 2018.</w:t>
      </w:r>
    </w:p>
    <w:p>
      <w:pPr>
        <w:spacing w:after="0" w:line="66" w:lineRule="exact"/>
        <w:rPr>
          <w:rFonts w:ascii="Arial" w:cs="Arial" w:eastAsia="Arial" w:hAnsi="Arial"/>
          <w:sz w:val="13"/>
          <w:szCs w:val="13"/>
          <w:color w:val="auto"/>
        </w:rPr>
      </w:pPr>
    </w:p>
    <w:p>
      <w:pPr>
        <w:jc w:val="both"/>
        <w:ind w:left="420" w:hanging="412"/>
        <w:spacing w:after="0" w:line="252"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Approximate dollar value of shares available for repurchase as of January 31, 2018 and February 28, 2018 reflects the amount available for repurchase under the 2016 share repurchase program, which was completed in March 2018. On March 29, 2018, we announced a new $100 million share repurchase program, which has no expiration date. Approximate dollar value of shares available for repurchase as of March 31, 2018 reflects the amount available for repurchase under the 2018 share repurchase program, under which no shares were repurchased for the three month period ended March 31, 2018.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643" w:right="239" w:bottom="1440" w:gutter="0" w:footer="0" w:header="0"/>
        </w:sectPr>
      </w:pPr>
    </w:p>
    <w:bookmarkStart w:id="35" w:name="page36"/>
    <w:bookmarkEnd w:id="35"/>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801" w:right="239" w:bottom="1440" w:gutter="0" w:footer="0" w:header="0"/>
        </w:sectPr>
      </w:pPr>
    </w:p>
    <w:bookmarkStart w:id="36" w:name="page37"/>
    <w:bookmarkEnd w:id="36"/>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5"/>
          <w:szCs w:val="15"/>
          <w:color w:val="auto"/>
        </w:rPr>
        <w:t>April 30, 2018</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2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gridSpan w:val="6"/>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Computation of Ratio of Earnings to Fixed Charges</w:t>
              </w:r>
            </w:hyperlink>
          </w:p>
        </w:tc>
      </w:tr>
      <w:tr>
        <w:trPr>
          <w:trHeight w:val="20"/>
        </w:trPr>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0">
              <w:r>
                <w:rPr>
                  <w:rFonts w:ascii="Arial" w:cs="Arial" w:eastAsia="Arial" w:hAnsi="Arial"/>
                  <w:sz w:val="16"/>
                  <w:szCs w:val="16"/>
                  <w:color w:val="0000FF"/>
                  <w:w w:val="92"/>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1">
              <w:r>
                <w:rPr>
                  <w:rFonts w:ascii="Arial" w:cs="Arial" w:eastAsia="Arial" w:hAnsi="Arial"/>
                  <w:sz w:val="16"/>
                  <w:szCs w:val="16"/>
                  <w:color w:val="0000FF"/>
                  <w:w w:val="92"/>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42">
              <w:r>
                <w:rPr>
                  <w:rFonts w:ascii="Arial" w:cs="Arial" w:eastAsia="Arial" w:hAnsi="Arial"/>
                  <w:sz w:val="16"/>
                  <w:szCs w:val="16"/>
                  <w:color w:val="0000FF"/>
                  <w:w w:val="92"/>
                </w:rPr>
                <w:t>Certifications required by Section 906 of the Sarbanes-Oxley Act of 2002</w:t>
              </w:r>
            </w:hyperlink>
          </w:p>
        </w:tc>
        <w:tc>
          <w:tcPr>
            <w:tcW w:w="16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43">
              <w:r>
                <w:rPr>
                  <w:rFonts w:ascii="Arial" w:cs="Arial" w:eastAsia="Arial" w:hAnsi="Arial"/>
                  <w:sz w:val="16"/>
                  <w:szCs w:val="16"/>
                  <w:color w:val="0000FF"/>
                  <w:w w:val="92"/>
                </w:rPr>
                <w:t>Certifications required by Section 906 of the Sarbanes-Oxley Act of 2002</w:t>
              </w:r>
            </w:hyperlink>
          </w:p>
        </w:tc>
        <w:tc>
          <w:tcPr>
            <w:tcW w:w="180" w:type="dxa"/>
            <w:vAlign w:val="bottom"/>
            <w:gridSpan w:val="2"/>
          </w:tcPr>
          <w:p>
            <w:pPr>
              <w:spacing w:after="0"/>
              <w:rPr>
                <w:sz w:val="21"/>
                <w:szCs w:val="21"/>
                <w:color w:val="auto"/>
              </w:rPr>
            </w:pPr>
          </w:p>
        </w:tc>
      </w:tr>
      <w:tr>
        <w:trPr>
          <w:trHeight w:val="285"/>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49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43"/>
        </w:trPr>
        <w:tc>
          <w:tcPr>
            <w:tcW w:w="1300" w:type="dxa"/>
            <w:vAlign w:val="bottom"/>
            <w:gridSpan w:val="4"/>
          </w:tcPr>
          <w:p>
            <w:pPr>
              <w:spacing w:after="0"/>
              <w:rPr>
                <w:sz w:val="20"/>
                <w:szCs w:val="20"/>
                <w:color w:val="auto"/>
              </w:rPr>
            </w:pPr>
            <w:r>
              <w:rPr>
                <w:rFonts w:ascii="Arial" w:cs="Arial" w:eastAsia="Arial" w:hAnsi="Arial"/>
                <w:sz w:val="16"/>
                <w:szCs w:val="16"/>
                <w:color w:val="auto"/>
              </w:rPr>
              <w:t>______________</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219"/>
          </w:cols>
          <w:pgMar w:left="240" w:top="523"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6"/>
                <w:szCs w:val="16"/>
                <w:b w:val="1"/>
                <w:bCs w:val="1"/>
                <w:color w:val="auto"/>
                <w:w w:val="92"/>
              </w:rPr>
              <w:t>Exhibit 12.1</w:t>
            </w:r>
          </w:p>
        </w:tc>
        <w:tc>
          <w:tcPr>
            <w:tcW w:w="0" w:type="dxa"/>
            <w:vAlign w:val="bottom"/>
          </w:tcPr>
          <w:p>
            <w:pPr>
              <w:spacing w:after="0"/>
              <w:rPr>
                <w:sz w:val="1"/>
                <w:szCs w:val="1"/>
                <w:color w:val="auto"/>
              </w:rPr>
            </w:pPr>
          </w:p>
        </w:tc>
      </w:tr>
      <w:tr>
        <w:trPr>
          <w:trHeight w:val="357"/>
        </w:trPr>
        <w:tc>
          <w:tcPr>
            <w:tcW w:w="3420" w:type="dxa"/>
            <w:vAlign w:val="bottom"/>
          </w:tcPr>
          <w:p>
            <w:pPr>
              <w:spacing w:after="0"/>
              <w:rPr>
                <w:sz w:val="24"/>
                <w:szCs w:val="24"/>
                <w:color w:val="auto"/>
              </w:rPr>
            </w:pPr>
          </w:p>
        </w:tc>
        <w:tc>
          <w:tcPr>
            <w:tcW w:w="56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5680" w:type="dxa"/>
            <w:vAlign w:val="bottom"/>
            <w:gridSpan w:val="2"/>
          </w:tcPr>
          <w:p>
            <w:pPr>
              <w:jc w:val="right"/>
              <w:ind w:right="2119"/>
              <w:spacing w:after="0"/>
              <w:rPr>
                <w:sz w:val="20"/>
                <w:szCs w:val="20"/>
                <w:color w:val="auto"/>
              </w:rPr>
            </w:pPr>
            <w:r>
              <w:rPr>
                <w:rFonts w:ascii="Arial" w:cs="Arial" w:eastAsia="Arial" w:hAnsi="Arial"/>
                <w:sz w:val="16"/>
                <w:szCs w:val="16"/>
                <w:b w:val="1"/>
                <w:bCs w:val="1"/>
                <w:color w:val="auto"/>
              </w:rPr>
              <w:t>(dollar amounts 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12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5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vMerge w:val="continue"/>
          </w:tcPr>
          <w:p>
            <w:pPr>
              <w:spacing w:after="0"/>
              <w:rPr>
                <w:sz w:val="20"/>
                <w:szCs w:val="20"/>
                <w:color w:val="auto"/>
              </w:rPr>
            </w:pPr>
          </w:p>
        </w:tc>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before income taxes</w:t>
            </w:r>
          </w:p>
        </w:tc>
        <w:tc>
          <w:tcPr>
            <w:tcW w:w="568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37,589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Add: Fixed charges</w:t>
            </w:r>
          </w:p>
        </w:tc>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56,751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 Distributions of / (subtract) undistributed earnings from equity method investments, net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80"/>
              <w:spacing w:after="0"/>
              <w:rPr>
                <w:sz w:val="20"/>
                <w:szCs w:val="20"/>
                <w:color w:val="auto"/>
              </w:rPr>
            </w:pPr>
            <w:r>
              <w:rPr>
                <w:rFonts w:ascii="Arial" w:cs="Arial" w:eastAsia="Arial" w:hAnsi="Arial"/>
                <w:sz w:val="16"/>
                <w:szCs w:val="16"/>
                <w:color w:val="auto"/>
              </w:rPr>
              <w:t>Total earnings</w:t>
            </w:r>
          </w:p>
        </w:tc>
        <w:tc>
          <w:tcPr>
            <w:tcW w:w="4780" w:type="dxa"/>
            <w:vAlign w:val="bottom"/>
          </w:tcPr>
          <w:p>
            <w:pPr>
              <w:spacing w:after="0"/>
              <w:rPr>
                <w:sz w:val="18"/>
                <w:szCs w:val="18"/>
                <w:color w:val="auto"/>
              </w:rPr>
            </w:pP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94,448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charges:</w:t>
            </w:r>
          </w:p>
        </w:tc>
        <w:tc>
          <w:tcPr>
            <w:tcW w:w="4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56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17,196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0"/>
              </w:rPr>
              <w:t>Estimate of interest expense within rental expense</w:t>
            </w:r>
          </w:p>
        </w:tc>
        <w:tc>
          <w:tcPr>
            <w:tcW w:w="47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39,555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4780" w:type="dxa"/>
            <w:vAlign w:val="bottom"/>
          </w:tcPr>
          <w:p>
            <w:pPr>
              <w:spacing w:after="0"/>
              <w:rPr>
                <w:sz w:val="18"/>
                <w:szCs w:val="18"/>
                <w:color w:val="auto"/>
              </w:rPr>
            </w:pP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56,751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47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40" w:top="55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30, 2018</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49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April 30, 2018</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2018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30, 2018</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2018,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2018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30, 2018</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2018,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2019-12-28T22:29:31Z</dcterms:created>
  <dcterms:modified xsi:type="dcterms:W3CDTF">2019-12-28T22:29:31Z</dcterms:modified>
</cp:coreProperties>
</file>