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right="20" w:firstLine="8"/>
        <w:spacing w:after="0" w:line="257" w:lineRule="auto"/>
        <w:tabs>
          <w:tab w:leader="none" w:pos="373"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ind w:firstLine="8"/>
        <w:spacing w:after="0" w:line="248" w:lineRule="auto"/>
        <w:tabs>
          <w:tab w:leader="none" w:pos="351"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34925</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09"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26"/>
              <w:spacing w:after="0"/>
              <w:rPr>
                <w:sz w:val="20"/>
                <w:szCs w:val="20"/>
                <w:color w:val="auto"/>
              </w:rPr>
            </w:pPr>
            <w:r>
              <w:rPr>
                <w:rFonts w:ascii="Arial" w:cs="Arial" w:eastAsia="Arial" w:hAnsi="Arial"/>
                <w:sz w:val="13"/>
                <w:szCs w:val="13"/>
                <w:b w:val="1"/>
                <w:bCs w:val="1"/>
                <w:i w:val="1"/>
                <w:iCs w:val="1"/>
                <w:color w:val="auto"/>
                <w:w w:val="94"/>
              </w:rPr>
              <w:t>(I.R.S. Employer Identification No.)</w:t>
            </w:r>
          </w:p>
        </w:tc>
      </w:tr>
      <w:tr>
        <w:trPr>
          <w:trHeight w:val="373"/>
        </w:trPr>
        <w:tc>
          <w:tcPr>
            <w:tcW w:w="6180" w:type="dxa"/>
            <w:vAlign w:val="bottom"/>
          </w:tcPr>
          <w:p>
            <w:pPr>
              <w:jc w:val="center"/>
              <w:ind w:right="2764"/>
              <w:spacing w:after="0"/>
              <w:rPr>
                <w:sz w:val="20"/>
                <w:szCs w:val="20"/>
                <w:color w:val="auto"/>
              </w:rPr>
            </w:pPr>
            <w:r>
              <w:rPr>
                <w:rFonts w:ascii="Arial" w:cs="Arial" w:eastAsia="Arial" w:hAnsi="Arial"/>
                <w:sz w:val="16"/>
                <w:szCs w:val="16"/>
                <w:b w:val="1"/>
                <w:bCs w:val="1"/>
                <w:color w:val="auto"/>
                <w:w w:val="90"/>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279"/>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24"/>
                <w:szCs w:val="24"/>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202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Trading symbol(s)</w:t>
            </w:r>
          </w:p>
        </w:tc>
        <w:tc>
          <w:tcPr>
            <w:tcW w:w="1300" w:type="dxa"/>
            <w:vAlign w:val="bottom"/>
          </w:tcPr>
          <w:p>
            <w:pPr>
              <w:spacing w:after="0"/>
              <w:rPr>
                <w:sz w:val="12"/>
                <w:szCs w:val="1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1"/>
              </w:rPr>
              <w:t>Common Stock, $0.10 Par Value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374" w:lineRule="exact"/>
        <w:rPr>
          <w:sz w:val="24"/>
          <w:szCs w:val="24"/>
          <w:color w:val="auto"/>
        </w:rPr>
      </w:pPr>
    </w:p>
    <w:p>
      <w:pPr>
        <w:jc w:val="both"/>
        <w:ind w:firstLine="2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171"/>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173"/>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8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420"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160" w:right="3300" w:firstLine="9"/>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2, 2022, MasTec, Inc. had 75,899,836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 ENDED MARCH 31, 2022</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196"/>
        </w:trPr>
        <w:tc>
          <w:tcPr>
            <w:tcW w:w="2460" w:type="dxa"/>
            <w:vAlign w:val="bottom"/>
            <w:gridSpan w:val="10"/>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Part I. FINANCIAL INFORMATION</w:t>
              </w:r>
            </w:hyperlink>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Item 1</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 (Unaudited)</w:t>
              </w:r>
            </w:hyperlink>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Operations</w:t>
              </w:r>
            </w:hyperlink>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Consolidated Statements of Comprehensive Income</w:t>
              </w:r>
            </w:hyperlink>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Balance Sheets</w:t>
              </w:r>
            </w:hyperlink>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Equity</w:t>
              </w:r>
            </w:hyperlink>
          </w:p>
        </w:tc>
        <w:tc>
          <w:tcPr>
            <w:tcW w:w="32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Consolidated Statements of Cash Flows</w:t>
              </w:r>
            </w:hyperlink>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 (Unaudited)</w:t>
              </w:r>
            </w:hyperlink>
          </w:p>
        </w:tc>
        <w:tc>
          <w:tcPr>
            <w:tcW w:w="32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8</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2</w:t>
              </w:r>
            </w:hyperlink>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Management’s Discussion and Analysis of Financial Condition and Results of Operations</w:t>
              </w:r>
            </w:hyperlink>
          </w:p>
        </w:tc>
        <w:tc>
          <w:tcPr>
            <w:tcW w:w="320" w:type="dxa"/>
            <w:vAlign w:val="bottom"/>
            <w:gridSpan w:val="3"/>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Item 3</w:t>
              </w:r>
            </w:hyperlink>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Quantitative and Qualitative Disclosures About Market Risk</w:t>
              </w:r>
            </w:hyperlink>
          </w:p>
        </w:tc>
        <w:tc>
          <w:tcPr>
            <w:tcW w:w="32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Item 4</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Part II. OTHER INFORMATION</w:t>
              </w:r>
            </w:hyperlink>
          </w:p>
        </w:tc>
        <w:tc>
          <w:tcPr>
            <w:tcW w:w="32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37</w:t>
              </w:r>
            </w:hyperlink>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Item 1</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Legal Proceedings</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rFonts w:ascii="Arial" w:cs="Arial" w:eastAsia="Arial" w:hAnsi="Arial"/>
                <w:sz w:val="16"/>
                <w:szCs w:val="16"/>
                <w:color w:val="0000FF"/>
                <w:w w:val="94"/>
              </w:rPr>
            </w:pPr>
            <w:hyperlink w:anchor="page37">
              <w:r>
                <w:rPr>
                  <w:rFonts w:ascii="Arial" w:cs="Arial" w:eastAsia="Arial" w:hAnsi="Arial"/>
                  <w:sz w:val="16"/>
                  <w:szCs w:val="16"/>
                  <w:color w:val="0000FF"/>
                  <w:w w:val="94"/>
                </w:rPr>
                <w:t>Item 1A</w:t>
              </w:r>
            </w:hyperlink>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Risk Factors</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Item 2</w:t>
              </w:r>
            </w:hyperlink>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Unregistered Sales of Equity Securities and Use of Proceeds</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Item 4</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Mine Safety Disclosures</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Item 5</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Other Information</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2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Item 6</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Exhibits</w:t>
              </w:r>
            </w:hyperlink>
          </w:p>
        </w:tc>
        <w:tc>
          <w:tcPr>
            <w:tcW w:w="32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SIGNATURES</w:t>
              </w:r>
            </w:hyperlink>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39</w:t>
              </w:r>
            </w:hyperlink>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65405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7500" w:type="dxa"/>
            <w:vAlign w:val="bottom"/>
          </w:tcPr>
          <w:p>
            <w:pPr>
              <w:ind w:left="120"/>
              <w:spacing w:after="0"/>
              <w:rPr>
                <w:sz w:val="20"/>
                <w:szCs w:val="20"/>
                <w:color w:val="auto"/>
              </w:rPr>
            </w:pPr>
            <w:r>
              <w:rPr>
                <w:rFonts w:ascii="Arial" w:cs="Arial" w:eastAsia="Arial" w:hAnsi="Arial"/>
                <w:sz w:val="16"/>
                <w:szCs w:val="16"/>
                <w:b w:val="1"/>
                <w:bCs w:val="1"/>
                <w:color w:val="auto"/>
              </w:rPr>
              <w:t>FINANCIAL STATEMENTS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19"/>
        </w:trPr>
        <w:tc>
          <w:tcPr>
            <w:tcW w:w="680" w:type="dxa"/>
            <w:vAlign w:val="bottom"/>
          </w:tcPr>
          <w:p>
            <w:pPr>
              <w:spacing w:after="0"/>
              <w:rPr>
                <w:sz w:val="24"/>
                <w:szCs w:val="24"/>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rPr>
              <w:t>MASTEC, INC.</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680" w:type="dxa"/>
            <w:vAlign w:val="bottom"/>
          </w:tcPr>
          <w:p>
            <w:pPr>
              <w:spacing w:after="0"/>
              <w:rPr>
                <w:sz w:val="16"/>
                <w:szCs w:val="16"/>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rPr>
              <w:t>CONSOLIDATED STATEMENTS OF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680" w:type="dxa"/>
            <w:vAlign w:val="bottom"/>
          </w:tcPr>
          <w:p>
            <w:pPr>
              <w:spacing w:after="0"/>
              <w:rPr>
                <w:sz w:val="18"/>
                <w:szCs w:val="18"/>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w w:val="90"/>
              </w:rPr>
              <w:t>(unaudited - in thousands, except per share amounts)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7"/>
        </w:trPr>
        <w:tc>
          <w:tcPr>
            <w:tcW w:w="6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0"/>
        </w:trPr>
        <w:tc>
          <w:tcPr>
            <w:tcW w:w="68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2"/>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Revenue</w:t>
            </w:r>
          </w:p>
        </w:tc>
        <w:tc>
          <w:tcPr>
            <w:tcW w:w="7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1,954,400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1,775,424</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1,733,316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1,513,859</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79,264</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25,589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11,247</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70,591</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12,459</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r>
      <w:tr>
        <w:trPr>
          <w:trHeight w:val="21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95,429</w:t>
            </w:r>
          </w:p>
        </w:tc>
      </w:tr>
      <w:tr>
        <w:trPr>
          <w:trHeight w:val="21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(29,317)</w:t>
            </w:r>
          </w:p>
        </w:tc>
      </w:tr>
      <w:tr>
        <w:trPr>
          <w:trHeight w:val="21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66,112</w:t>
            </w:r>
          </w:p>
        </w:tc>
      </w:tr>
      <w:tr>
        <w:trPr>
          <w:trHeight w:val="206"/>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r>
      <w:tr>
        <w:trPr>
          <w:trHeight w:val="20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65,649</w:t>
            </w:r>
          </w:p>
        </w:tc>
      </w:tr>
      <w:tr>
        <w:trPr>
          <w:trHeight w:val="240"/>
        </w:trPr>
        <w:tc>
          <w:tcPr>
            <w:tcW w:w="6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earnings per share (Note 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Basic (loss)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r>
      <w:tr>
        <w:trPr>
          <w:trHeight w:val="20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Basic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72,439</w:t>
            </w:r>
          </w:p>
        </w:tc>
      </w:tr>
      <w:tr>
        <w:trPr>
          <w:trHeight w:val="145"/>
        </w:trPr>
        <w:tc>
          <w:tcPr>
            <w:tcW w:w="6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Diluted (loss)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06"/>
        </w:trPr>
        <w:tc>
          <w:tcPr>
            <w:tcW w:w="8180" w:type="dxa"/>
            <w:vAlign w:val="bottom"/>
            <w:gridSpan w:val="2"/>
          </w:tcPr>
          <w:p>
            <w:pPr>
              <w:ind w:left="140"/>
              <w:spacing w:after="0"/>
              <w:rPr>
                <w:sz w:val="20"/>
                <w:szCs w:val="20"/>
                <w:color w:val="auto"/>
              </w:rPr>
            </w:pPr>
            <w:r>
              <w:rPr>
                <w:rFonts w:ascii="Arial" w:cs="Arial" w:eastAsia="Arial" w:hAnsi="Arial"/>
                <w:sz w:val="16"/>
                <w:szCs w:val="16"/>
                <w:color w:val="auto"/>
              </w:rPr>
              <w:t>Diluted weighted average common shares outstanding</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74,789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73,846</w:t>
            </w: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66,112</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gains, net of tax</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gains on investment activity, net of tax</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13,839</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80,322</w:t>
            </w:r>
          </w:p>
        </w:tc>
      </w:tr>
      <w:tr>
        <w:trPr>
          <w:trHeight w:val="207"/>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r>
      <w:tr>
        <w:trPr>
          <w:trHeight w:val="20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Comprehensive (loss)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79,859</w:t>
            </w: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360,736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902,477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1,019,324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1,227,927</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101,420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92,595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2,784,278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2,873,954</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1,484,677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1,436,087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260,410</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1,504,341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1,520,575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670,280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360,087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7,087,996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133,963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137,912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663,063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203,141</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207,719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229,936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313,965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1,866,037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1,784,598</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1,788,727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1,876,233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176,378</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462,688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450,361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289,962</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4,575,919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4,577,532</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w:t>
            </w:r>
            <w:r>
              <w:rPr>
                <w:rFonts w:ascii="Arial" w:cs="Arial" w:eastAsia="Arial" w:hAnsi="Arial"/>
                <w:sz w:val="16"/>
                <w:szCs w:val="16"/>
                <w:color w:val="auto"/>
              </w:rPr>
              <w:t>Note 14</w:t>
            </w: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18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$0.10 par value: authorized shares - 145,000,000; issued shares - 95,488,017 and 95,371,211 (including</w:t>
            </w:r>
          </w:p>
        </w:tc>
        <w:tc>
          <w:tcPr>
            <w:tcW w:w="2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9,549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9,537</w:t>
            </w:r>
          </w:p>
        </w:tc>
        <w:tc>
          <w:tcPr>
            <w:tcW w:w="0" w:type="dxa"/>
            <w:vAlign w:val="bottom"/>
          </w:tcPr>
          <w:p>
            <w:pPr>
              <w:spacing w:after="0"/>
              <w:rPr>
                <w:sz w:val="1"/>
                <w:szCs w:val="1"/>
                <w:color w:val="auto"/>
              </w:rPr>
            </w:pP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1,686,060 and 1,747,385 of unvested stock awards) as of March 31, 2022 and December 31, 2021, respectively</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1,033,615</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2,127,410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2,162,388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5"/>
              </w:rPr>
              <w:t>Treasury stock, at cost: 19,129,904 and 18,941,926 shares as of March 31, 2022 and December 31, 2021, respectively</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(600,746)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MasTec, Inc.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2,539,809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2,512,077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2,543,861</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7,087,996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7,121,393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right="260"/>
        <w:spacing w:after="0" w:line="284" w:lineRule="auto"/>
        <w:rPr>
          <w:sz w:val="20"/>
          <w:szCs w:val="20"/>
          <w:color w:val="auto"/>
        </w:rPr>
      </w:pPr>
      <w:r>
        <w:rPr>
          <w:rFonts w:ascii="Arial" w:cs="Arial" w:eastAsia="Arial" w:hAnsi="Arial"/>
          <w:sz w:val="14"/>
          <w:szCs w:val="14"/>
          <w:b w:val="1"/>
          <w:bCs w:val="1"/>
          <w:color w:val="auto"/>
        </w:rPr>
        <w:t>For the Three Months Ended March 31,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2021</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 income</w:t>
      </w:r>
    </w:p>
    <w:p>
      <w:pPr>
        <w:spacing w:after="0" w:line="59" w:lineRule="exact"/>
        <w:rPr>
          <w:sz w:val="20"/>
          <w:szCs w:val="20"/>
          <w:color w:val="auto"/>
        </w:rPr>
      </w:pPr>
    </w:p>
    <w:p>
      <w:pPr>
        <w:ind w:left="140" w:right="320"/>
        <w:spacing w:after="0" w:line="311" w:lineRule="auto"/>
        <w:rPr>
          <w:sz w:val="20"/>
          <w:szCs w:val="20"/>
          <w:color w:val="auto"/>
        </w:rPr>
      </w:pPr>
      <w:r>
        <w:rPr>
          <w:rFonts w:ascii="Arial" w:cs="Arial" w:eastAsia="Arial" w:hAnsi="Arial"/>
          <w:sz w:val="14"/>
          <w:szCs w:val="14"/>
          <w:color w:val="auto"/>
        </w:rPr>
        <w:t>Other comprehensive income</w:t>
      </w:r>
    </w:p>
    <w:p>
      <w:pPr>
        <w:spacing w:after="0" w:line="1" w:lineRule="exact"/>
        <w:rPr>
          <w:sz w:val="20"/>
          <w:szCs w:val="20"/>
          <w:color w:val="auto"/>
        </w:rPr>
      </w:pPr>
    </w:p>
    <w:p>
      <w:pPr>
        <w:ind w:left="140" w:right="280"/>
        <w:spacing w:after="0" w:line="272" w:lineRule="auto"/>
        <w:rPr>
          <w:sz w:val="20"/>
          <w:szCs w:val="20"/>
          <w:color w:val="auto"/>
        </w:rPr>
      </w:pPr>
      <w:r>
        <w:rPr>
          <w:rFonts w:ascii="Arial" w:cs="Arial" w:eastAsia="Arial" w:hAnsi="Arial"/>
          <w:sz w:val="15"/>
          <w:szCs w:val="15"/>
          <w:color w:val="auto"/>
        </w:rPr>
        <w:t>Non-cash stock-based compensation</w:t>
      </w:r>
    </w:p>
    <w:p>
      <w:pPr>
        <w:spacing w:after="0" w:line="1" w:lineRule="exact"/>
        <w:rPr>
          <w:sz w:val="20"/>
          <w:szCs w:val="20"/>
          <w:color w:val="auto"/>
        </w:rPr>
      </w:pPr>
    </w:p>
    <w:p>
      <w:pPr>
        <w:ind w:left="140" w:right="320"/>
        <w:spacing w:after="0" w:line="322" w:lineRule="auto"/>
        <w:rPr>
          <w:sz w:val="20"/>
          <w:szCs w:val="20"/>
          <w:color w:val="auto"/>
        </w:rPr>
      </w:pPr>
      <w:r>
        <w:rPr>
          <w:rFonts w:ascii="Arial" w:cs="Arial" w:eastAsia="Arial" w:hAnsi="Arial"/>
          <w:sz w:val="14"/>
          <w:szCs w:val="14"/>
          <w:color w:val="auto"/>
        </w:rPr>
        <w:t>Issuance of restricted shares, net</w:t>
      </w:r>
    </w:p>
    <w:p>
      <w:pPr>
        <w:ind w:left="140" w:right="20"/>
        <w:spacing w:after="0" w:line="322" w:lineRule="auto"/>
        <w:rPr>
          <w:sz w:val="20"/>
          <w:szCs w:val="20"/>
          <w:color w:val="auto"/>
        </w:rPr>
      </w:pPr>
      <w:r>
        <w:rPr>
          <w:rFonts w:ascii="Arial" w:cs="Arial" w:eastAsia="Arial" w:hAnsi="Arial"/>
          <w:sz w:val="14"/>
          <w:szCs w:val="14"/>
          <w:color w:val="auto"/>
        </w:rPr>
        <w:t>Shares withheld for taxes, net of other share activity</w:t>
      </w:r>
    </w:p>
    <w:p>
      <w:pPr>
        <w:ind w:left="140" w:right="220"/>
        <w:spacing w:after="0" w:line="291" w:lineRule="auto"/>
        <w:rPr>
          <w:sz w:val="20"/>
          <w:szCs w:val="20"/>
          <w:color w:val="auto"/>
        </w:rPr>
      </w:pPr>
      <w:r>
        <w:rPr>
          <w:rFonts w:ascii="Arial" w:cs="Arial" w:eastAsia="Arial" w:hAnsi="Arial"/>
          <w:sz w:val="15"/>
          <w:szCs w:val="15"/>
          <w:color w:val="auto"/>
        </w:rPr>
        <w:t>Acquisition of treasury stock, at cost</w:t>
      </w:r>
    </w:p>
    <w:p>
      <w:pPr>
        <w:ind w:left="20" w:right="240"/>
        <w:spacing w:after="0"/>
        <w:rPr>
          <w:sz w:val="20"/>
          <w:szCs w:val="20"/>
          <w:color w:val="auto"/>
        </w:rPr>
      </w:pPr>
      <w:r>
        <w:rPr>
          <w:rFonts w:ascii="Arial" w:cs="Arial" w:eastAsia="Arial" w:hAnsi="Arial"/>
          <w:sz w:val="16"/>
          <w:szCs w:val="16"/>
          <w:color w:val="auto"/>
        </w:rPr>
        <w:t>Balance as of March 31, 2022</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gridSpan w:val="4"/>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8"/>
              </w:rPr>
              <w:t>Other</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940" w:type="dxa"/>
            <w:vAlign w:val="bottom"/>
            <w:gridSpan w:val="3"/>
          </w:tcPr>
          <w:p>
            <w:pPr>
              <w:ind w:left="40"/>
              <w:spacing w:after="0" w:line="142" w:lineRule="exact"/>
              <w:rPr>
                <w:sz w:val="20"/>
                <w:szCs w:val="20"/>
                <w:color w:val="auto"/>
              </w:rPr>
            </w:pPr>
            <w:r>
              <w:rPr>
                <w:rFonts w:ascii="Arial" w:cs="Arial" w:eastAsia="Arial" w:hAnsi="Arial"/>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88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Surplus</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Loss</w:t>
            </w:r>
          </w:p>
        </w:tc>
        <w:tc>
          <w:tcPr>
            <w:tcW w:w="18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Interests</w:t>
            </w: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84"/>
        </w:trPr>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95,371,211</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9,537</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1,033,615</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2,162,388</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0"/>
              </w:rPr>
              <w:t>(78,776)</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2,539,809</w:t>
            </w:r>
          </w:p>
        </w:tc>
        <w:tc>
          <w:tcPr>
            <w:tcW w:w="80" w:type="dxa"/>
            <w:vAlign w:val="bottom"/>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$2,543,861</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(34,959)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left="339"/>
              <w:spacing w:after="0"/>
              <w:rPr>
                <w:sz w:val="20"/>
                <w:szCs w:val="20"/>
                <w:color w:val="auto"/>
              </w:rPr>
            </w:pPr>
            <w:r>
              <w:rPr>
                <w:rFonts w:ascii="Arial" w:cs="Arial" w:eastAsia="Arial" w:hAnsi="Arial"/>
                <w:sz w:val="16"/>
                <w:szCs w:val="16"/>
                <w:color w:val="auto"/>
                <w:w w:val="89"/>
              </w:rPr>
              <w:t>14,667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6,336</w:t>
            </w:r>
          </w:p>
        </w:tc>
        <w:tc>
          <w:tcPr>
            <w:tcW w:w="0" w:type="dxa"/>
            <w:vAlign w:val="bottom"/>
          </w:tcPr>
          <w:p>
            <w:pPr>
              <w:spacing w:after="0"/>
              <w:rPr>
                <w:sz w:val="1"/>
                <w:szCs w:val="1"/>
                <w:color w:val="auto"/>
              </w:rPr>
            </w:pPr>
          </w:p>
        </w:tc>
      </w:tr>
      <w:tr>
        <w:trPr>
          <w:trHeight w:val="432"/>
        </w:trPr>
        <w:tc>
          <w:tcPr>
            <w:tcW w:w="800" w:type="dxa"/>
            <w:vAlign w:val="bottom"/>
          </w:tcPr>
          <w:p>
            <w:pPr>
              <w:jc w:val="right"/>
              <w:spacing w:after="0"/>
              <w:rPr>
                <w:sz w:val="20"/>
                <w:szCs w:val="20"/>
                <w:color w:val="auto"/>
              </w:rPr>
            </w:pPr>
            <w:r>
              <w:rPr>
                <w:rFonts w:ascii="Arial" w:cs="Arial" w:eastAsia="Arial" w:hAnsi="Arial"/>
                <w:sz w:val="16"/>
                <w:szCs w:val="16"/>
                <w:color w:val="auto"/>
              </w:rPr>
              <w:t>165,010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2"/>
        </w:trPr>
        <w:tc>
          <w:tcPr>
            <w:tcW w:w="800" w:type="dxa"/>
            <w:vAlign w:val="bottom"/>
          </w:tcPr>
          <w:p>
            <w:pPr>
              <w:ind w:left="220"/>
              <w:spacing w:after="0"/>
              <w:rPr>
                <w:sz w:val="20"/>
                <w:szCs w:val="20"/>
                <w:color w:val="auto"/>
              </w:rPr>
            </w:pPr>
            <w:r>
              <w:rPr>
                <w:rFonts w:ascii="Arial" w:cs="Arial" w:eastAsia="Arial" w:hAnsi="Arial"/>
                <w:sz w:val="16"/>
                <w:szCs w:val="16"/>
                <w:color w:val="auto"/>
                <w:w w:val="93"/>
              </w:rPr>
              <w:t>(48,204)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435"/>
        </w:trPr>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(187,978)</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(13,791)</w:t>
            </w: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(13,791)</w:t>
            </w:r>
          </w:p>
        </w:tc>
        <w:tc>
          <w:tcPr>
            <w:tcW w:w="0" w:type="dxa"/>
            <w:vAlign w:val="bottom"/>
          </w:tcPr>
          <w:p>
            <w:pPr>
              <w:spacing w:after="0"/>
              <w:rPr>
                <w:sz w:val="1"/>
                <w:szCs w:val="1"/>
                <w:color w:val="auto"/>
              </w:rPr>
            </w:pPr>
          </w:p>
        </w:tc>
      </w:tr>
      <w:tr>
        <w:trPr>
          <w:trHeight w:val="35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95,488,017</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9,549</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(19,129,904)</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(600,746)</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1,035,902</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2,127,410</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0"/>
              </w:rPr>
              <w:t>(64,109)</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2,508,006</w:t>
            </w:r>
          </w:p>
        </w:tc>
        <w:tc>
          <w:tcPr>
            <w:tcW w:w="80" w:type="dxa"/>
            <w:vAlign w:val="bottom"/>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$2,512,077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-2219960</wp:posOffset>
            </wp:positionV>
            <wp:extent cx="71323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-1739900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-1311275</wp:posOffset>
            </wp:positionV>
            <wp:extent cx="71323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-796925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-248285</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120"/>
            <w:col w:w="9280"/>
          </w:cols>
          <w:pgMar w:left="320" w:top="936"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 the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Ended March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60" w:type="dxa"/>
            <w:vAlign w:val="bottom"/>
          </w:tcPr>
          <w:p>
            <w:pPr>
              <w:ind w:left="20"/>
              <w:spacing w:after="0" w:line="152" w:lineRule="exact"/>
              <w:rPr>
                <w:sz w:val="20"/>
                <w:szCs w:val="20"/>
                <w:color w:val="auto"/>
              </w:rPr>
            </w:pPr>
            <w:r>
              <w:rPr>
                <w:rFonts w:ascii="Arial" w:cs="Arial" w:eastAsia="Arial" w:hAnsi="Arial"/>
                <w:sz w:val="16"/>
                <w:szCs w:val="16"/>
                <w:color w:val="auto"/>
                <w:w w:val="95"/>
              </w:rPr>
              <w:t>Balance as of December 31,</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93,107,440</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9,311</w:t>
            </w:r>
          </w:p>
        </w:tc>
        <w:tc>
          <w:tcPr>
            <w:tcW w:w="80" w:type="dxa"/>
            <w:vAlign w:val="bottom"/>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837,453</w:t>
            </w:r>
          </w:p>
        </w:tc>
        <w:tc>
          <w:tcPr>
            <w:tcW w:w="8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1,833,557</w:t>
            </w:r>
          </w:p>
        </w:tc>
        <w:tc>
          <w:tcPr>
            <w:tcW w:w="8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center"/>
              <w:ind w:left="119"/>
              <w:spacing w:after="0"/>
              <w:rPr>
                <w:sz w:val="20"/>
                <w:szCs w:val="20"/>
                <w:color w:val="auto"/>
              </w:rPr>
            </w:pPr>
            <w:r>
              <w:rPr>
                <w:rFonts w:ascii="Arial" w:cs="Arial" w:eastAsia="Arial" w:hAnsi="Arial"/>
                <w:sz w:val="16"/>
                <w:szCs w:val="16"/>
                <w:color w:val="auto"/>
                <w:w w:val="90"/>
              </w:rPr>
              <w:t>(91,444)</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2,001,922</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2"/>
              </w:rPr>
              <w:t>$2,005,525</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66,112</w:t>
            </w:r>
          </w:p>
        </w:tc>
        <w:tc>
          <w:tcPr>
            <w:tcW w:w="0" w:type="dxa"/>
            <w:vAlign w:val="bottom"/>
          </w:tcPr>
          <w:p>
            <w:pPr>
              <w:spacing w:after="0"/>
              <w:rPr>
                <w:sz w:val="1"/>
                <w:szCs w:val="1"/>
                <w:color w:val="auto"/>
              </w:rPr>
            </w:pPr>
          </w:p>
        </w:tc>
      </w:tr>
      <w:tr>
        <w:trPr>
          <w:trHeight w:val="206"/>
        </w:trPr>
        <w:tc>
          <w:tcPr>
            <w:tcW w:w="196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89"/>
              </w:rPr>
              <w:t>14,210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14,210</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06"/>
        </w:trPr>
        <w:tc>
          <w:tcPr>
            <w:tcW w:w="1960" w:type="dxa"/>
            <w:vAlign w:val="bottom"/>
          </w:tcPr>
          <w:p>
            <w:pPr>
              <w:ind w:left="140"/>
              <w:spacing w:after="0"/>
              <w:rPr>
                <w:sz w:val="20"/>
                <w:szCs w:val="20"/>
                <w:color w:val="auto"/>
              </w:rPr>
            </w:pPr>
            <w:r>
              <w:rPr>
                <w:rFonts w:ascii="Arial" w:cs="Arial" w:eastAsia="Arial" w:hAnsi="Arial"/>
                <w:sz w:val="16"/>
                <w:szCs w:val="16"/>
                <w:color w:val="auto"/>
              </w:rPr>
              <w:t>Issuance of restricted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tcPr>
          <w:p>
            <w:pPr>
              <w:jc w:val="right"/>
              <w:spacing w:after="0"/>
              <w:rPr>
                <w:sz w:val="20"/>
                <w:szCs w:val="20"/>
                <w:color w:val="auto"/>
              </w:rPr>
            </w:pPr>
            <w:r>
              <w:rPr>
                <w:rFonts w:ascii="Arial" w:cs="Arial" w:eastAsia="Arial" w:hAnsi="Arial"/>
                <w:sz w:val="16"/>
                <w:szCs w:val="16"/>
                <w:color w:val="auto"/>
              </w:rPr>
              <w:t>138,081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Other stock issuances,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of shares withheld for taxes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146"/>
        </w:trPr>
        <w:tc>
          <w:tcPr>
            <w:tcW w:w="1960" w:type="dxa"/>
            <w:vAlign w:val="bottom"/>
          </w:tcPr>
          <w:p>
            <w:pPr>
              <w:ind w:left="20"/>
              <w:spacing w:after="0" w:line="146" w:lineRule="exact"/>
              <w:rPr>
                <w:sz w:val="20"/>
                <w:szCs w:val="20"/>
                <w:color w:val="auto"/>
              </w:rPr>
            </w:pPr>
            <w:r>
              <w:rPr>
                <w:rFonts w:ascii="Arial" w:cs="Arial" w:eastAsia="Arial" w:hAnsi="Arial"/>
                <w:sz w:val="16"/>
                <w:szCs w:val="16"/>
                <w:color w:val="auto"/>
              </w:rPr>
              <w:t>Balance as of March 31,</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93,253,268</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9,325</w:t>
            </w:r>
          </w:p>
        </w:tc>
        <w:tc>
          <w:tcPr>
            <w:tcW w:w="80" w:type="dxa"/>
            <w:vAlign w:val="bottom"/>
          </w:tcPr>
          <w:p>
            <w:pPr>
              <w:spacing w:after="0"/>
              <w:rPr>
                <w:sz w:val="12"/>
                <w:szCs w:val="12"/>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0"/>
              </w:rPr>
              <w:t>(18,941,926)</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840,567</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1,899,206</w:t>
            </w:r>
          </w:p>
        </w:tc>
        <w:tc>
          <w:tcPr>
            <w:tcW w:w="8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center"/>
              <w:ind w:left="119"/>
              <w:spacing w:after="0"/>
              <w:rPr>
                <w:sz w:val="20"/>
                <w:szCs w:val="20"/>
                <w:color w:val="auto"/>
              </w:rPr>
            </w:pPr>
            <w:r>
              <w:rPr>
                <w:rFonts w:ascii="Arial" w:cs="Arial" w:eastAsia="Arial" w:hAnsi="Arial"/>
                <w:sz w:val="16"/>
                <w:szCs w:val="16"/>
                <w:color w:val="auto"/>
                <w:w w:val="90"/>
              </w:rPr>
              <w:t>(77,234)</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2,084,909</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4,066</w:t>
            </w:r>
          </w:p>
        </w:tc>
        <w:tc>
          <w:tcPr>
            <w:tcW w:w="8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2"/>
              </w:rPr>
              <w:t>$2,088,975</w:t>
            </w:r>
          </w:p>
        </w:tc>
        <w:tc>
          <w:tcPr>
            <w:tcW w:w="0" w:type="dxa"/>
            <w:vAlign w:val="bottom"/>
          </w:tcPr>
          <w:p>
            <w:pPr>
              <w:spacing w:after="0"/>
              <w:rPr>
                <w:sz w:val="1"/>
                <w:szCs w:val="1"/>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210"/>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Net (loss)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(34,959)</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66,112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85,194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79,264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stock-based compensation expense</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5,528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(benefit from) deferred income taxes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(7,346)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on sales of assets,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interest expense, net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non-cash items,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6"/>
                <w:szCs w:val="16"/>
                <w:color w:val="auto"/>
              </w:rPr>
              <w:t>Changes in assets and liabilities, net of acquisitions: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assets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26,799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Other assets, current and long-term portion</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153,386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14,782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 current and long-term portion</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w:t>
            </w:r>
          </w:p>
        </w:tc>
        <w:tc>
          <w:tcPr>
            <w:tcW w:w="20" w:type="dxa"/>
            <w:vAlign w:val="bottom"/>
            <w:tcBorders>
              <w:bottom w:val="single" w:sz="8" w:color="auto"/>
            </w:tcBorders>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257,164</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Cash paid for acquisitions, net of cash acquired</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(88,646)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6,035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other investments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other investments</w:t>
            </w: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investing activities, net</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 w:type="dxa"/>
            <w:vAlign w:val="bottom"/>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(101,361)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(134,612)</w:t>
            </w:r>
          </w:p>
        </w:tc>
        <w:tc>
          <w:tcPr>
            <w:tcW w:w="20" w:type="dxa"/>
            <w:vAlign w:val="bottom"/>
            <w:tcBorders>
              <w:top w:val="single" w:sz="8" w:color="auto"/>
              <w:bottom w:val="single" w:sz="8" w:color="auto"/>
            </w:tcBorders>
          </w:tcPr>
          <w:p>
            <w:pPr>
              <w:spacing w:after="0"/>
              <w:rPr>
                <w:sz w:val="17"/>
                <w:szCs w:val="17"/>
                <w:color w:val="auto"/>
              </w:rPr>
            </w:pPr>
          </w:p>
        </w:tc>
      </w:tr>
      <w:tr>
        <w:trPr>
          <w:trHeight w:val="199"/>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credit facilities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773,500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18,155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credit facilities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of finance lease obligations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(38,222)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stock-based awards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financing activities, net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auto"/>
            </w:tcBorders>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(33,191)</w:t>
            </w:r>
          </w:p>
        </w:tc>
        <w:tc>
          <w:tcPr>
            <w:tcW w:w="20" w:type="dxa"/>
            <w:vAlign w:val="bottom"/>
            <w:tcBorders>
              <w:bottom w:val="single" w:sz="8" w:color="auto"/>
            </w:tcBorders>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translation on cash</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89,289</w:t>
            </w:r>
          </w:p>
        </w:tc>
        <w:tc>
          <w:tcPr>
            <w:tcW w:w="20" w:type="dxa"/>
            <w:vAlign w:val="bottom"/>
            <w:tcBorders>
              <w:bottom w:val="single" w:sz="8" w:color="auto"/>
            </w:tcBorders>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beginning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423,118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Cash and cash equivalents -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512,407</w:t>
            </w:r>
          </w:p>
        </w:tc>
        <w:tc>
          <w:tcPr>
            <w:tcW w:w="20" w:type="dxa"/>
            <w:vAlign w:val="bottom"/>
            <w:tcBorders>
              <w:bottom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cash flow information:</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23,178</w:t>
            </w:r>
          </w:p>
        </w:tc>
        <w:tc>
          <w:tcPr>
            <w:tcW w:w="1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21,689</w:t>
            </w: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disclosure of non-cash information:</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6"/>
                <w:szCs w:val="16"/>
                <w:color w:val="auto"/>
              </w:rPr>
              <w:t>Additions to property and equipment from finance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48,604</w:t>
            </w:r>
          </w:p>
        </w:tc>
        <w:tc>
          <w:tcPr>
            <w:tcW w:w="100" w:type="dxa"/>
            <w:vAlign w:val="bottom"/>
          </w:tcPr>
          <w:p>
            <w:pPr>
              <w:spacing w:after="0"/>
              <w:rPr>
                <w:sz w:val="18"/>
                <w:szCs w:val="18"/>
                <w:color w:val="auto"/>
              </w:rPr>
            </w:pPr>
          </w:p>
        </w:tc>
        <w:tc>
          <w:tcPr>
            <w:tcW w:w="340" w:type="dxa"/>
            <w:vAlign w:val="bottom"/>
          </w:tcPr>
          <w:p>
            <w:pPr>
              <w:jc w:val="right"/>
              <w:ind w:right="18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50,772</w:t>
            </w:r>
          </w:p>
        </w:tc>
        <w:tc>
          <w:tcPr>
            <w:tcW w:w="20" w:type="dxa"/>
            <w:vAlign w:val="bottom"/>
          </w:tcPr>
          <w:p>
            <w:pPr>
              <w:spacing w:after="0"/>
              <w:rPr>
                <w:sz w:val="18"/>
                <w:szCs w:val="18"/>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MasTec’s customers are primarily in these industries. MasTec reports its results under five reportable segments: (1) Communications; (2) Clean Energy and Infrastructure; (3) Oil and Gas; (4) Power Delivery; and (5) Other. In the first quarter of 2022, the Company began integration of Henkels &amp; McCoy Holdings, Inc., formerly known as Henkels &amp; McCoy Group, Inc. (“HMG”). The HMG 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 See Note 13 - Segments and Related Information.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2021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2021 contained in the Company’s 2021 Annual Report on Form 10-K (the “2021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with the current period presentation, including for the first quarter 2022 change in segment balance sheet information for HMG, as discussed above. In addition, in the fourth quarter of 2021, the Company updated its presentation of gains or losses, net, from the sale of property and equipment to include such amounts within general and administrative expenses. Previously, such gains or losses were included within other income or expense.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175"/>
        <w:spacing w:after="0" w:line="253" w:lineRule="auto"/>
        <w:rPr>
          <w:sz w:val="20"/>
          <w:szCs w:val="20"/>
          <w:color w:val="auto"/>
        </w:rPr>
      </w:pPr>
      <w:r>
        <w:rPr>
          <w:rFonts w:ascii="Arial" w:cs="Arial" w:eastAsia="Arial" w:hAnsi="Arial"/>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public health matters, such as the COVID-19 pandemic, climate-related matters, and macroeconomic trends and events, such as inflation and interest rate levels, as well as global events, such as the ongoing military conflict in Ukraine. These estimates form the basis for making judgments about the Company’s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6"/>
          <w:szCs w:val="16"/>
          <w:color w:val="auto"/>
        </w:rPr>
        <w:t>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and other assets, acquisition-related contingent consideration and other liabilities, equity investments and long-lived assets; allowances for credit losses; asset lives used in computing depreciation and amortization; fair values of financial instruments; self-insurance liabilities; other accruals and allowances; income taxes; and the estimated effects of litigation and other contingencies.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COVID-19 Pandemic and General Economic Conditions</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COVID-19 pandemic has disrupted business activities and global economic conditions and negatively affected the Company’s operations since the first quarter of 2020, including from reduced crew productivity, the health and availability of work crews or other key personnel and subcontractors; supply chain disruptions; delayed project start dates; and lost productivity from governmental permitting approval delays, project shutdowns and/or cancellations, among other factors. While the adverse effects of the COVID-19 pandemic have begun to subside, its effects vary by region, and uncertainties arising from the COVID-19 pandemic could continue to disrupt economic conditions and business activities, particularly as new variants of COVID-19 arise. The extent to which the COVID-19 pandemic, including the recent and emerging variants, could affect the Company’s business, operations and financial results is uncertain as it will depend upon numerous evolving factors that management may not be able to accurately predict. The length and extent of any continuing economic and market disruptions are unknown, and therefore, any future impacts on the Company’s business, financial condition and/or results of operations cannot be quantified or predicted with specificity.</w:t>
      </w:r>
    </w:p>
    <w:p>
      <w:pPr>
        <w:spacing w:after="0" w:line="7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believes that it has taken appropriate steps to mitigate the effects of the COVID-19 pandemic on its business, and the Company’s business model has, thus far, proven resilient. Notwithstanding moderation of the COVID-19 pandemic and related governmental and other restrictions, the Company may continue to experience direct and indirect negative effects on its business and operations from possible longer-term changes in consumer and customer behavior and/or from negative economic conditions, including recent inflationary effects, rising interest rates and supply chain disruptions, including limited availability of products.</w:t>
      </w:r>
    </w:p>
    <w:p>
      <w:pPr>
        <w:spacing w:after="0" w:line="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Coronavirus Aid, Relief and Economic Security Act (the “CARES Act”), which was enacted in response to the effects of the COVID-19 pandemic, permitted deferral and/or reduction of certain federal and payroll tax amounts, certain of which the Company pursued. As of March 31, 2022, payroll tax deferrals under the CARES Act, the amount of which is due by December 31, 2022, totaled approximately $42 million.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Contracts. </w:t>
      </w:r>
      <w:r>
        <w:rPr>
          <w:rFonts w:ascii="Arial" w:cs="Arial" w:eastAsia="Arial" w:hAnsi="Arial"/>
          <w:sz w:val="16"/>
          <w:szCs w:val="16"/>
          <w:color w:val="auto"/>
        </w:rPr>
        <w:t>The Company derives revenue primarily from construction projects performed under: (i) master and other service agreements, which generally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58% and 28% of consolidated revenue for the three month periods ended March 31, 2022 and 2021, respectively.</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master service and other service agreements, revenue is recognized at a point in time, primarily for install-to-the-home and other wireless services in the Company’s Communications segment. This is generally when the work order has been fulfilled, which is typically the same day the work is initiated. Point in time revenue accounted for approximately 4% and 5% of consolidated revenue for the three month periods ended March 31, 2022 and 2021, respectively. Substantially all of the Company’s other revenue is recognized over time.</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three month periods ended March 31, 2022 and 2021, project profit was affected by less than 5% as a result of changes in contract estimates included in projects that were in process as of December 31, 2021 and 2020. For the three month periods ended March 31, 2022 and 2021, revenue recognized as a result of changes in total contract transaction price estimates, including from variable consideration, from performance obligations satisfied or partially satisfied in prior periods, totaled approximately $11.9 million and $13.8 million, respectively.</w:t>
      </w:r>
    </w:p>
    <w:p>
      <w:pPr>
        <w:spacing w:after="0" w:line="89"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capitalized costs, which are amortized over the life of the respective projects, totaled $1.3 million and $1.4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The transaction price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is allocated to each distinct performance obligation and recognized as revenue when or as the performance obligation is satisfied. The vast majority of the Company’s performance obligations are completed within one year.</w:t>
      </w:r>
    </w:p>
    <w:p>
      <w:pPr>
        <w:spacing w:after="0" w:line="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2022, the amount of the Company’s remaining performance obligations was $ 4.8 billion. Based on current expectations, the Company anticipates it will recognize approximately $3.8 billion of its remaining performance obligations as revenue during 2022, with the vast majority of the remaining balance expected to be recognized in 2023.</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March 31, 2022 and December 31, 2021, the Company included approximately $131 million and $104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March 31, 2022 and December 31, 2021, these change orders and/or claims primarily related to certain projects in the Company’s Clean Energy and Infrastructure and Power Delivery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discussion below describes the effects of recent accounting pronouncements, as updated from the discussion in the Company’s 2021 Form 10-K.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 xml:space="preserve">In October 2021, the Financial Accounting Standards Board (“FASB”) issued Accounting Standards Update (“ASU”) 2021-08,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is effective for fiscal years, and for interim periods within those fiscal years, beginning after December 15, 2022, with early adoption permitted. The Company is currently evaluating the potential effect of this ASU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Basic and diluted shares for the three month period ended March 31, 2022 also include the assumed effect of certain shares related to additional contingent payments to the former owners of an acquired business. See Note 3 – Acquisitions, Goodwill and Other Intangible Assets. If the Company reports a loss, rather than income, the computation of diluted loss per share excludes the effect of dilutive common stock equivalents, as their effect would be anti-dilutive. For the three month period ended March 31, 2022, the Company reported a net loss, which resulted in the exclusion of approximately 1,321,000 weighted average common stock equivalents from the calculation of diluted net loss per share for the related period.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0"/>
        </w:trPr>
        <w:tc>
          <w:tcPr>
            <w:tcW w:w="436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MasTec:</w:t>
            </w:r>
          </w:p>
        </w:tc>
        <w:tc>
          <w:tcPr>
            <w:tcW w:w="3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(loss) income - basic and diluted </w:t>
            </w:r>
            <w:r>
              <w:rPr>
                <w:rFonts w:ascii="Arial" w:cs="Arial" w:eastAsia="Arial" w:hAnsi="Arial"/>
                <w:sz w:val="21"/>
                <w:szCs w:val="21"/>
                <w:color w:val="auto"/>
                <w:vertAlign w:val="superscript"/>
              </w:rPr>
              <w:t>(a)</w:t>
            </w:r>
          </w:p>
        </w:tc>
        <w:tc>
          <w:tcPr>
            <w:tcW w:w="3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(34,978)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65,649</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360" w:type="dxa"/>
            <w:vAlign w:val="bottom"/>
          </w:tcPr>
          <w:p>
            <w:pPr>
              <w:ind w:left="140"/>
              <w:spacing w:after="0" w:line="216" w:lineRule="exact"/>
              <w:rPr>
                <w:sz w:val="20"/>
                <w:szCs w:val="20"/>
                <w:color w:val="auto"/>
              </w:rPr>
            </w:pPr>
            <w:r>
              <w:rPr>
                <w:rFonts w:ascii="Arial" w:cs="Arial" w:eastAsia="Arial" w:hAnsi="Arial"/>
                <w:sz w:val="16"/>
                <w:szCs w:val="16"/>
                <w:color w:val="auto"/>
              </w:rPr>
              <w:t>Weighted average shares outstanding - basic</w:t>
            </w:r>
            <w:r>
              <w:rPr>
                <w:rFonts w:ascii="Arial" w:cs="Arial" w:eastAsia="Arial" w:hAnsi="Arial"/>
                <w:sz w:val="21"/>
                <w:szCs w:val="21"/>
                <w:color w:val="auto"/>
                <w:vertAlign w:val="superscript"/>
              </w:rPr>
              <w:t>(b)</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74,789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72,439</w:t>
            </w:r>
          </w:p>
        </w:tc>
      </w:tr>
      <w:tr>
        <w:trPr>
          <w:trHeight w:val="216"/>
        </w:trPr>
        <w:tc>
          <w:tcPr>
            <w:tcW w:w="43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(c)(d)</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03"/>
        </w:trPr>
        <w:tc>
          <w:tcPr>
            <w:tcW w:w="436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38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74,789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73,846</w:t>
            </w:r>
          </w:p>
        </w:tc>
      </w:tr>
      <w:tr>
        <w:trPr>
          <w:trHeight w:val="871"/>
        </w:trPr>
        <w:tc>
          <w:tcPr>
            <w:tcW w:w="4360" w:type="dxa"/>
            <w:vAlign w:val="bottom"/>
          </w:tcPr>
          <w:p>
            <w:pPr>
              <w:spacing w:after="0"/>
              <w:rPr>
                <w:sz w:val="24"/>
                <w:szCs w:val="24"/>
                <w:color w:val="auto"/>
              </w:rPr>
            </w:pPr>
          </w:p>
        </w:tc>
        <w:tc>
          <w:tcPr>
            <w:tcW w:w="3880" w:type="dxa"/>
            <w:vAlign w:val="bottom"/>
          </w:tcPr>
          <w:p>
            <w:pPr>
              <w:jc w:val="right"/>
              <w:ind w:right="245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43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ind w:left="420" w:hanging="3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as total net income or loss less amounts attributable to non-controlling interests.</w:t>
      </w:r>
    </w:p>
    <w:p>
      <w:pPr>
        <w:spacing w:after="0" w:line="13" w:lineRule="exact"/>
        <w:rPr>
          <w:rFonts w:ascii="Arial" w:cs="Arial" w:eastAsia="Arial" w:hAnsi="Arial"/>
          <w:sz w:val="14"/>
          <w:szCs w:val="14"/>
          <w:color w:val="auto"/>
        </w:rPr>
      </w:pPr>
    </w:p>
    <w:p>
      <w:pPr>
        <w:ind w:left="440" w:hanging="332"/>
        <w:spacing w:after="0" w:line="241" w:lineRule="auto"/>
        <w:tabs>
          <w:tab w:leader="none" w:pos="43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 period ended March 31, 2022, basic shares include approximately 72,000 weighted average shares relating to additional contingent payments to the former owners of an acquired business. See Note 3 – Acquisitions, Goodwill and Other Intangible Assets.</w:t>
      </w:r>
    </w:p>
    <w:p>
      <w:pPr>
        <w:ind w:left="420" w:hanging="3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Weighted average anti-dilutive common stock equivalents totaled approximately 1,321,000 and 23,000, for the three month periods ended March 31, 2022, and 2021, respectively.</w:t>
      </w:r>
    </w:p>
    <w:p>
      <w:pPr>
        <w:spacing w:after="0" w:line="12" w:lineRule="exact"/>
        <w:rPr>
          <w:rFonts w:ascii="Arial" w:cs="Arial" w:eastAsia="Arial" w:hAnsi="Arial"/>
          <w:sz w:val="13"/>
          <w:szCs w:val="13"/>
          <w:color w:val="auto"/>
        </w:rPr>
      </w:pPr>
    </w:p>
    <w:p>
      <w:pPr>
        <w:ind w:left="440" w:hanging="332"/>
        <w:spacing w:after="0" w:line="255" w:lineRule="auto"/>
        <w:tabs>
          <w:tab w:leader="none" w:pos="43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 period ended March 31, 2022, common stock equivalents, all of which are anti-dilutive, include approximately 63,000 weighted average shares relating to additional contingent payments to the former owners of an acquired business. See Note 3 – Acquisitions, Goodwill and Other Intangible Assets.</w:t>
      </w:r>
    </w:p>
    <w:p>
      <w:pPr>
        <w:spacing w:after="0" w:line="141" w:lineRule="exact"/>
        <w:rPr>
          <w:sz w:val="20"/>
          <w:szCs w:val="20"/>
          <w:color w:val="auto"/>
        </w:rPr>
      </w:pPr>
    </w:p>
    <w:p>
      <w:pPr>
        <w:jc w:val="both"/>
        <w:ind w:left="100" w:firstLine="648"/>
        <w:spacing w:after="0" w:line="256" w:lineRule="auto"/>
        <w:rPr>
          <w:sz w:val="20"/>
          <w:szCs w:val="20"/>
          <w:color w:val="auto"/>
        </w:rPr>
      </w:pPr>
      <w:r>
        <w:rPr>
          <w:rFonts w:ascii="Arial" w:cs="Arial" w:eastAsia="Arial" w:hAnsi="Arial"/>
          <w:sz w:val="16"/>
          <w:szCs w:val="16"/>
          <w:color w:val="auto"/>
        </w:rPr>
        <w:t>The Company repurchased 187,978 shares of its common stock during the three month period ended March 31, 2022, the effect of which on the Company’s weighted average shares outstanding was minimal. See Note 11 – Equity for details of the Company’s share repurchase transactions, including details of shares repurchased subsequent to March 31, 2022. Additionally, in December 2021, the Company issued 1,975,232 shares of its common stock in conjunction with an acquisition. See Note 3 – Acquisitions, Goodwill and Other Intangible Assets.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Note 3 – Acquisitions, Goodwill and Other Intangible Assets</w:t>
      </w:r>
    </w:p>
    <w:p>
      <w:pPr>
        <w:spacing w:after="0" w:line="117" w:lineRule="exact"/>
        <w:rPr>
          <w:sz w:val="20"/>
          <w:szCs w:val="20"/>
          <w:color w:val="auto"/>
        </w:rPr>
      </w:pPr>
    </w:p>
    <w:p>
      <w:pPr>
        <w:jc w:val="both"/>
        <w:ind w:left="100" w:firstLine="648"/>
        <w:spacing w:after="0" w:line="256" w:lineRule="auto"/>
        <w:rPr>
          <w:sz w:val="20"/>
          <w:szCs w:val="20"/>
          <w:color w:val="auto"/>
        </w:rPr>
      </w:pPr>
      <w:r>
        <w:rPr>
          <w:rFonts w:ascii="Arial" w:cs="Arial" w:eastAsia="Arial" w:hAnsi="Arial"/>
          <w:sz w:val="16"/>
          <w:szCs w:val="16"/>
          <w:color w:val="auto"/>
        </w:rPr>
        <w:t>The following table provides a reconciliation of changes in goodwill by reportable segment for the three month period ended March 31, 2022 (in millions). Goodwill balances as of December 31, 2021 were recast in the first quarter of 2022 to reflect the change in segment reporting for the HMG acquisition, as discussed in Note 1 – Business, Basis of Presentation and Significant Accounting Policies. Goodwill was reallocated based on the estimated relative fair value of the respective HMG reporting units. See Note 13 – Segments and Related Information for additional information.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Clean Energy and</w:t>
            </w:r>
          </w:p>
        </w:tc>
        <w:tc>
          <w:tcPr>
            <w:tcW w:w="1100" w:type="dxa"/>
            <w:vAlign w:val="bottom"/>
            <w:gridSpan w:val="2"/>
            <w:vMerge w:val="restart"/>
          </w:tcPr>
          <w:p>
            <w:pPr>
              <w:jc w:val="right"/>
              <w:ind w:right="199"/>
              <w:spacing w:after="0"/>
              <w:rPr>
                <w:sz w:val="20"/>
                <w:szCs w:val="20"/>
                <w:color w:val="auto"/>
              </w:rPr>
            </w:pPr>
            <w:r>
              <w:rPr>
                <w:rFonts w:ascii="Arial" w:cs="Arial" w:eastAsia="Arial" w:hAnsi="Arial"/>
                <w:sz w:val="15"/>
                <w:szCs w:val="15"/>
                <w:b w:val="1"/>
                <w:bCs w:val="1"/>
                <w:color w:val="auto"/>
                <w:w w:val="95"/>
              </w:rPr>
              <w:t>Oil and Gas</w:t>
            </w:r>
          </w:p>
        </w:tc>
        <w:tc>
          <w:tcPr>
            <w:tcW w:w="1240" w:type="dxa"/>
            <w:vAlign w:val="bottom"/>
            <w:gridSpan w:val="2"/>
            <w:vMerge w:val="restart"/>
          </w:tcPr>
          <w:p>
            <w:pPr>
              <w:jc w:val="right"/>
              <w:ind w:right="139"/>
              <w:spacing w:after="0"/>
              <w:rPr>
                <w:sz w:val="20"/>
                <w:szCs w:val="20"/>
                <w:color w:val="auto"/>
              </w:rPr>
            </w:pPr>
            <w:r>
              <w:rPr>
                <w:rFonts w:ascii="Arial" w:cs="Arial" w:eastAsia="Arial" w:hAnsi="Arial"/>
                <w:sz w:val="15"/>
                <w:szCs w:val="15"/>
                <w:b w:val="1"/>
                <w:bCs w:val="1"/>
                <w:color w:val="auto"/>
                <w:w w:val="92"/>
              </w:rPr>
              <w:t>Power Delivery</w:t>
            </w:r>
          </w:p>
        </w:tc>
        <w:tc>
          <w:tcPr>
            <w:tcW w:w="1180" w:type="dxa"/>
            <w:vAlign w:val="bottom"/>
            <w:gridSpan w:val="3"/>
            <w:vMerge w:val="restart"/>
          </w:tcPr>
          <w:p>
            <w:pPr>
              <w:jc w:val="right"/>
              <w:ind w:right="119"/>
              <w:spacing w:after="0"/>
              <w:rPr>
                <w:sz w:val="20"/>
                <w:szCs w:val="20"/>
                <w:color w:val="auto"/>
              </w:rPr>
            </w:pPr>
            <w:r>
              <w:rPr>
                <w:rFonts w:ascii="Arial" w:cs="Arial" w:eastAsia="Arial" w:hAnsi="Arial"/>
                <w:sz w:val="15"/>
                <w:szCs w:val="15"/>
                <w:b w:val="1"/>
                <w:bCs w:val="1"/>
                <w:color w:val="auto"/>
                <w:w w:val="92"/>
              </w:rPr>
              <w:t>Total Goodwill</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right"/>
              <w:ind w:right="260"/>
              <w:spacing w:after="0"/>
              <w:rPr>
                <w:sz w:val="20"/>
                <w:szCs w:val="20"/>
                <w:color w:val="auto"/>
              </w:rPr>
            </w:pPr>
            <w:r>
              <w:rPr>
                <w:rFonts w:ascii="Arial" w:cs="Arial" w:eastAsia="Arial" w:hAnsi="Arial"/>
                <w:sz w:val="15"/>
                <w:szCs w:val="15"/>
                <w:b w:val="1"/>
                <w:bCs w:val="1"/>
                <w:color w:val="auto"/>
                <w:w w:val="88"/>
              </w:rPr>
              <w:t>Communications</w:t>
            </w:r>
          </w:p>
        </w:tc>
        <w:tc>
          <w:tcPr>
            <w:tcW w:w="10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5"/>
                <w:szCs w:val="15"/>
                <w:b w:val="1"/>
                <w:bCs w:val="1"/>
                <w:color w:val="auto"/>
              </w:rPr>
              <w:t>Infrastructure</w:t>
            </w:r>
          </w:p>
        </w:tc>
        <w:tc>
          <w:tcPr>
            <w:tcW w:w="11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line="212" w:lineRule="exact"/>
              <w:rPr>
                <w:sz w:val="20"/>
                <w:szCs w:val="20"/>
                <w:color w:val="auto"/>
              </w:rPr>
            </w:pPr>
            <w:r>
              <w:rPr>
                <w:rFonts w:ascii="Arial" w:cs="Arial" w:eastAsia="Arial" w:hAnsi="Arial"/>
                <w:sz w:val="16"/>
                <w:szCs w:val="16"/>
                <w:color w:val="auto"/>
              </w:rPr>
              <w:t xml:space="preserve">odwill, gross, as of December 31, 2021 </w:t>
            </w:r>
            <w:r>
              <w:rPr>
                <w:rFonts w:ascii="Arial" w:cs="Arial" w:eastAsia="Arial" w:hAnsi="Arial"/>
                <w:sz w:val="21"/>
                <w:szCs w:val="21"/>
                <w:color w:val="auto"/>
                <w:vertAlign w:val="superscript"/>
              </w:rPr>
              <w:t>(a)</w:t>
            </w:r>
          </w:p>
        </w:tc>
        <w:tc>
          <w:tcPr>
            <w:tcW w:w="11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48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 xml:space="preserve">ccumulated impairment loss </w:t>
            </w:r>
            <w:r>
              <w:rPr>
                <w:rFonts w:ascii="Arial" w:cs="Arial" w:eastAsia="Arial" w:hAnsi="Arial"/>
                <w:sz w:val="21"/>
                <w:szCs w:val="21"/>
                <w:color w:val="auto"/>
                <w:vertAlign w:val="superscript"/>
              </w:rPr>
              <w:t>(b)</w:t>
            </w:r>
          </w:p>
        </w:tc>
        <w:tc>
          <w:tcPr>
            <w:tcW w:w="11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odwill, net, as of December 31, 2021</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436$.6</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1,520.6</w:t>
            </w:r>
          </w:p>
        </w:tc>
        <w:tc>
          <w:tcPr>
            <w:tcW w:w="0" w:type="dxa"/>
            <w:vAlign w:val="bottom"/>
          </w:tcPr>
          <w:p>
            <w:pPr>
              <w:spacing w:after="0"/>
              <w:rPr>
                <w:sz w:val="1"/>
                <w:szCs w:val="1"/>
                <w:color w:val="auto"/>
              </w:rPr>
            </w:pPr>
          </w:p>
        </w:tc>
      </w:tr>
      <w:tr>
        <w:trPr>
          <w:trHeight w:val="203"/>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dditions from new business combinations</w:t>
            </w:r>
          </w:p>
        </w:tc>
        <w:tc>
          <w:tcPr>
            <w:tcW w:w="1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3480" w:type="dxa"/>
            <w:vAlign w:val="bottom"/>
            <w:shd w:val="clear" w:color="auto" w:fill="CCEEFF"/>
          </w:tcPr>
          <w:p>
            <w:pPr>
              <w:spacing w:after="0" w:line="222" w:lineRule="exact"/>
              <w:rPr>
                <w:sz w:val="20"/>
                <w:szCs w:val="20"/>
                <w:color w:val="auto"/>
              </w:rPr>
            </w:pPr>
            <w:r>
              <w:rPr>
                <w:rFonts w:ascii="Arial" w:cs="Arial" w:eastAsia="Arial" w:hAnsi="Arial"/>
                <w:sz w:val="16"/>
                <w:szCs w:val="16"/>
                <w:color w:val="auto"/>
              </w:rPr>
              <w:t xml:space="preserve">easurement period adjustments </w:t>
            </w:r>
            <w:r>
              <w:rPr>
                <w:rFonts w:ascii="Arial" w:cs="Arial" w:eastAsia="Arial" w:hAnsi="Arial"/>
                <w:sz w:val="21"/>
                <w:szCs w:val="21"/>
                <w:color w:val="auto"/>
                <w:vertAlign w:val="superscript"/>
              </w:rPr>
              <w:t>(c)</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3"/>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urrency translation adjustments</w:t>
            </w:r>
          </w:p>
        </w:tc>
        <w:tc>
          <w:tcPr>
            <w:tcW w:w="1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odwill, net as of March 31, 2022</w:t>
            </w:r>
          </w:p>
        </w:tc>
        <w:tc>
          <w:tcPr>
            <w:tcW w:w="118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0" w:hanging="332"/>
        <w:spacing w:after="0" w:line="250" w:lineRule="auto"/>
        <w:tabs>
          <w:tab w:leader="none" w:pos="43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change in segment reporting for the HMG acquisition resulted in a decrease in Power Delivery segment goodwill of $23.4 million and an increase in goodwill for the Communications and Oil and Gas segments of $13.0 million and $10.4 million, respectively, as of December 31, 2021.</w:t>
      </w:r>
    </w:p>
    <w:p>
      <w:pPr>
        <w:ind w:left="420" w:hanging="3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1" w:lineRule="exact"/>
        <w:rPr>
          <w:rFonts w:ascii="Arial" w:cs="Arial" w:eastAsia="Arial" w:hAnsi="Arial"/>
          <w:sz w:val="14"/>
          <w:szCs w:val="14"/>
          <w:color w:val="auto"/>
        </w:rPr>
      </w:pPr>
    </w:p>
    <w:p>
      <w:pPr>
        <w:ind w:left="420" w:hanging="3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ind w:left="840"/>
              <w:spacing w:after="0"/>
              <w:rPr>
                <w:sz w:val="20"/>
                <w:szCs w:val="20"/>
                <w:color w:val="auto"/>
              </w:rPr>
            </w:pPr>
            <w:r>
              <w:rPr>
                <w:rFonts w:ascii="Arial" w:cs="Arial" w:eastAsia="Arial" w:hAnsi="Arial"/>
                <w:sz w:val="15"/>
                <w:szCs w:val="15"/>
                <w:b w:val="1"/>
                <w:bCs w:val="1"/>
                <w:color w:val="auto"/>
              </w:rPr>
              <w:t>Other Intangible Assets</w:t>
            </w: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Non-Amortizing</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Amortizing</w:t>
            </w: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20"/>
              <w:spacing w:after="0" w:line="144" w:lineRule="exact"/>
              <w:rPr>
                <w:sz w:val="20"/>
                <w:szCs w:val="20"/>
                <w:color w:val="auto"/>
              </w:rPr>
            </w:pPr>
            <w:r>
              <w:rPr>
                <w:rFonts w:ascii="Arial" w:cs="Arial" w:eastAsia="Arial" w:hAnsi="Arial"/>
                <w:sz w:val="15"/>
                <w:szCs w:val="15"/>
                <w:b w:val="1"/>
                <w:bCs w:val="1"/>
                <w:color w:val="auto"/>
              </w:rPr>
              <w:t>Customer</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Trade Names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Arial" w:cs="Arial" w:eastAsia="Arial" w:hAnsi="Arial"/>
                <w:sz w:val="15"/>
                <w:szCs w:val="15"/>
                <w:b w:val="1"/>
                <w:bCs w:val="1"/>
                <w:color w:val="auto"/>
              </w:rPr>
              <w:t>Relationships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color w:val="auto"/>
                <w:vertAlign w:val="superscript"/>
              </w:rPr>
              <w:t>(a)</w:t>
            </w:r>
          </w:p>
        </w:tc>
        <w:tc>
          <w:tcPr>
            <w:tcW w:w="1200" w:type="dxa"/>
            <w:vAlign w:val="bottom"/>
            <w:vMerge w:val="restart"/>
          </w:tcPr>
          <w:p>
            <w:pPr>
              <w:jc w:val="right"/>
              <w:ind w:right="5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ind w:left="200"/>
              <w:spacing w:after="0"/>
              <w:rPr>
                <w:sz w:val="20"/>
                <w:szCs w:val="20"/>
                <w:color w:val="auto"/>
              </w:rPr>
            </w:pPr>
            <w:r>
              <w:rPr>
                <w:rFonts w:ascii="Arial" w:cs="Arial" w:eastAsia="Arial" w:hAnsi="Arial"/>
                <w:sz w:val="15"/>
                <w:szCs w:val="15"/>
                <w:b w:val="1"/>
                <w:bCs w:val="1"/>
                <w:color w:val="auto"/>
              </w:rPr>
              <w:t>and Backlog  Pre-Qualifications</w:t>
            </w:r>
          </w:p>
        </w:tc>
        <w:tc>
          <w:tcPr>
            <w:tcW w:w="128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spacing w:after="0"/>
              <w:rPr>
                <w:sz w:val="20"/>
                <w:szCs w:val="20"/>
                <w:color w:val="auto"/>
              </w:rPr>
            </w:pPr>
            <w:r>
              <w:rPr>
                <w:rFonts w:ascii="Arial" w:cs="Arial" w:eastAsia="Arial" w:hAnsi="Arial"/>
                <w:sz w:val="16"/>
                <w:szCs w:val="16"/>
                <w:color w:val="auto"/>
                <w:w w:val="97"/>
              </w:rPr>
              <w:t>her intangible assets, gross, as of December 31, 2021</w:t>
            </w:r>
          </w:p>
        </w:tc>
        <w:tc>
          <w:tcPr>
            <w:tcW w:w="6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4"/>
              </w:rPr>
              <w:t>34$.5</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763$.1</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73$.9</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124$.6</w:t>
            </w: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996.1</w:t>
            </w:r>
          </w:p>
        </w:tc>
        <w:tc>
          <w:tcPr>
            <w:tcW w:w="0" w:type="dxa"/>
            <w:vAlign w:val="bottom"/>
          </w:tcPr>
          <w:p>
            <w:pPr>
              <w:spacing w:after="0"/>
              <w:rPr>
                <w:sz w:val="1"/>
                <w:szCs w:val="1"/>
                <w:color w:val="auto"/>
              </w:rPr>
            </w:pPr>
          </w:p>
        </w:tc>
      </w:tr>
      <w:tr>
        <w:trPr>
          <w:trHeight w:val="216"/>
        </w:trPr>
        <w:tc>
          <w:tcPr>
            <w:tcW w:w="3760" w:type="dxa"/>
            <w:vAlign w:val="bottom"/>
            <w:gridSpan w:val="2"/>
          </w:tcPr>
          <w:p>
            <w:pPr>
              <w:ind w:left="40"/>
              <w:spacing w:after="0"/>
              <w:rPr>
                <w:sz w:val="20"/>
                <w:szCs w:val="20"/>
                <w:color w:val="auto"/>
              </w:rPr>
            </w:pPr>
            <w:r>
              <w:rPr>
                <w:rFonts w:ascii="Arial" w:cs="Arial" w:eastAsia="Arial" w:hAnsi="Arial"/>
                <w:sz w:val="16"/>
                <w:szCs w:val="16"/>
                <w:color w:val="auto"/>
              </w:rPr>
              <w:t>ccumulated amortization</w:t>
            </w:r>
          </w:p>
        </w:tc>
        <w:tc>
          <w:tcPr>
            <w:tcW w:w="6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(325.8)</w:t>
            </w:r>
          </w:p>
        </w:tc>
        <w:tc>
          <w:tcPr>
            <w:tcW w:w="0" w:type="dxa"/>
            <w:vAlign w:val="bottom"/>
          </w:tcPr>
          <w:p>
            <w:pPr>
              <w:spacing w:after="0"/>
              <w:rPr>
                <w:sz w:val="1"/>
                <w:szCs w:val="1"/>
                <w:color w:val="auto"/>
              </w:rPr>
            </w:pPr>
          </w:p>
        </w:tc>
      </w:tr>
      <w:tr>
        <w:trPr>
          <w:trHeight w:val="196"/>
        </w:trPr>
        <w:tc>
          <w:tcPr>
            <w:tcW w:w="3760" w:type="dxa"/>
            <w:vAlign w:val="bottom"/>
            <w:gridSpan w:val="2"/>
          </w:tcPr>
          <w:p>
            <w:pPr>
              <w:spacing w:after="0"/>
              <w:rPr>
                <w:sz w:val="20"/>
                <w:szCs w:val="20"/>
                <w:color w:val="auto"/>
              </w:rPr>
            </w:pPr>
            <w:r>
              <w:rPr>
                <w:rFonts w:ascii="Arial" w:cs="Arial" w:eastAsia="Arial" w:hAnsi="Arial"/>
                <w:sz w:val="16"/>
                <w:szCs w:val="16"/>
                <w:color w:val="auto"/>
              </w:rPr>
              <w:t>her intangible assets, net, as of December 31, 2021</w:t>
            </w:r>
          </w:p>
        </w:tc>
        <w:tc>
          <w:tcPr>
            <w:tcW w:w="6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4"/>
              </w:rPr>
              <w:t>34$.5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485$.1</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98$.2</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670.3</w:t>
            </w:r>
          </w:p>
        </w:tc>
        <w:tc>
          <w:tcPr>
            <w:tcW w:w="0" w:type="dxa"/>
            <w:vAlign w:val="bottom"/>
          </w:tcPr>
          <w:p>
            <w:pPr>
              <w:spacing w:after="0"/>
              <w:rPr>
                <w:sz w:val="1"/>
                <w:szCs w:val="1"/>
                <w:color w:val="auto"/>
              </w:rPr>
            </w:pPr>
          </w:p>
        </w:tc>
      </w:tr>
      <w:tr>
        <w:trPr>
          <w:trHeight w:val="199"/>
        </w:trPr>
        <w:tc>
          <w:tcPr>
            <w:tcW w:w="3760" w:type="dxa"/>
            <w:vAlign w:val="bottom"/>
            <w:gridSpan w:val="2"/>
          </w:tcPr>
          <w:p>
            <w:pPr>
              <w:ind w:left="40"/>
              <w:spacing w:after="0"/>
              <w:rPr>
                <w:sz w:val="20"/>
                <w:szCs w:val="20"/>
                <w:color w:val="auto"/>
              </w:rPr>
            </w:pPr>
            <w:r>
              <w:rPr>
                <w:rFonts w:ascii="Arial" w:cs="Arial" w:eastAsia="Arial" w:hAnsi="Arial"/>
                <w:sz w:val="16"/>
                <w:szCs w:val="16"/>
                <w:color w:val="auto"/>
              </w:rPr>
              <w:t>dditions from new business combinations</w:t>
            </w: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66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easurement period adjustments </w:t>
            </w:r>
            <w:r>
              <w:rPr>
                <w:rFonts w:ascii="Arial" w:cs="Arial" w:eastAsia="Arial" w:hAnsi="Arial"/>
                <w:sz w:val="21"/>
                <w:szCs w:val="21"/>
                <w:color w:val="auto"/>
                <w:vertAlign w:val="superscript"/>
              </w:rPr>
              <w:t>(b)</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w:t>
            </w:r>
          </w:p>
        </w:tc>
        <w:tc>
          <w:tcPr>
            <w:tcW w:w="0" w:type="dxa"/>
            <w:vAlign w:val="bottom"/>
          </w:tcPr>
          <w:p>
            <w:pPr>
              <w:spacing w:after="0"/>
              <w:rPr>
                <w:sz w:val="1"/>
                <w:szCs w:val="1"/>
                <w:color w:val="auto"/>
              </w:rPr>
            </w:pPr>
          </w:p>
        </w:tc>
      </w:tr>
      <w:tr>
        <w:trPr>
          <w:trHeight w:val="213"/>
        </w:trPr>
        <w:tc>
          <w:tcPr>
            <w:tcW w:w="3760" w:type="dxa"/>
            <w:vAlign w:val="bottom"/>
            <w:gridSpan w:val="2"/>
          </w:tcPr>
          <w:p>
            <w:pPr>
              <w:ind w:left="40"/>
              <w:spacing w:after="0"/>
              <w:rPr>
                <w:sz w:val="20"/>
                <w:szCs w:val="20"/>
                <w:color w:val="auto"/>
              </w:rPr>
            </w:pPr>
            <w:r>
              <w:rPr>
                <w:rFonts w:ascii="Arial" w:cs="Arial" w:eastAsia="Arial" w:hAnsi="Arial"/>
                <w:sz w:val="16"/>
                <w:szCs w:val="16"/>
                <w:color w:val="auto"/>
              </w:rPr>
              <w:t>urrency translation adjustments</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mortization expense</w:t>
            </w:r>
          </w:p>
        </w:tc>
        <w:tc>
          <w:tcPr>
            <w:tcW w:w="66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her intangible assets, net, as of March 31, 2022</w:t>
            </w:r>
          </w:p>
        </w:tc>
        <w:tc>
          <w:tcPr>
            <w:tcW w:w="6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4"/>
              </w:rPr>
              <w:t>34$.5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522$.2</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85$.7</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-1104900</wp:posOffset>
            </wp:positionV>
            <wp:extent cx="6926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-830580</wp:posOffset>
            </wp:positionV>
            <wp:extent cx="6926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137" w:lineRule="exact"/>
        <w:rPr>
          <w:sz w:val="20"/>
          <w:szCs w:val="20"/>
          <w:color w:val="auto"/>
        </w:rPr>
      </w:pPr>
    </w:p>
    <w:p>
      <w:pPr>
        <w:ind w:left="420" w:hanging="3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Consists principally of trademarks, trade names and non-compete agreements.</w:t>
      </w:r>
    </w:p>
    <w:p>
      <w:pPr>
        <w:spacing w:after="0" w:line="13" w:lineRule="exact"/>
        <w:rPr>
          <w:rFonts w:ascii="Arial" w:cs="Arial" w:eastAsia="Arial" w:hAnsi="Arial"/>
          <w:sz w:val="14"/>
          <w:szCs w:val="14"/>
          <w:color w:val="auto"/>
        </w:rPr>
      </w:pPr>
    </w:p>
    <w:p>
      <w:pPr>
        <w:ind w:left="420" w:hanging="3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06" w:lineRule="exact"/>
        <w:rPr>
          <w:sz w:val="20"/>
          <w:szCs w:val="20"/>
          <w:color w:val="auto"/>
        </w:rPr>
      </w:pPr>
    </w:p>
    <w:p>
      <w:pPr>
        <w:jc w:val="both"/>
        <w:ind w:left="100" w:firstLine="648"/>
        <w:spacing w:after="0" w:line="293" w:lineRule="auto"/>
        <w:rPr>
          <w:sz w:val="20"/>
          <w:szCs w:val="20"/>
          <w:color w:val="auto"/>
        </w:rPr>
      </w:pPr>
      <w:r>
        <w:rPr>
          <w:rFonts w:ascii="Arial" w:cs="Arial" w:eastAsia="Arial" w:hAnsi="Arial"/>
          <w:sz w:val="14"/>
          <w:szCs w:val="14"/>
          <w:b w:val="1"/>
          <w:bCs w:val="1"/>
          <w:i w:val="1"/>
          <w:iCs w:val="1"/>
          <w:color w:val="auto"/>
        </w:rPr>
        <w:t>Quarterly Assessment for Indicators of Impairment</w:t>
      </w:r>
      <w:r>
        <w:rPr>
          <w:rFonts w:ascii="Arial" w:cs="Arial" w:eastAsia="Arial" w:hAnsi="Arial"/>
          <w:sz w:val="14"/>
          <w:szCs w:val="14"/>
          <w:color w:val="auto"/>
        </w:rPr>
        <w:t>. During the first quarter of 2022, in conjunction with the Company’s quarterly review for indicators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impairment, management performed a quantitative assessment of the goodwill associated with one reporting unit within its Oil and Gas segment. Based on the results of this assessment, management determined that the estimated fair value of this reporting unit substantially exceeded its carrying value as of March 31, 2022. The Company’s first quarter 2022 review for indicators of impairment included consideration of its quarterly financial results, which reflected a net loss for the period. As of March 31, 2022, the Company determined that its first quarter 2022 results, together with its expectations of future results, were generally consistent with those anticipated when performing its annual impairment review in the fourth quarter of 2021, including consideration of the potential effects of shifts in timing for certain projects. The Company’s 2021 impairment assessment included quantitative testing for eight reporting units, for which the estimated fair values of such reporting units were</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85" w:right="3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6"/>
          <w:szCs w:val="16"/>
          <w:color w:val="auto"/>
        </w:rPr>
        <w:t>determined to substantially exceed their carrying values, and a 100 basis point increase in the discount rate would not have resulted in any of the reporting units’ carrying values exceeding their fair values. Significant changes in the assumptions or estimates used in management’s assessment, such as a reduction in profitability and/or cash flows, changes in market conditions, including decreases in market activity levels or increases in interest rates due to rising inflation, could result in non-cash impairment charges to goodwill and indefinite-lived intangible assets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Acquisitions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2022 Acquisitions. </w:t>
      </w:r>
      <w:r>
        <w:rPr>
          <w:rFonts w:ascii="Arial" w:cs="Arial" w:eastAsia="Arial" w:hAnsi="Arial"/>
          <w:sz w:val="16"/>
          <w:szCs w:val="16"/>
          <w:color w:val="auto"/>
        </w:rPr>
        <w:t>In January 2022, MasTec acquired all of the equity interests of an infrastructure construction company focusing on water, sewer and utility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projects and expertise in excavation and site work that is included within the Company’s Oil and Gas segment for an aggregate purchase price composed of approximately $13.0 million in cash, net of cash acquired and an earn-out liability valued at approximately $1.7 million. Determination of the estimated fair values of net assets acquired was preliminary as of March 31, 2022; as a result, further adjustments to these estimates may occur.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2021 Acquisitions. </w:t>
      </w:r>
      <w:r>
        <w:rPr>
          <w:rFonts w:ascii="Arial" w:cs="Arial" w:eastAsia="Arial" w:hAnsi="Arial"/>
          <w:sz w:val="16"/>
          <w:szCs w:val="16"/>
          <w:color w:val="auto"/>
        </w:rPr>
        <w:t>During 2021, MasTec completed fourteen acquisitions, including all of the equity interests of the following:</w:t>
      </w:r>
    </w:p>
    <w:p>
      <w:pPr>
        <w:spacing w:after="0" w:line="113" w:lineRule="exact"/>
        <w:rPr>
          <w:sz w:val="20"/>
          <w:szCs w:val="20"/>
          <w:color w:val="auto"/>
        </w:rPr>
      </w:pPr>
    </w:p>
    <w:p>
      <w:pPr>
        <w:jc w:val="both"/>
        <w:ind w:firstLine="656"/>
        <w:spacing w:after="0" w:line="250" w:lineRule="auto"/>
        <w:tabs>
          <w:tab w:leader="none" w:pos="868"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Within the Company’s Power Delivery segment: HMG, an industry-leading utility services firm providing critical infrastructure design, construction and maintenance services to the power and renewables, telecommunications, gas distribution and pipeline services end-markets, which acquisition was effective in December. In the first quarter of 2022, MasTec integrated and began reporting the results of HMG within its Power Delivery, Communications and Oil and Gas segments, as appropriate, and began reporting HMG’s corporate functions within its corporate results. See Note 13 – Segments and Related Information for additional details. During 2021, the Company also acquired an electric utility distribution contractor and a company specializing in vegetation management services for the electric and telecommunications industries,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86" w:lineRule="exact"/>
        <w:rPr>
          <w:rFonts w:ascii="Arial" w:cs="Arial" w:eastAsia="Arial" w:hAnsi="Arial"/>
          <w:sz w:val="16"/>
          <w:szCs w:val="16"/>
          <w:color w:val="auto"/>
        </w:rPr>
      </w:pPr>
    </w:p>
    <w:p>
      <w:pPr>
        <w:ind w:right="20" w:firstLine="656"/>
        <w:spacing w:after="0" w:line="310" w:lineRule="auto"/>
        <w:tabs>
          <w:tab w:leader="none" w:pos="895" w:val="left"/>
        </w:tabs>
        <w:numPr>
          <w:ilvl w:val="0"/>
          <w:numId w:val="6"/>
        </w:numPr>
        <w:rPr>
          <w:rFonts w:ascii="Arial" w:cs="Arial" w:eastAsia="Arial" w:hAnsi="Arial"/>
          <w:sz w:val="15"/>
          <w:szCs w:val="15"/>
          <w:color w:val="auto"/>
        </w:rPr>
      </w:pPr>
      <w:r>
        <w:rPr>
          <w:rFonts w:ascii="Arial" w:cs="Arial" w:eastAsia="Arial" w:hAnsi="Arial"/>
          <w:sz w:val="15"/>
          <w:szCs w:val="15"/>
          <w:color w:val="auto"/>
        </w:rPr>
        <w:t>within the Company’s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40" w:lineRule="exact"/>
        <w:rPr>
          <w:rFonts w:ascii="Arial" w:cs="Arial" w:eastAsia="Arial" w:hAnsi="Arial"/>
          <w:sz w:val="15"/>
          <w:szCs w:val="15"/>
          <w:color w:val="auto"/>
        </w:rPr>
      </w:pPr>
    </w:p>
    <w:p>
      <w:pPr>
        <w:jc w:val="both"/>
        <w:ind w:right="20" w:firstLine="656"/>
        <w:spacing w:after="0" w:line="278" w:lineRule="auto"/>
        <w:tabs>
          <w:tab w:leader="none" w:pos="936" w:val="left"/>
        </w:tabs>
        <w:numPr>
          <w:ilvl w:val="0"/>
          <w:numId w:val="6"/>
        </w:numPr>
        <w:rPr>
          <w:rFonts w:ascii="Arial" w:cs="Arial" w:eastAsia="Arial" w:hAnsi="Arial"/>
          <w:sz w:val="15"/>
          <w:szCs w:val="15"/>
          <w:color w:val="auto"/>
        </w:rPr>
      </w:pPr>
      <w:r>
        <w:rPr>
          <w:rFonts w:ascii="Arial" w:cs="Arial" w:eastAsia="Arial" w:hAnsi="Arial"/>
          <w:sz w:val="15"/>
          <w:szCs w:val="15"/>
          <w:color w:val="auto"/>
        </w:rPr>
        <w:t>within the Company’s Communications segment: a telecommunications company specializing in cabling, plant and other network services, which acquisition was effective in November;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business operations specializing in install-to-the-home services, which acquisition was effective in August; and</w:t>
      </w:r>
    </w:p>
    <w:p>
      <w:pPr>
        <w:spacing w:after="0" w:line="64" w:lineRule="exact"/>
        <w:rPr>
          <w:rFonts w:ascii="Arial" w:cs="Arial" w:eastAsia="Arial" w:hAnsi="Arial"/>
          <w:sz w:val="15"/>
          <w:szCs w:val="15"/>
          <w:color w:val="auto"/>
        </w:rPr>
      </w:pPr>
    </w:p>
    <w:p>
      <w:pPr>
        <w:jc w:val="both"/>
        <w:ind w:firstLine="656"/>
        <w:spacing w:after="0" w:line="286" w:lineRule="auto"/>
        <w:tabs>
          <w:tab w:leader="none" w:pos="928" w:val="left"/>
        </w:tabs>
        <w:numPr>
          <w:ilvl w:val="0"/>
          <w:numId w:val="6"/>
        </w:numPr>
        <w:rPr>
          <w:rFonts w:ascii="Arial" w:cs="Arial" w:eastAsia="Arial" w:hAnsi="Arial"/>
          <w:sz w:val="15"/>
          <w:szCs w:val="15"/>
          <w:color w:val="auto"/>
        </w:rPr>
      </w:pPr>
      <w:r>
        <w:rPr>
          <w:rFonts w:ascii="Arial" w:cs="Arial" w:eastAsia="Arial" w:hAnsi="Arial"/>
          <w:sz w:val="15"/>
          <w:szCs w:val="15"/>
          <w:color w:val="auto"/>
        </w:rPr>
        <w:t>within the Company’s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5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These acquisitions were funded with cash on hand, borrowings under the Company’s credit facility and with shares of the Company’s common stock, and are subject to customary purchase price adjustments.</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table summarizes the estimated fair values of consideration paid and net assets acquired for the 2021 acquisitions, as adjusted (in millions):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consideration</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HMG</w:t>
            </w:r>
          </w:p>
        </w:tc>
        <w:tc>
          <w:tcPr>
            <w:tcW w:w="300" w:type="dxa"/>
            <w:vAlign w:val="bottom"/>
          </w:tcPr>
          <w:p>
            <w:pPr>
              <w:spacing w:after="0"/>
              <w:rPr>
                <w:sz w:val="21"/>
                <w:szCs w:val="21"/>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All other</w:t>
            </w:r>
          </w:p>
        </w:tc>
        <w:tc>
          <w:tcPr>
            <w:tcW w:w="360" w:type="dxa"/>
            <w:vAlign w:val="bottom"/>
          </w:tcPr>
          <w:p>
            <w:pPr>
              <w:spacing w:after="0"/>
              <w:rPr>
                <w:sz w:val="21"/>
                <w:szCs w:val="21"/>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net of cash acquired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1,289.1</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Shares transferred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181.7</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fair value of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07"/>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consideration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971.9</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1,570.5</w:t>
            </w:r>
          </w:p>
        </w:tc>
      </w:tr>
      <w:tr>
        <w:trPr>
          <w:trHeight w:val="19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409.8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270.6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680.4</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497.8</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assets, primarily operating lease right-of-use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Amortizing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164.6</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444.2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608.8</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Current liabilities, including current portion of operating lease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(155.3)</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(291.6)</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liabilities, primarily operating lease liabilities and deferred income taxes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r>
      <w:tr>
        <w:trPr>
          <w:trHeight w:val="213"/>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identifiable net assets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w:t>
            </w:r>
          </w:p>
        </w:tc>
      </w:tr>
      <w:tr>
        <w:trPr>
          <w:trHeight w:val="213"/>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r>
      <w:tr>
        <w:trPr>
          <w:trHeight w:val="213"/>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net assets acquired, including goodwill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975.4</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1,574.0</w:t>
            </w:r>
          </w:p>
        </w:tc>
      </w:tr>
      <w:tr>
        <w:trPr>
          <w:trHeight w:val="213"/>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6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consideration</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1,570.5</w:t>
            </w:r>
          </w:p>
        </w:tc>
      </w:tr>
    </w:tbl>
    <w:p>
      <w:pPr>
        <w:spacing w:after="0" w:line="157" w:lineRule="exact"/>
        <w:rPr>
          <w:sz w:val="20"/>
          <w:szCs w:val="20"/>
          <w:color w:val="auto"/>
        </w:rPr>
      </w:pPr>
    </w:p>
    <w:p>
      <w:pPr>
        <w:jc w:val="both"/>
        <w:ind w:left="340" w:hanging="332"/>
        <w:spacing w:after="0" w:line="257" w:lineRule="auto"/>
        <w:tabs>
          <w:tab w:leader="none" w:pos="379" w:val="left"/>
        </w:tabs>
        <w:numPr>
          <w:ilvl w:val="0"/>
          <w:numId w:val="7"/>
        </w:numPr>
        <w:rPr>
          <w:rFonts w:ascii="Arial" w:cs="Arial" w:eastAsia="Arial" w:hAnsi="Arial"/>
          <w:sz w:val="14"/>
          <w:szCs w:val="14"/>
          <w:color w:val="auto"/>
        </w:rPr>
      </w:pPr>
      <w:r>
        <w:rPr>
          <w:rFonts w:ascii="Arial" w:cs="Arial" w:eastAsia="Arial" w:hAnsi="Arial"/>
          <w:sz w:val="14"/>
          <w:szCs w:val="14"/>
          <w:color w:val="auto"/>
        </w:rPr>
        <w:t>Acquisition consideration excludes approximately $65 million of measurement period adjustments for estimated payments that will be made to the sellers of HMG if certain acquired receivables are collected. Given the pass-through nature of these contingent payments, they have been excluded from total consideration and current assets in the table above. See below for related discussion.</w:t>
      </w:r>
    </w:p>
    <w:p>
      <w:pPr>
        <w:spacing w:after="0" w:line="14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Amortizing intangible assets related to the HMG acquisition are primarily composed of customer relationships, and to a lesser extent, trade names and backlog. Customer relationship intangible assets totaled approximately $132 million, and had a weighted average life of approximately 12 years, based on HMG’s operational history and established relationships with, and the nature of, its customers, which are primarily in the utilities industry. The weighted average life of amortizing intangible assets in the aggregate for the HMG acquisition was 11 years. Amortizing intangible assets related to “All other” acquisitions are primarily composed of customer relationships and trade names, which each had a weighted average life of approximately 17 years. The aggregate weighted average life related to “All other” amortizing intangible assets was 17 years. INTREN’s acquired intangible assets included a customer relationship and a trade name intangible asset representing $281 million in the aggregate, having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goodwill balances for each of the respective acquisitions, including approximately $49 million for INTREN, which is included within “All other” acquisitions,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$147 million of the goodwill balance related to the 2021 acquisitions is expected to be tax deductible as of March 31, 2022. One of the Company’s fourth quarter 2021 acquisitions in its Power Delivery segment resulted in the recognition of a bargain purchase gain of $3.5 million, which amount was included within other (income) expense, net, in the Company’s consolidated statements of operations.</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HMG purchase agreement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fair value of the Additional Payments as of March 31, 2022 was estimated to be approximately $65 million in the aggregate, which amount is included within other current liabilities in the consolidated balance sheet. Of this amount, approximately $27 million is to be paid in shares, or approximately 295,000 shares as of March 31, 2022, based upon the contractually agreed upon value of our common stock. The amount of Additional Payments due to the sellers as of March 31, 2022 from collections of acquired receivables totaled approximately $30 million, of which the amount due in shares totaled approximately $12 million, or 135,000 shares. See Note 2 – Earnings Per Share for the effect of the above referenced shares on the Company’s earnings per share calculations.</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The estimated number of potential shares that could be issued related to such Additional Payments will be based on the amounts ultimately collected and the share price as defined within the purchase agreement. As of March 31, 2022, based on such share price, the total number of potential shares for the Additional Payments that could be issued is up to approximately 390,000 shares, or $36 million. In addition, the HMG purchase agreement provides for a customary net working capital adjustment, under which additional shares could be issued. Such shares would be determined in a manner consistent with the terms that apply to the Additional Payments. As of March 31, 2022, the amount of any potential net working capital adjustment cannot be quantified or predicted with specificity due to ongoing evaluation of the net assets acquired. Changes in the estimated fair value of the potential shares that could be issued under the terms of this agreement, which result from changes in MasTec’s share price as compared with the share price as defined within the purchase agreement will be reflected within other income or expense, as appropriate. For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three month period ended March 31, 2022, unrealized fair value measurement activity related to these shares was not significant.</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Included within “All other” acquisition consideration is approximately $452 million of consideration, including estimated earn-out liabilities, for INTREN. Total cash paid for acquisitions, net, includes approximately $78 million of cash acquired. The shares of MasTec common stock transferred in connection with the HMG acquisition consisted of approximately 2.0 million shares, as determined based on the terms of the purchase agreement, valued at approximately $182 million, based on the market price of the Company’s common stock on the date of closing.</w:t>
      </w:r>
    </w:p>
    <w:p>
      <w:pPr>
        <w:spacing w:after="0" w:line="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 arrangements for the 2021 acquisitions generally range from one to five-year terms, as set forth in the respective purchase agreements, and are valued at approximately $100 million in the aggregate. The earn-out arrangement for the INTREN acquisition included within “All other” acquisitions had a term of less than one year. Earn-outs are generally payable annually and are recorded within other current and other long-term liabilities in the consolidated balance sheets. See Note 4 - Fair Value of Financial Instruments for details pertaining to fair value estimates for the Company’s earn-out arrangements. As of March 31, 2022, the range of remaining potential undiscounted earn-out liabilities for the 2021 acquisitions was estimated to be between $13 million and $133 million; however, there is no maximum payment amount. Determination of the estimated fair values of the net assets acquired and the estimated earn-out liabilities and consideration transferred for certain of these acquisitions was preliminary as of March 31, 2022; as a result, further adjustments to these estimates may occur.</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Pro forma results. </w:t>
      </w:r>
      <w:r>
        <w:rPr>
          <w:rFonts w:ascii="Arial" w:cs="Arial" w:eastAsia="Arial" w:hAnsi="Arial"/>
          <w:sz w:val="16"/>
          <w:szCs w:val="16"/>
          <w:color w:val="auto"/>
        </w:rPr>
        <w:t>For the three month periods ended March 31, 2022 and 2021, unaudited supplemental pro forma revenue totaled approximately $2.0 billion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 billion, respectively. For the three month period ended March 31, 2022, unaudited supplemental pro forma net loss totaled $34.4 million, and for the three month period ended March 31, 2021, unaudited supplemental pro forma net income totaled $43.5 million.</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Acquisition-related results</w:t>
      </w:r>
      <w:r>
        <w:rPr>
          <w:rFonts w:ascii="Arial" w:cs="Arial" w:eastAsia="Arial" w:hAnsi="Arial"/>
          <w:sz w:val="15"/>
          <w:szCs w:val="15"/>
          <w:color w:val="auto"/>
        </w:rPr>
        <w:t>. For the three month period ended March 31, 2022, the Company’s consolidated results of operations included acquisition-related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of approximately $704.7 million, including a total of $548.1 million for HMG and INTREN. For the three month period ended March 31, 2021, the Company’s consolidated results of operations included acquisition-related revenue of approximately $86.8 million. Acquisition-related net losses totaled approximately $4.3 million for the three month period ended March 31, 2022, and for the three month period ended March 31, 2021, acquisition-related net income totaled approximately $1.2 million, based on the Company’s consolidated effective tax rates. These acquisition-related results include amortization of acquired intangible assets and acquisition integration costs, and exclude the effects of interest expense associated with consideration paid for the related acquisitions.</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Acquisition and integration costs</w:t>
      </w:r>
      <w:r>
        <w:rPr>
          <w:rFonts w:ascii="Arial" w:cs="Arial" w:eastAsia="Arial" w:hAnsi="Arial"/>
          <w:sz w:val="15"/>
          <w:szCs w:val="15"/>
          <w:color w:val="auto"/>
        </w:rPr>
        <w:t>. The Company incurred certain acquisition and integration costs in connection with its fourth quarter 2021 acquisitions,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are included within general and administrative expenses in the Company’s consolidated statements of operations.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facility consolidation expenses, lease termination expenses, system migration expenses, training, operating cost redundancies and other integration costs, as well as ii) legal, professional and other fees associated with the consummation of an acquisition. The Company is currently in the process of integrating these acquisitions and expects to incur additional acquisition and integration expenses in 2022. Acquisition and integration costs for the three month period ended March 31, 2022 totaled approximately $13.6 million, and as of March 31, 2022, approximately $1.1 million was included within current liabilities within the consolidated balance sheets related to such costs.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5"/>
          <w:szCs w:val="15"/>
          <w:color w:val="auto"/>
        </w:rPr>
        <w:t>The Company’s financial instruments are primarily composed of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and additional contingent payments, mandatorily redeemable non-controlling interests and debt obligations.</w:t>
      </w:r>
    </w:p>
    <w:p>
      <w:pPr>
        <w:spacing w:after="0" w:line="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March 31, 2022 and December 31, 2021, the estimated fair value of the Company’s Earn-out liabilities totaled $160.0 million and $160.2 million, respectively, of which $13.9 million related to mandatorily redeemable non-controlling interests as of both periods. Earn-out liabilities included within other current liabilities totaled approximately $39.1 million and $38.8 million as of March 31, 2022 and December 31, 2021,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March 31, 2022, ranged from 12.0% to 18.3%, with a weighted average rate of 13.3%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March 31, 2022, the range of potential undiscounted Earn-out liabilities was estimated to be between $41 million and $211 million; however,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there is no maximum payment amount.</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Additions from new business combinations totaled approximately $1.7 million for the three month period ended March 31, 2022, and for the three month period ended March 31, 2021, there were no additions. Measurement period adjustments totaled a decrease of approximately $1.9 million for the three month period ended March 31, 2022 and related primarily to the Company’s Oil and Gas segment. There were no measurement period adjustments for the three month period ended March 31, 2021. For the three month period ended March 31, 2022, there were no fair value adjustments, and for the three month period ended March 31, 2021, fair value adjustments across multiple segments totaled a net decrease of approximately $0.4 million. There were no Earn-out payments in either of the three month periods ended March 31, 2022 or 2021.</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March 31, 2022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(“AVCT”); (v) the Company’s interests in certain proportionately consolidated non-controlled contractual joint ventures; and (vi) certain other equity investments.</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Investment Arrangements</w:t>
      </w:r>
      <w:r>
        <w:rPr>
          <w:rFonts w:ascii="Arial" w:cs="Arial" w:eastAsia="Arial" w:hAnsi="Arial"/>
          <w:sz w:val="16"/>
          <w:szCs w:val="16"/>
          <w:color w:val="auto"/>
        </w:rPr>
        <w:t>. From time to time, the Company may participate in selected investment or strategic arrangements, including equity interests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entities and participation in contractual joint ventures, some of which may involve the extension of loans or other types of financing arrangements. The Company has determined that certain of its investment arrangements are variable interest entities (“VIEs”). As of March 31, 2022,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March 31, 2022 and December 31, 2021, the aggregate carrying value of the Company’s equity investments, including equity investments measured on an adjusted cost basis, totaled approximately $280 million and $267 million, respectively. As of both March 31, 2022 and December 31, 2021, equity investments measured on an adjusted cost basis, including the Company’s $15 million investment in CCI, totaled approximately $20 million. There were no impairments related to these investments in either of the three month periods ended March 31, 2022 or 2021.</w:t>
      </w:r>
    </w:p>
    <w:p>
      <w:pPr>
        <w:spacing w:after="0" w:line="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certain pipeline infrastructure that transports natural gas to the Mexican border for export.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the Waha JVs are accounted for as equity method investments. Equity in earnings related to the Company’s proportionate share of income from the Waha JVs, which is included within the Company’s Other segment, totaled approximately $7.4 million and $7.7 million for the three month periods ended March 31, 2022 and 2021, respectively. Distributions of earnings from the Waha JVs, which are included within operating cash flows, totaled $3.1 million for the three month period ended March 31, 2022. There were no distributions of earnings for the three month period ended March 31, 2021. Cumulative undistributed earnings from the Waha JVs, which represents cumulative equity in earnings for the Waha JVs less distributions of earnings, totaled $99.2 million as of March 31, 2022. The Company’s net investment in the Waha JVs, which differs from its proportionate share of the net assets of the Waha JVs due primarily to equity method goodwill associated with capitalized investment costs, totaled approximately $234 million and $216 million as of March 31, 2022 and December 31, 2021, respectively.</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 ended March 31, 2022, the Company’s proportionate share of unrecognized unrealized activity on the Waha JV swaps totaled gains of approximately $18.2 million, or $13.8 million, net of tax, and for the three month period ended March 31, 2021, totaled gains of approximately $17.3 million, or $13.1 million, net of tax.</w:t>
      </w:r>
    </w:p>
    <w:p>
      <w:pPr>
        <w:spacing w:after="0" w:line="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i w:val="1"/>
          <w:iCs w:val="1"/>
          <w:color w:val="auto"/>
        </w:rPr>
        <w:t xml:space="preserve">Other Investments. </w:t>
      </w:r>
      <w:r>
        <w:rPr>
          <w:rFonts w:ascii="Arial" w:cs="Arial" w:eastAsia="Arial" w:hAnsi="Arial"/>
          <w:sz w:val="14"/>
          <w:szCs w:val="14"/>
          <w:color w:val="auto"/>
        </w:rPr>
        <w:t>As of March 31, 2022, the Company’s investments in AVCT, which are included within other current assets in the Company’s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include (i) shares of AVCT common stock, which are equity securities, and (ii) warrants for the purchase of AVCT common stock, which are derivative financial instruments. Previously, the Company’s investment in AVCT included debentures that were convertible into shares of AVCT common stock, which were available-for-sale securities. In the third quarter of 2021, the Company’s investment in AVCT convertible debentures was automatically converted into shares of AVCT common stock. As of March 31, 2022 and December 31, 2021, the Company’s ownership interest in AVCT’s common stock totaled approximately 3% for both periods, and its aggregate ownership interest, assuming the exercise of all legally exercisable warrants into AVCT common stock, totaled approximately 5% and 6%, respectively.</w:t>
      </w:r>
    </w:p>
    <w:p>
      <w:pPr>
        <w:spacing w:after="0" w:line="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March 31, 2022 and December 31, 2021, the aggregate fair value of the Company’s investments in AVCT approximated $3 million and $8 million, respectively, with an aggregate cost approximating $6 million as of both periods. Unrealized fair value measurement activity related to the AVCT securities, which is based on the market price of identical securities, a Level 1 input, and is recorded within other income or expense, net, totaled losses of approximately $4.8 million for the three month period ended March 31, 2022, and totaled losses, net, of approximately $1.0 million for the three month period ended March 31, 2021. Unrealized fair value measurement activity related to the AVCT convertible debentures based on Level 3 inputs and recognized within other comprehensive income totaled gains of approximately $1.0 million, or $0.8 million, net of tax, for the three month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jc w:val="both"/>
        <w:ind w:firstLine="648"/>
        <w:spacing w:after="0" w:line="251" w:lineRule="auto"/>
        <w:rPr>
          <w:sz w:val="20"/>
          <w:szCs w:val="20"/>
          <w:color w:val="auto"/>
        </w:rPr>
      </w:pPr>
      <w:r>
        <w:rPr>
          <w:rFonts w:ascii="Arial" w:cs="Arial" w:eastAsia="Arial" w:hAnsi="Arial"/>
          <w:sz w:val="16"/>
          <w:szCs w:val="16"/>
          <w:color w:val="auto"/>
        </w:rPr>
        <w:t>During the first quarter of 2021, MasTec committed to fund up to $2.5 million for a 75% equity interest in Confluence Networks, LLC (“Confluence”), an undersea fiber-optic communications systems developer and VIE. As of March 31, 2022, a total of $1.7 million had been funded, of which $0.4 million was funded during the first quarter of 2021. Equity in losses related to the Company’s proportionate share of income from this investment totaled $0.2 million and $0.1 million for the three month periods ended March 31, 2022 and 2021, respectively. As of March 31, 2022, MasTec had less than a majority of the members on the board and determined that it did not have a controlling financial interest, and therefore does not have the power to direct the primary activities that most significantly impact its economic performance, nor is it the primary beneficiary. The Company has the ability to exert significant influence over Confluence; and as a result, accounts for its investment in Confluence as an equity method investment as of March 31, 2022.</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equity interests in certain telecommunications entities that are accounted for as equity method investments. As of both March 31, 2022 and December 31, 2021, the Company had an aggregate investment of approximately $20 million in these entities, including $17 million for FM Tech. For the three months periods ended March 31, 2022 and 2021, the Company made equity contributions related to its investments in telecommunications entities totaling approximately $0.5 million and $2.0 million, respectively. Equity in losses, net, related to the Company’s proportionate share of income from these telecommunications entities totaled approximately $0.3 million for both the three month periods ended March 31, 2022 and 2021.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Certain of these telecommunications entities provide services to MasTec. Expense recognized in connection with services provided by these entities totaled $1.0 million and $1.8 million for the three month periods ended March 31, 2022 and 2021, respectively. As of March 31, 2022, related amounts payable to these entities were de minimis, and as of December 31, 2021, totaled $0.3 million. In addition, the Company had an employee leasing arrangement with one of these entities and has advanced certain amounts to these entities. For the three month period ended March 31, 2022, there were no employee lease expenses or advances, and for the three month period ended March 31, 2021, advances totaled approximately $0.2 million. As of March 31, 2022 and December 31, 2021, employee lease and advances receivable totaled approximately $0.7 million and $0.9 million, respectively.</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49% equity interests in certain entities included within its Power Delivery segment that are accounted for as equity method investments, for which its aggregate investment as of both March 31, 2022 and December 31, 2021 totaled approximately $4 million. For the three month period ended March 31, 2022, equity in losses, net, related to these entities totaled approximately $0.1 million. Certain of these entities provide construction services to MasTec. Expense recognized in connection with construction services provided by these entities totaled approximately $3.6 million for the three month period ended March 31, 2022. As of March 31, 2022, related amounts payable totaled approximately $0.1 million. In addition, the Company has line of credit arrangements with these investees, providing for up to $8.5 million of borrowing availability, of which $0.4 million was drawn as of both March 31, 2022 and December 31, 2021, which amounts are included within other current assets in the consolidated balance sheets.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As of both March 31, 2022 and December 31, 2021, the gross carrying amount of the Company’s 4.50% senior notes due August 15, 2028 (the “4.50% Senior Notes”) totaled $600 million, and their estimated fair value, based on an exit price approach using Level 1 inputs, totaled $594.8 million and $619.5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allowance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9"/>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1,019.3</w:t>
            </w:r>
          </w:p>
        </w:tc>
      </w:tr>
      <w:tr>
        <w:trPr>
          <w:trHeight w:val="240"/>
        </w:trPr>
        <w:tc>
          <w:tcPr>
            <w:tcW w:w="8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r>
        <w:trPr>
          <w:trHeight w:val="213"/>
        </w:trPr>
        <w:tc>
          <w:tcPr>
            <w:tcW w:w="82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Unbilled receivables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w:t>
            </w:r>
          </w:p>
        </w:tc>
      </w:tr>
      <w:tr>
        <w:trPr>
          <w:trHeight w:val="210"/>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1,227.9</w:t>
            </w:r>
          </w:p>
        </w:tc>
      </w:tr>
    </w:tbl>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three month period ended March 31, 2022, provisions for credit losses were de minimis, and for the three month period ended March 31, 2021, provisions for credit losses totaled a recovery of $7.7 million resulting from successful collection of previously reserved amounts. Impairment losses on contract assets were not material in either period.</w:t>
      </w:r>
    </w:p>
    <w:p>
      <w:pPr>
        <w:spacing w:after="0" w:line="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6"/>
          <w:szCs w:val="16"/>
          <w:color w:val="auto"/>
        </w:rPr>
        <w:t>in excess of revenue recognized, which is referred to as deferred revenue. Contract liabilities also include the amount of any accrued project losses. Total contract liabilities, including accrued project losses, totaled approximately $298.3 million and $314.0 million as of March 31, 2022 and December 31, 2021, respectively, of which deferred revenue comprised approximately $286.3 million and $296.1 million, respectively. For the three month period ended March 31, 2022, the Company recognized revenue of approximately $186.2 million related to amounts that were included in deferred revenue as of December 31, 2021, resulting primarily from advancement of physical progress on the related projects during the period.</w:t>
      </w:r>
    </w:p>
    <w:p>
      <w:pPr>
        <w:spacing w:after="0" w:line="8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$1.0 million and $0.8 million for the three month periods ended March 31, 2022 and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2,411.0</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Office furniture and equipment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07"/>
        </w:trPr>
        <w:tc>
          <w:tcPr>
            <w:tcW w:w="822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2,960.4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2,840.4</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(1,404.3)</w:t>
            </w:r>
          </w:p>
        </w:tc>
      </w:tr>
      <w:tr>
        <w:trPr>
          <w:trHeight w:val="206"/>
        </w:trPr>
        <w:tc>
          <w:tcPr>
            <w:tcW w:w="822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w:t>
            </w:r>
          </w:p>
        </w:tc>
      </w:tr>
    </w:tbl>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$179.4 million and $176.4 million as of March 31, 2022 and December 31, 2021, respectively. Capitalized internal-use software, net of accumulated amortization, totaled $43.5 million and $43.9 million as of March 31, 2022 and December 31,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vMerge w:val="restart"/>
          </w:tcPr>
          <w:p>
            <w:pPr>
              <w:spacing w:after="0"/>
              <w:rPr>
                <w:sz w:val="16"/>
                <w:szCs w:val="16"/>
                <w:color w:val="auto"/>
              </w:rPr>
            </w:pPr>
          </w:p>
        </w:tc>
        <w:tc>
          <w:tcPr>
            <w:tcW w:w="2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credit facility:</w:t>
            </w: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November 1, 2026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Revolving loans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772.3</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Term loan</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578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268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122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206"/>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Total debt obligations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1,940.3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2,032.6</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Less unamortized deferred financing costs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7"/>
        </w:trPr>
        <w:tc>
          <w:tcPr>
            <w:tcW w:w="5780" w:type="dxa"/>
            <w:vAlign w:val="bottom"/>
            <w:gridSpan w:val="2"/>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1,922.7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12"/>
        </w:trPr>
        <w:tc>
          <w:tcPr>
            <w:tcW w:w="57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06"/>
        </w:trPr>
        <w:tc>
          <w:tcPr>
            <w:tcW w:w="5780" w:type="dxa"/>
            <w:vAlign w:val="bottom"/>
            <w:gridSpan w:val="2"/>
          </w:tcPr>
          <w:p>
            <w:pPr>
              <w:ind w:left="220"/>
              <w:spacing w:after="0"/>
              <w:rPr>
                <w:sz w:val="20"/>
                <w:szCs w:val="20"/>
                <w:color w:val="auto"/>
              </w:rPr>
            </w:pPr>
            <w:r>
              <w:rPr>
                <w:rFonts w:ascii="Arial" w:cs="Arial" w:eastAsia="Arial" w:hAnsi="Arial"/>
                <w:sz w:val="16"/>
                <w:szCs w:val="16"/>
                <w:color w:val="auto"/>
              </w:rPr>
              <w:t>Long-term debt</w:t>
            </w:r>
          </w:p>
        </w:tc>
        <w:tc>
          <w:tcPr>
            <w:tcW w:w="244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As of March 31, 2022, the Company’s senior unsecured credit facility (the “Credit Facility”) had aggregate borrowing commitments totaling approximately $2.0 billion, which amount is composed of $1.65 billion of revolving commitments and a term loan with an original principal amount of $350 million (the “Term Loan”). The Term Loan is subject to amortization in quarterly principal installments of approximately $2.2 million commencing in March 2023, which quarterly installments increase to approximately $4.0 million in March 2025 until maturity. Quarterly principal installments on the Term Loan are subject to adjustment, if applicable, for certain prepayments.</w:t>
      </w:r>
    </w:p>
    <w:p>
      <w:pPr>
        <w:spacing w:after="0" w:line="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March 31, 2022 and December 31, 2021, outstanding revolving loans, which included $0.5 million and $32.3 million, respectively, of borrowings denominated in foreign currencies, accrued interest at weighted average rates of approximately 1.60% and 2.32% per annum, respectively. The Term Loan accrued interest at rates of 1.71% and 1.35% as of March 31, 2022 and December 31, 2021, respectively. Letters of credit of approximately $198.6 million and $166.3 million were issued as of March 31, 2022 and December 31, 2021, respectively. As of both March 31, 2022 and December 31, 2021, letter of credit fees accrued at 0.4375% per annum for performance standby letters of credit and at 1.25% per annum for financial standby letters of credit. Outstanding letters of credit mature at various dates and most have automatic renewal provisions,</w:t>
      </w:r>
    </w:p>
    <w:p>
      <w:pPr>
        <w:sectPr>
          <w:pgSz w:w="11900" w:h="16838" w:orient="portrait"/>
          <w:cols w:equalWidth="0" w:num="1">
            <w:col w:w="11240"/>
          </w:cols>
          <w:pgMar w:left="320" w:top="10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17" w:name="page18"/>
    <w:bookmarkEnd w:id="17"/>
    <w:p>
      <w:pPr>
        <w:jc w:val="both"/>
        <w:spacing w:after="0" w:line="256" w:lineRule="auto"/>
        <w:rPr>
          <w:sz w:val="20"/>
          <w:szCs w:val="20"/>
          <w:color w:val="auto"/>
        </w:rPr>
      </w:pPr>
      <w:r>
        <w:rPr>
          <w:rFonts w:ascii="Arial" w:cs="Arial" w:eastAsia="Arial" w:hAnsi="Arial"/>
          <w:sz w:val="16"/>
          <w:szCs w:val="16"/>
          <w:color w:val="auto"/>
        </w:rPr>
        <w:t>subject to prior notice of cancellation. As of March 31, 2022 and December 31, 2021, availability for revolving loans totaled $760.9 million and $711.5 million, respectively, or up to $451.4 million and $483.7 million, respectively, for new letters of credit. Revolving loan borrowing capacity included $299.5 million and $267.7 million of availability in either Canadian dollars or Mexican pesos as of March 31, 2022 and December 31, 2021, respectively. The unused facility fee as of both March 31, 2022 and December 31, 2021 accrued at a rate of 0.175% per annum.</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is guaranteed by certain subsidiaries of the Company and the obligations under the Credit Facility are not secured.</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(i) the working capital requirements of its foreign operations and (ii) certain letter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issuances. There were no outstanding borrowings under the Company’s other credit facilities as of March 31, 2022 or December 31, 2021. Additionally, the Company has a separate credit facility, under which it may issue performance standby letters of credit. As of March 31, 2022 and December 31, 2021, letters of credit issued under this facility totaled $18.4 million and $22.2 million, respectively, and accrued fees at 0.40% per annum as of both periods. The Company’s other credit facilities are subject to customary provisions and covenants.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4.50% Senior Notes are fully and unconditionally guaranteed on a senior unsecured, joint and several basis by certain of the Company’s wholly-owned domestic restricted subsidiaries that guarantee its existing credit facilities. MasTec was in compliance with the provisions and covenants of its outstanding debt instruments as of both March 31, 2022 and December 31, 2021.</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2022 and December 31, 2021, accrued interest payable, which is recorded within other accrued expenses in the consolidated balance sheets, totaled $5.3 million and $11.7 million, respectively. For additional information pertaining to the Company’s debt instruments, see Note 7 - Debt in the Company’s 2021 Form 10-K.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March 31, 2022, the Company’s leases have remaining lease terms of up to eleven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gross amount of assets held under finance leases as of March 31, 2022 and December 31, 2021 totaled $651.1 million and $653.5 million, respectively. Assets held under finance leases, net of accumulated depreciation, totaled $458.3 million and $468.5 million as of March 31, 2022 and December 31, 2021, respectively. Depreciation expense associated with finance leases totaled $20.3 million and $19.0 million for the three month periods ended March 31, 2022 and 2021, respectively.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Operating lease additions for the three month periods ended March 31, 2022 and 2021 totaled $26.9 million and $5.5 million, respectively. For the three month periods ended March 31, 2022 and 2021, rent expense for leases that have terms in excess of one year totaled approximately $34.0 million and $27.4 million, respectively, of which $3.0 million and $2.2 million, respectively, represented variable lease costs. The Company also incurred rent expense for leases with terms of one year or less totaling approximately $74.3 million and $110.1 million for the three month periods ended March 31, 2022 and 2021, respectively. Rent expense for operating leases is generally consistent with the amount of the related payments, which payments are included within operating activities in the consolidated statements of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6"/>
        </w:trPr>
        <w:tc>
          <w:tcPr>
            <w:tcW w:w="822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7"/>
        </w:trPr>
        <w:tc>
          <w:tcPr>
            <w:tcW w:w="82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March 31, 2022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Operating</w:t>
            </w:r>
          </w:p>
        </w:tc>
      </w:tr>
      <w:tr>
        <w:trPr>
          <w:trHeight w:val="213"/>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Leases</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 nine months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2023</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Thereafter</w:t>
            </w:r>
          </w:p>
        </w:tc>
        <w:tc>
          <w:tcPr>
            <w:tcW w:w="10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8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312.0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r>
      <w:tr>
        <w:trPr>
          <w:trHeight w:val="206"/>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w:t>
            </w:r>
          </w:p>
        </w:tc>
      </w:tr>
      <w:tr>
        <w:trPr>
          <w:trHeight w:val="213"/>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133.2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209"/>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165.6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r>
    </w:tbl>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of March 31, 2022, finance leases had a weighted average remaining lease term of 2.7 years and a weighted average discount rate of 3.2%. Non-cancelable operating leases had a weighted average remaining lease term of 4.4 years and a weighted average discount rate of 2.8% as of March 31, 2022. As of March 31, 2022, future lease obligations for leases that had not yet commenced totaled approximately $7.3 million. These leases commence in 2022 with lease terms ranging from 1 year to 11 years.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stock-based compensation plans, under which shares of the Company’s common stock are reserved for issuance. Under all stock-based compensation plans in effect as of March 31, 2022, there were approximately 3,408,000 shares available for future grant. Non-cash stock-based compensation expense under all plans totaled $6.3 million and $5.5 million for the three month periods ended March 31, 2022 and 2021, respectively. Income tax benefits associated with stock-based compensation arrangements totaled $2.2 million and $1.1 million for the three month periods ended March 31, 2022 and 2021, respectively, including net tax benefits related to the vesting of share-based payment awards totaling $0.9 million and $0.1 million, respectively.</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2022, total unearned compensation related to restricted shares was approximately $50.6 million, which amount is expected to be recognized over a weighted average period of approximately 2.2 years. The fair value of restricted shares that vested, which is based on the market price on the date of vesting, totaled $19.0 million and $10.9 million for the three month periods ended March 31, 2022 and 2021,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3"/>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1,748,685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0" w:type="dxa"/>
            <w:vAlign w:val="bottom"/>
          </w:tcPr>
          <w:p>
            <w:pPr>
              <w:spacing w:after="0"/>
              <w:rPr>
                <w:sz w:val="1"/>
                <w:szCs w:val="1"/>
                <w:color w:val="auto"/>
              </w:rPr>
            </w:pPr>
          </w:p>
        </w:tc>
      </w:tr>
      <w:tr>
        <w:trPr>
          <w:trHeight w:val="206"/>
        </w:trPr>
        <w:tc>
          <w:tcPr>
            <w:tcW w:w="82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168,910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86.95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1,800 and 1,300 restricted stock units as of March 31, 2022 and December 31, 2021, respectively.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newly issued common shares or common shares reacquired on the open market or in privately negotiated transactions.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5"/>
          <w:szCs w:val="15"/>
          <w:color w:val="auto"/>
        </w:rPr>
        <w:t>For the three month periods ended March 31, 2022 and 2021, 24,737 shares and 18,843 shares, respectively, were purchased by participants under the Company’s ESPPs for $1.9 million, and $1.4 million, respectively, which shares were reacquired by the Company on the open market. Compensation expense associated with the Company’s ESPPs totaled approximately $0.3 million for both the three month periods ended March 31, 2022 and 2021,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contribute amounts to multiemployer pension and other multiemployer benefit plans and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(“MEPPs”).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Multiemployer Plans</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Low</w:t>
            </w:r>
          </w:p>
        </w:tc>
        <w:tc>
          <w:tcPr>
            <w:tcW w:w="11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Multiemployer</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2021</w:t>
            </w:r>
          </w:p>
        </w:tc>
        <w:tc>
          <w:tcPr>
            <w:tcW w:w="1040" w:type="dxa"/>
            <w:vAlign w:val="bottom"/>
          </w:tcPr>
          <w:p>
            <w:pPr>
              <w:jc w:val="right"/>
              <w:spacing w:after="0"/>
              <w:rPr>
                <w:sz w:val="20"/>
                <w:szCs w:val="20"/>
                <w:color w:val="auto"/>
              </w:rPr>
            </w:pPr>
            <w:r>
              <w:rPr>
                <w:rFonts w:ascii="Arial" w:cs="Arial" w:eastAsia="Arial" w:hAnsi="Arial"/>
                <w:sz w:val="16"/>
                <w:szCs w:val="16"/>
                <w:color w:val="auto"/>
              </w:rPr>
              <w:t>2,412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the timing of activity for the Company’s union resource-based projects. For the three month period ended March 31, 2022, multiemployer plan activity was driven primarily by acquisition-related project work within the Company’s Power Delivery operations, whereas for the three month period ended March 31, 2021, activity was driven primarily by projects within the Company’s Oil and Gas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The Company’s share repurchase programs provide for the repurchase of shares of MasTec common stock from time to time in open market transactions or in privately negotiated transactions in accordance with applicable securities laws. The Company’s share repurchase programs do not have an expiration date and may be modified or suspended at any time at the Company’s discretion. For the three month period ended March 31, 2022, the Company repurchased 0.2 million shares of its common stock for an aggregate purchase price totaling approximately $13.8 million, of which 0.1 million shares were repurchased for $8.6 million under the Company’s December 2018 $100 million share repurchase program, which completed the program. The remaining 0.1 million shares were repurchased for $5.2 million under the Company’s March 2020 $150 million share repurchase program. Subsequent to March 31, 2022, the Company repurchased an additional 0.5 million shares of its common stock for an aggregate purchase price of $35.8 million. There were no share repurchases under the Company’s share repurchase programs for the three month period ended March 31, 2021. As of March 31, 2022, $144.8 million was available for future share repurchases under the Company’s March 2020 share repurchase program.</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the three month periods ended March 31, 2022 and 2021, unrealized foreign currency translation activity, net, relates to the Company’s operations in Canada and Mexico. Unrealized investment activity for the three month period ended March 31, 2022 relates to unrealized gains on the Waha JV swaps, and for the three month period ended March 31, 2021, includes unrealized gains on the Waha JV swaps and on the AVCT convertible debentures. See Note 4 - Fair Value of Financial Instruments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2022 and 2021, the Company’s consolidated effective tax rates were 27.3% and 30.7%, respectively. The Company’s effective tax rate for the three month period ended March 31, 2022 included a net tax benefit of approximately $0.9 million related to the vesting of share-based payment awards, and for the three month period ended March 31, 2021, included the negative effect of $2.3 million related to non-deductible share-based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from the engineering, installation and maintenance of infrastructure, primarily in North America. In the first quarter of 2022, the Company began integration of HMG. The HMG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5"/>
          <w:szCs w:val="15"/>
          <w:color w:val="auto"/>
        </w:rPr>
        <w:t>acquisition was completed on December 30, 2021, with its initial balance sheet reported within the Company’s Power Delivery segment. During the first quarter of 2022, the Company reported portions of HMG’s operations within its Power Delivery, Communications and Oil and Gas segments, as appropriate, and HMG’s corporate functions within its Corporate results. Accordingly, HMG’s December 31, 2021 balance sheet information was recast to conform with the new reporting structure.</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 Company performs engineering, construction and maintenance services for pipelines and processing facilities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The Other segment includes certain equity investees, the services of which vary from those provided by the Company’s primary segments, as well as other small business units that perform construction and other services for certain international end-markets.</w:t>
      </w:r>
    </w:p>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0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568.6</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350.4</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1,775.4</w:t>
            </w:r>
          </w:p>
        </w:tc>
      </w:tr>
    </w:tbl>
    <w:p>
      <w:pPr>
        <w:spacing w:after="0" w:line="157" w:lineRule="exact"/>
        <w:rPr>
          <w:sz w:val="20"/>
          <w:szCs w:val="20"/>
          <w:color w:val="auto"/>
        </w:rPr>
      </w:pPr>
    </w:p>
    <w:p>
      <w:pPr>
        <w:ind w:left="340" w:hanging="332"/>
        <w:spacing w:after="0" w:line="273" w:lineRule="auto"/>
        <w:tabs>
          <w:tab w:leader="none" w:pos="393" w:val="left"/>
        </w:tabs>
        <w:numPr>
          <w:ilvl w:val="0"/>
          <w:numId w:val="9"/>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25.6% and 20.1% of Communications segment revenue for the three month periods ended March 31, 2022 and 2021,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0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0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r>
    </w:tbl>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For the three month period ended March 31, 2022, Power Delivery, Communications, Oil and Gas and Corporate EBITDA included $7.0 million, $0.8 million, $2.0 million and $3.8 million, respectively, of acquisition and integration costs related to the Company’s fourth quarter 2021 acquisitions.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30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321"/>
        </w:trPr>
        <w:tc>
          <w:tcPr>
            <w:tcW w:w="818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2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r>
    </w:tbl>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95"/>
        </w:trPr>
        <w:tc>
          <w:tcPr>
            <w:tcW w:w="8260" w:type="dxa"/>
            <w:vAlign w:val="bottom"/>
            <w:vMerge w:val="restart"/>
          </w:tcPr>
          <w:p>
            <w:pPr>
              <w:ind w:left="20"/>
              <w:spacing w:after="0" w:line="148" w:lineRule="exact"/>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8"/>
                <w:szCs w:val="8"/>
                <w:color w:val="auto"/>
              </w:rPr>
            </w:pPr>
          </w:p>
        </w:tc>
        <w:tc>
          <w:tcPr>
            <w:tcW w:w="1180" w:type="dxa"/>
            <w:vAlign w:val="bottom"/>
            <w:vMerge w:val="restart"/>
          </w:tcPr>
          <w:p>
            <w:pPr>
              <w:jc w:val="right"/>
              <w:ind w:right="459"/>
              <w:spacing w:after="0" w:line="148"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jc w:val="right"/>
              <w:ind w:right="563"/>
              <w:spacing w:after="0" w:line="95" w:lineRule="exact"/>
              <w:rPr>
                <w:sz w:val="20"/>
                <w:szCs w:val="20"/>
                <w:color w:val="auto"/>
              </w:rPr>
            </w:pP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54"/>
        </w:trPr>
        <w:tc>
          <w:tcPr>
            <w:tcW w:w="8260" w:type="dxa"/>
            <w:vAlign w:val="bottom"/>
            <w:tcBorders>
              <w:bottom w:val="single" w:sz="8" w:color="CCEEFF"/>
            </w:tcBorders>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2,100.9</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1,067.0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1,527.6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2,017.2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segment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7,121.4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40" w:hanging="332"/>
        <w:spacing w:after="0" w:line="257" w:lineRule="auto"/>
        <w:tabs>
          <w:tab w:leader="none" w:pos="3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Segment assets as of December 31, 2021 were recast during the first quarter of 2022 to conform with the change in segment reporting for the HMG acquisition, the effect of which was a decrease in Power Delivery segment assets of $192.2 million, an increase in assets for the Communications and Oil and Gas segments of $69.4 million and $77.0 million, respectively, and an increase in Corporate assets of $45.8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5"/>
              </w:rPr>
              <w:t>(48.1)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Plus: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59"/>
              <w:spacing w:after="0"/>
              <w:rPr>
                <w:sz w:val="20"/>
                <w:szCs w:val="20"/>
                <w:color w:val="auto"/>
              </w:rPr>
            </w:pPr>
            <w:r>
              <w:rPr>
                <w:rFonts w:ascii="Arial" w:cs="Arial" w:eastAsia="Arial" w:hAnsi="Arial"/>
                <w:sz w:val="16"/>
                <w:szCs w:val="16"/>
                <w:color w:val="auto"/>
                <w:w w:val="89"/>
              </w:rPr>
              <w:t>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340" w:type="dxa"/>
            <w:vAlign w:val="bottom"/>
          </w:tcPr>
          <w:p>
            <w:pPr>
              <w:jc w:val="center"/>
              <w:ind w:left="859"/>
              <w:spacing w:after="0"/>
              <w:rPr>
                <w:sz w:val="20"/>
                <w:szCs w:val="20"/>
                <w:color w:val="auto"/>
              </w:rPr>
            </w:pPr>
            <w:r>
              <w:rPr>
                <w:rFonts w:ascii="Arial" w:cs="Arial" w:eastAsia="Arial" w:hAnsi="Arial"/>
                <w:sz w:val="16"/>
                <w:szCs w:val="16"/>
                <w:color w:val="auto"/>
                <w:w w:val="89"/>
              </w:rPr>
              <w:t>85.2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9"/>
              <w:spacing w:after="0"/>
              <w:rPr>
                <w:sz w:val="20"/>
                <w:szCs w:val="20"/>
                <w:color w:val="auto"/>
              </w:rPr>
            </w:pPr>
            <w:r>
              <w:rPr>
                <w:rFonts w:ascii="Arial" w:cs="Arial" w:eastAsia="Arial" w:hAnsi="Arial"/>
                <w:sz w:val="16"/>
                <w:szCs w:val="16"/>
                <w:color w:val="auto"/>
                <w:w w:val="89"/>
              </w:rPr>
              <w:t>25.6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6"/>
        </w:trPr>
        <w:tc>
          <w:tcPr>
            <w:tcW w:w="8180" w:type="dxa"/>
            <w:vAlign w:val="bottom"/>
          </w:tcPr>
          <w:p>
            <w:pPr>
              <w:ind w:left="20"/>
              <w:spacing w:after="0"/>
              <w:rPr>
                <w:sz w:val="20"/>
                <w:szCs w:val="20"/>
                <w:color w:val="auto"/>
              </w:rPr>
            </w:pPr>
            <w:r>
              <w:rPr>
                <w:rFonts w:ascii="Arial" w:cs="Arial" w:eastAsia="Arial" w:hAnsi="Arial"/>
                <w:sz w:val="16"/>
                <w:szCs w:val="16"/>
                <w:color w:val="auto"/>
              </w:rPr>
              <w:t>Consolidated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89"/>
              </w:rPr>
              <w:t>78.7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r>
    </w:tbl>
    <w:p>
      <w:pPr>
        <w:spacing w:after="0" w:line="2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i w:val="1"/>
          <w:iCs w:val="1"/>
          <w:color w:val="auto"/>
        </w:rPr>
        <w:t xml:space="preserve">Foreign Operations and Other. </w:t>
      </w:r>
      <w:r>
        <w:rPr>
          <w:rFonts w:ascii="Arial" w:cs="Arial" w:eastAsia="Arial" w:hAnsi="Arial"/>
          <w:sz w:val="15"/>
          <w:szCs w:val="15"/>
          <w:color w:val="auto"/>
        </w:rPr>
        <w:t>MasTec operates primarily in the United States and Canada, and, to a far lesser extent, in Mexico, the Caribbean and India.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 derived from U.S. operations totaled $1.9 billion and $1.7 billion for the three month periods ended March 31, 2022 and 2021, respectively. Revenue derived from foreign operations totaled $24.5 million and $46.4 million for the three month periods ended March 31, 2022 and 2021, respectively, which was derived primarily from the Company’s Canadian operations in its Oil and Gas segment, and, to a lesser extent, from the Company’s operations in Mexico. Long-lived assets held in the U.S. included property and equipment, net, of $1.5 billion and $1.4 billion as of March 31, 2022 and December 31, 2021, respectively, and, for the Company’s businesses in foreign countries, totaled $24.6 million and $24.5 million, respectively. Intangible assets and goodwill, net, related to the Company’s U.S. operations totaled approximately $2.2 billion and $2.1 billion as of March 31, 2022 and December 31, 2021, respectively, and for the Company’s businesses in foreign countries, totaled approximately $42.8 million and $43.8 million as of March 31, 2022 and December 31, 2021, respectively. Substantially all of the Company’s long-lived and intangible assets and goodwill in foreign countries relate to its Canadian operations. As of March 31, 2022 and December 31, 2021, amounts due from customers from which foreign revenue was derived accounted for approximately 1% and 2%, respectively, of the Company’s consolidated net accounts receivable position, which represents accounts receivable, net, less deferred revenue. Revenue from governmental entities for the three month periods ended March 31, 2022 and 2021 totaled approximately 6% and 4% of total revenue, respectively, substantially all of which was derived from the Company’s U.S. operations.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three month period ended March 31, 2022, no customer represented greater than 10% of the Company’s total consolidated revenue, and for the three month period ended March 31, 2021, Enbridge, Inc. represented 25% of the Company’s total consolidated revenue. The Company’s relationship with Enbridge, Inc. is based upon various construction contracts for pipeline activities, for which the related revenue is included within the Oil and Gas segment.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third quarter of 2021, a settlement was finalized in favor of MasTec for approximately $25 million. As of March 31, 2022, $19 million remained outstanding, which amount is due in 2022.</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Commitments and Contingencies</w:t>
      </w:r>
    </w:p>
    <w:p>
      <w:pPr>
        <w:spacing w:after="0" w:line="1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2022 and December 31, 2021, there were $217.0 million and $188.5 million, respectively, of letters of credit issued under the Company’s credit facilities. The Company is not aware of any material claims relating to its outstanding letters of credit as of March 31, 2022 or December 31, 2021.</w:t>
      </w:r>
    </w:p>
    <w:p>
      <w:pPr>
        <w:spacing w:after="0" w:line="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b w:val="1"/>
          <w:bCs w:val="1"/>
          <w:i w:val="1"/>
          <w:iCs w:val="1"/>
          <w:color w:val="auto"/>
        </w:rPr>
        <w:t xml:space="preserve">Performance and Payment Bonds. </w:t>
      </w:r>
      <w:r>
        <w:rPr>
          <w:rFonts w:ascii="Arial" w:cs="Arial" w:eastAsia="Arial" w:hAnsi="Arial"/>
          <w:sz w:val="14"/>
          <w:szCs w:val="14"/>
          <w:color w:val="auto"/>
        </w:rPr>
        <w:t>In the ordinary course of business, MasTec is required by certain customers to provide performance and payment bonds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2022 and December 31, 2021, outstanding performance and payment bonds approximated $2,230.2 million and $2,155.2 million, respectively, and estimated costs to complete projects secured by these bonds totaled $780.1 million and $768.8 million as of March 31, 2022 and December 31, 2021, respectively. Included in these balances as of both March 31, 2022 and December 31,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Investment and Strategic Arrangements. </w:t>
      </w:r>
      <w:r>
        <w:rPr>
          <w:rFonts w:ascii="Arial" w:cs="Arial" w:eastAsia="Arial" w:hAnsi="Arial"/>
          <w:sz w:val="15"/>
          <w:szCs w:val="15"/>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2022, the Company was not aware of material future claims against it in connection with these arrangements. Included in the Company’s cash balances as of March 31, 2022 and December 31, 2021 are amounts held by entities that are proportionately consolidated totaling $26.8 million and $14.6 million, respectively. These amounts are available to support the operations of those entities, but are not available for the Company’s other operations.</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Self-Insurance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 Cash balances held by the Company’s captive insurance company, which totaled approximately $0.3 million as of both March 31, 2022 and December 31, 2021, are generally not available for use in the Company’s other operations.</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March 31, 2022 and December 31, 2021, MasTec’s estimated liability for unpaid claims and associated expenses, including incurred but not reported losses related to its insurance policies, totaled $186.2 million and $189.8 million, respectively, of which $119.5 million and $126.5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$4.6 million and $4.2 million as of March 31, 2022 and December 31, 2021, respectively.</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$154.3 million and $125.7 million as of March 31, 2022 and December 31, 2021, respectively. As of both March 31, 2022 and December 31, 2021, outstanding surety bonds related to self-insurance programs amounted to $52.9 million.</w:t>
      </w:r>
    </w:p>
    <w:p>
      <w:pPr>
        <w:spacing w:after="0" w:line="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6"/>
          <w:szCs w:val="16"/>
          <w:color w:val="auto"/>
        </w:rPr>
        <w:t>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March 31, 2022,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HMG acquisition, the Company assumed an obligation related to HMG’s 2016 withdrawal from a multiemployer pension plan, under which HMG is obligated to make quarterly payments of approximately $74,000 through 2036. As of March 31, 2022 and December 31, 2021, a withdrawal liability of approximately $3.3 million and $3.4 million, respectively, was recorded within other current and other long-term liabilities within the consolidated balance sheets related to this obligation.</w:t>
      </w: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the Company to indemnity claims, liabilities and related litigation. As of both March 31, 2022 and December 31, 2021, the Company had accrued project close-out liabilities of approximately $40 million. The Company is not aware of any other material asserted or unasserted claims in connection with its potential indemnity obligations.</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Concentrations of Risk. </w:t>
      </w:r>
      <w:r>
        <w:rPr>
          <w:rFonts w:ascii="Arial" w:cs="Arial" w:eastAsia="Arial" w:hAnsi="Arial"/>
          <w:sz w:val="15"/>
          <w:szCs w:val="15"/>
          <w:color w:val="auto"/>
        </w:rPr>
        <w:t>In the third quarter of 2021, DIRECTV® was spun off from AT&amp;T. As a result, for customer reporting purposes, AT&amp;T and DIRECTV®</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reported separately and all prior periods have been updated to give retroactive effect to the spin-off of DIRECTV® from AT&amp;T. For the three month period ended March 31, 2022, the Company had approximately 850 customers. There were no customers that represented greater than 10% of the Company’s consolidated net accounts receivable position, which represents accounts receivable, net, less deferred revenue, as of either March 31, 2022 or December 31, 2021. For the three month periods ended March 31, 2022 and 2021, the Company derived approximately 42% and 66%, respectively, of its revenue from its top ten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March 31, 2022 and 2021, such payments to related party entities totaled approximately $6.8 million and $20.5 million, respectively. Payables associated with such arrangements totaled approximately $0.9 million and $0.6 million as of March 31, 2022 and December 31, 2021, respectively. Revenue from such related party arrangements totaled approximately $3.8 million and $1.1 million for the three month periods ended March 31, 2022 and 2021, respectively. Related amounts receivable, net, totaled approximately $3.3 million and $0.4 million as of March 31, 2022 and December 31, 2021, respectively.</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MasTec paid CCI $1.0 million and $5.0 million, net of rebates, for the three month periods ended March 31, 2022 and 2021, respectively, related to this activity. Amounts payable to CCI, net of rebates receivable, totaled approximately $0.6 million and $0.8 million as of March 31, 2022 and December 31, 2021, respectively.</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 ended March 31, 2022, subcontracting expenses under these arrangements were de minimis, and for the three month period ended March 31, 2021, MasTec incurred subcontracting expenses of approximately $29.0 million. As of March 31, 2022, related amounts payable were de minimis, and as of December 31, 2021, totaled approximately $0.5 million.</w:t>
      </w:r>
    </w:p>
    <w:p>
      <w:pPr>
        <w:spacing w:after="0" w:line="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both the three month periods ended March 31, 2022 and 2021, MasTec paid approximately $0.6 million related to this leasing arrangement.</w:t>
      </w:r>
    </w:p>
    <w:p>
      <w:pPr>
        <w:spacing w:after="0" w:line="6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MasTec may perform additional construction services for the Franchise in the future. For the three month period ended March 31, 2022 and 2021, charges under these arrangements were de minimis. Payments for other expenses related to the Franchise for both the three month periods ended March 31, 2022 and 2021 totaled approximately $0.1 million.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In connection with a fourth quarter 2021 acquisition, MasTec has a subcontracting arrangement to perform construction services for an entity, of which José 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Mas bought a minority interest, and of which a member of management of a MasTec subsidiary owns the remaining interest.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6"/>
          <w:szCs w:val="16"/>
          <w:color w:val="auto"/>
        </w:rPr>
        <w:t>For the three month period ended March 31, 2022, revenue recognized by MasTec under this arrangement totaled approximately $28.8 million, and as of March 31, 2022, related amounts receivable totaled approximately $13.7 million. There were no amounts receivable as of December 31, 2021. MasTec pays a management fee to this entity in connection with the subcontracting arrangement. MasTec incurred approximately $0.2 million of management fee expense related to this arrangement for the three month period ended March 31, 2022, which amount was payable as of March 31, 2022.</w:t>
      </w:r>
    </w:p>
    <w:p>
      <w:pPr>
        <w:spacing w:after="0" w:line="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leases employees and provides satellite communication services to a customer in which Jorge Mas and José R. Mas own a majority interest. Charges to this customer under these arrangements totaled approximately $0.3 million for both the three month periods ended March 31, 2022 and 2021. As of both March 31, 2022 and December 31, 2021, related amounts receivable totaled approximately $0.8 million.</w:t>
      </w:r>
    </w:p>
    <w:p>
      <w:pPr>
        <w:spacing w:after="0" w:line="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has advanced amounts on behalf of an entity that was acquired in 2021. Amounts outstanding for such advances, which are expected to be settled under customary terms associated with the related purchase agreement, totaled approximately $1.8 million and $0.5 million as of March 31, 2022 and December 31, 2021, respectively. Additionally, in 2021, the Company advanced amounts to the former owner of an acquired business. There were no remaining amounts outstanding as of March 31, 2022, and as of December 31, 2021, approximately $1.0 million of such advances was outstanding. In addition, the Company, through a 2020 acquisition, has a 25% interest in an entity, under which the acquired business and the 25% owned entity have a subcontracting arrangement. The Company’s interest in this entity, for which post acquisition operating activity is de minimis, is accounted for as an equity method investment. For the three month period ended March 31, 2022, the Company made equity contributions to this entity of approximately $0.5 million. As of March 31, 2022 and December 31, 2021, the Company’s net investment in this entity was a liability of approximately $1.1 million and $1.6 million, respectively, which net amounts each included approximately $2.3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both the three month periods ended March 31, 2022 and 2021, approximately $0.2 million of income was recognized in connection with these arrangements. As of March 31, 2022 and December 31, 2021, related amounts receivable totaled $0.6 million and $0.4 million,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split dollar life insurance agreements with trusts, for one of which Jorge Mas is a trustee and for the other of which José R. Mas is a trustee. There were no payments made in connection with these agreements in either of the three month periods ended March 31, 2022 or 2021, and life insurance assets associated with these agreements totaled approximately $24.0 million as of both March 31, 2022 and December 31, 2021.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2021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8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MANAGEMENT’S DISCUSSION AND ANALYSIS OF FINANCIAL CONDITION AND RESULTS OF OPERATIONS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and analysis of our business, financial condition and results of operations as of and for the three month periods ended March 31, 2022 and 2021.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2021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 and General Economic Conditions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COVID-19 pandemic has disrupted business activities and global economic conditions since 2020, and has negatively affected our operations during the same period. While the adverse effects of the COVID-19 pandemic have begun to subside, its effects vary by region, and uncertainties arising from the COVID-19 pandemic could continue to disrupt economic conditions and business activities, particularly as new variants of COVID-19 arise. The extent to which the COVID-19 pandemic, including the recent and emerging variants, could affect our business, operations and financial results is uncertain as it will depend upon numerous evolving factors that we may not be able to accurately predict. The length and extent of any continuing economic and market disruptions are unknown, and therefore, any future impacts on our business, financial condition and/or results of operations cannot be quantified or predicted with specificity.</w:t>
      </w:r>
    </w:p>
    <w:p>
      <w:pPr>
        <w:spacing w:after="0" w:line="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believe that we have taken appropriate steps to mitigate the effects of the COVID-19 pandemic on our business, and our business model has, thus far, proven resilient. We continue to actively monitor the effects of the COVID-19 pandemic on our operations and to the extent that future business activities are adversely affected by the pandemic, we intend to take appropriate actions designed to mitigate these impacts. Notwithstanding moderation of the COVID-19 pandemic and related governmental and other restrictions, we may continue to experience direct and indirect negative effects on our business and operations from possible longer-term changes in consumer and customer behavior and/or from negative economic conditions, including recent inflationary effects, rising interest rates and supply chain disruptions, including limited availability of products.</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March 31, 2022, we maintained a strong balance sheet, have strong relationships with our banking partners and had ample liquidity totaling approximately $1.0 billion, comprising $0.8 billion of availability under our Credit Facility and $233 million of cash. We believe that our financial position, strong cash flows and operational strengths will enable us to manage the current uncertainties resulting from the COVID-19 pandemic. Our business operations typically generate significant cash flow, affording us the flexibility to invest strategically in our efforts to maximize shareholder value through mergers and acquisitions, share repurchases and capital expenditures. We carefully manage our liquidity and will continue to monitor any potential effects from the pandemic and changing economic conditions on our financial results, cash flows and/or working capital and intend to take appropriate actions in efforts to mitigate any impacts.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and distribution, wireless, wireline/fiber and customer fulfillment activities; power generation, primarily from clean energy and renewable sources; pipeline infrastructure, including natural gas pipeline and distribution infrastructure; heavy civil; and industrial infrastructure. Our customers are primarily in these industries. Including our predecessor companies, we have been in business for over 90 years. For the twelve month period ended March 31, 2022, we had an average of approximately 660 locations and approximately 27,000 employees, and as of March 31, 2022, we had approximately 750 locations and 28,000 employees. We offer our services under the MasTec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 service marks. We have been consistently ranked among the top specialty contractors by Engineering News-Record for the past several years.</w:t>
      </w:r>
    </w:p>
    <w:p>
      <w:pPr>
        <w:spacing w:after="0" w:line="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construction or installation of an entire infrastructure system or specified units within an infrastructure system.</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In the first quarter of 2022, we began integration of HMG. The HMG acquisition was completed on December 30, 2021, with its initial balance sheet reported within our Power Delivery segment. During the first quarter of 2022, we reported portions of HMG’s operations within our Power Delivery, Communications and Oil and Gas segments, as appropriate, and HMG’s corporate functions within our Corporate results. Accordingly, HMG’s December 31, 2021 balance sheet information was recast to conform with the new reporting structure.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62% of our estimated March 31, 2022 backlog in 2022. The following table presents 18-month estimated backlog by reportable segment as of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Reportable Segment (in millions):</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6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w:t>
            </w: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07"/>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4,583</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321"/>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32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Arial" w:cs="Arial" w:eastAsia="Arial" w:hAnsi="Arial"/>
                <w:sz w:val="16"/>
                <w:szCs w:val="16"/>
                <w:color w:val="auto"/>
              </w:rPr>
              <w:t>Estimated 18-month backlog</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10,645</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9,939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hanging="332"/>
        <w:spacing w:after="0" w:line="312" w:lineRule="auto"/>
        <w:tabs>
          <w:tab w:leader="none" w:pos="355"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Backlog as of December 31, 2021 was recast during the first quarter of 2022 to conform with the change in segment reporting for the HMG acquisition, the effect of which was a decrease in Power Delivery segment backlog of $223.0 million, and an increase in backlog for the Communications and Oil and Gas segments of $79.0 million and $144.0 million, respectively.</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March 31, 2022, 65%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including supply chain disruptions, inflationary and/or COVID-19 effects, climate-related matters, political unrest, such as the ongoing military conflict in Ukraine, and/or other project-related factors. These effects, among others,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2022, total 18-month backlog differed from the amount of our remaining performance obligations due primarily to the inclusion of $6.9 billion of estimated future revenue under master service and other service agreements within our backlog estimates, as described above, and the exclusion of approximately $1.1 billion of remaining performance obligations and estimated future revenue under master service and other service agreements in excess of 18 months, which amount is not included in the backlog estimates above. Backlog expected to be realized in 2022 differs from the amount of our remaining performance obligations expected to be recognized for the same period due primarily to the inclusion of approximately $2.7 billion of estimated future revenue under master service and other service agreements that is included within the related backlog estimate.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color w:val="auto"/>
        </w:rPr>
        <w:t>We closely monitor the effects of changes in economic and market conditions on our customers, including the potential effects of climate-related matters, the COVID-19 pandemic and the ongoing military conflict in Ukraine.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public health issues, supply chain or inflationary issues, or rising interest rates; (ii) new or changing regulatory requirements, governmental policy changes, and customer or industry initiatives, including with respect to climate change, sustainability and related environmental concerns, and changes in governmental permitting; (iii) economic, political or other market developments or uncertainty, such as the ongoing military conflict in Ukraine and/or access to capital for customers in the industries we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serve; (iv) changes in technology, tax and other incentives; and (v) mergers, acquisitions or other business transactions among the customers we serve.</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Changes in demand for, and fluctuations in market prices for, oil, gas and other energy sources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fluctuations, as well as the highly competitive nature of our industry, can result in changes in the levels of activity, the project mix, and/or the profitability of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Our revenue and results of operations can be subject to seasonal and other variations. These variations are influenced by weather, customer spending patterns, bidding seasons, project schedules, holidays, regulatory matters and/or timing, in particular, for large non-recurring projects, and the effects of market uncertainty or disruptions, including from public health matters or political unrest, such as the ongoing military conflict in Ukraine. 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wildfires, hurricanes or other severe weather, making it difficult to predict quarterly revenue and margin variations.</w:t>
      </w:r>
    </w:p>
    <w:p>
      <w:pPr>
        <w:spacing w:after="0" w:line="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future effects of public health matters, such as the COVID-19 pandemic, climate-related matters and macroeconomic trends and events, such as inflation and interest rate levels, as well as global events, such as the ongoing military conflict in Ukraine.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Refer to Note 1 - Business, Basis of Presentation and Significant Accounting Policies in the notes to the consolidated financial statements, which is incorporated by reference, and to our 2021 Form 10-K for a more detailed discussion of our significant accounting policies and critical accounting estimates. As described in more detail in Note 1 - Business, Basis of Presentation and Significant Accounting Policies, our consolidated financial statements include certain reclassifications of prior period amounts to conform with the current period presentation. For details of our first quarter 2022 quarterly review for indicators of impairment, refer to Note 3 - Acquisitions, Goodwill and Other Intangible Assets in the notes to the consolidated financial statements, which is incorporated by reference.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w w:val="93"/>
              </w:rPr>
              <w:t>For the Three Months Ended March 31,</w:t>
            </w:r>
          </w:p>
        </w:tc>
        <w:tc>
          <w:tcPr>
            <w:tcW w:w="960" w:type="dxa"/>
            <w:vAlign w:val="bottom"/>
            <w:tcBorders>
              <w:bottom w:val="single" w:sz="8" w:color="auto"/>
            </w:tcBorders>
          </w:tcPr>
          <w:p>
            <w:pPr>
              <w:spacing w:after="0"/>
              <w:rPr>
                <w:sz w:val="18"/>
                <w:szCs w:val="18"/>
                <w:color w:val="auto"/>
              </w:rPr>
            </w:pPr>
          </w:p>
        </w:tc>
      </w:tr>
      <w:tr>
        <w:trPr>
          <w:trHeight w:val="210"/>
        </w:trPr>
        <w:tc>
          <w:tcPr>
            <w:tcW w:w="5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88.7 %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85.3 %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r>
      <w:tr>
        <w:trPr>
          <w:trHeight w:val="23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income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r>
      <w:tr>
        <w:trPr>
          <w:trHeight w:val="210"/>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 attributable to MasTec, Inc.</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bl>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6"/>
                <w:szCs w:val="16"/>
                <w:b w:val="1"/>
                <w:bCs w:val="1"/>
                <w:color w:val="auto"/>
                <w:w w:val="89"/>
              </w:rPr>
              <w:t>Revenue</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6"/>
                <w:szCs w:val="16"/>
                <w:b w:val="1"/>
                <w:bCs w:val="1"/>
                <w:color w:val="auto"/>
              </w:rPr>
              <w:t>EBITDA and EBITDA Margin</w:t>
            </w:r>
          </w:p>
        </w:tc>
        <w:tc>
          <w:tcPr>
            <w:tcW w:w="740" w:type="dxa"/>
            <w:vAlign w:val="bottom"/>
            <w:tcBorders>
              <w:bottom w:val="single" w:sz="8" w:color="auto"/>
            </w:tcBorders>
          </w:tcPr>
          <w:p>
            <w:pPr>
              <w:spacing w:after="0"/>
              <w:rPr>
                <w:sz w:val="18"/>
                <w:szCs w:val="18"/>
                <w:color w:val="auto"/>
              </w:rPr>
            </w:pPr>
          </w:p>
        </w:tc>
      </w:tr>
      <w:tr>
        <w:trPr>
          <w:trHeight w:val="158"/>
        </w:trPr>
        <w:tc>
          <w:tcPr>
            <w:tcW w:w="4160" w:type="dxa"/>
            <w:vAlign w:val="bottom"/>
          </w:tcPr>
          <w:p>
            <w:pPr>
              <w:spacing w:after="0"/>
              <w:rPr>
                <w:sz w:val="13"/>
                <w:szCs w:val="13"/>
                <w:color w:val="auto"/>
              </w:rPr>
            </w:pPr>
          </w:p>
        </w:tc>
        <w:tc>
          <w:tcPr>
            <w:tcW w:w="220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94"/>
              </w:rPr>
              <w:t>For the Three Months Ended</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gridSpan w:val="6"/>
          </w:tcPr>
          <w:p>
            <w:pPr>
              <w:jc w:val="center"/>
              <w:ind w:right="760"/>
              <w:spacing w:after="0" w:line="158" w:lineRule="exact"/>
              <w:rPr>
                <w:sz w:val="20"/>
                <w:szCs w:val="20"/>
                <w:color w:val="auto"/>
              </w:rPr>
            </w:pPr>
            <w:r>
              <w:rPr>
                <w:rFonts w:ascii="Arial" w:cs="Arial" w:eastAsia="Arial" w:hAnsi="Arial"/>
                <w:sz w:val="16"/>
                <w:szCs w:val="16"/>
                <w:b w:val="1"/>
                <w:bCs w:val="1"/>
                <w:color w:val="auto"/>
                <w:w w:val="92"/>
              </w:rPr>
              <w:t>For the Three Months</w:t>
            </w:r>
          </w:p>
        </w:tc>
        <w:tc>
          <w:tcPr>
            <w:tcW w:w="740" w:type="dxa"/>
            <w:vAlign w:val="bottom"/>
          </w:tcPr>
          <w:p>
            <w:pPr>
              <w:spacing w:after="0"/>
              <w:rPr>
                <w:sz w:val="13"/>
                <w:szCs w:val="13"/>
                <w:color w:val="auto"/>
              </w:rPr>
            </w:pPr>
          </w:p>
        </w:tc>
      </w:tr>
      <w:tr>
        <w:trPr>
          <w:trHeight w:val="210"/>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6"/>
                <w:szCs w:val="16"/>
                <w:b w:val="1"/>
                <w:bCs w:val="1"/>
                <w:color w:val="auto"/>
                <w:w w:val="97"/>
              </w:rPr>
              <w:t>March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6"/>
                <w:szCs w:val="16"/>
                <w:b w:val="1"/>
                <w:bCs w:val="1"/>
                <w:color w:val="auto"/>
                <w:w w:val="94"/>
              </w:rPr>
              <w:t>Ended March 31,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Reportable Segment: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60"/>
              <w:spacing w:after="0" w:line="215" w:lineRule="exact"/>
              <w:rPr>
                <w:sz w:val="20"/>
                <w:szCs w:val="20"/>
                <w:color w:val="auto"/>
              </w:rPr>
            </w:pPr>
            <w:r>
              <w:rPr>
                <w:rFonts w:ascii="Arial" w:cs="Arial" w:eastAsia="Arial" w:hAnsi="Arial"/>
                <w:sz w:val="16"/>
                <w:szCs w:val="16"/>
                <w:b w:val="1"/>
                <w:bCs w:val="1"/>
                <w:color w:val="auto"/>
                <w:w w:val="97"/>
              </w:rPr>
              <w:t xml:space="preserve">2022 </w:t>
            </w:r>
            <w:r>
              <w:rPr>
                <w:rFonts w:ascii="Arial" w:cs="Arial" w:eastAsia="Arial" w:hAnsi="Arial"/>
                <w:sz w:val="21"/>
                <w:szCs w:val="21"/>
                <w:b w:val="1"/>
                <w:bCs w:val="1"/>
                <w:color w:val="auto"/>
                <w:w w:val="97"/>
                <w:vertAlign w:val="superscript"/>
              </w:rPr>
              <w:t>(a)</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r>
      <w:tr>
        <w:trPr>
          <w:trHeight w:val="30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321"/>
        </w:trPr>
        <w:tc>
          <w:tcPr>
            <w:tcW w:w="41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2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167.6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321"/>
        </w:trPr>
        <w:tc>
          <w:tcPr>
            <w:tcW w:w="41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2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NM</w:t>
            </w: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3"/>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6"/>
        </w:trPr>
        <w:tc>
          <w:tcPr>
            <w:tcW w:w="4160" w:type="dxa"/>
            <w:vAlign w:val="bottom"/>
          </w:tcPr>
          <w:p>
            <w:pPr>
              <w:ind w:left="140"/>
              <w:spacing w:after="0"/>
              <w:rPr>
                <w:sz w:val="20"/>
                <w:szCs w:val="20"/>
                <w:color w:val="auto"/>
              </w:rPr>
            </w:pPr>
            <w:r>
              <w:rPr>
                <w:rFonts w:ascii="Arial" w:cs="Arial" w:eastAsia="Arial" w:hAnsi="Arial"/>
                <w:sz w:val="16"/>
                <w:szCs w:val="16"/>
                <w:color w:val="auto"/>
              </w:rPr>
              <w:t>Consolidated Results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1,954.4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1,775.4</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198.4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11.2 %</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55" w:lineRule="exact"/>
        <w:rPr>
          <w:sz w:val="20"/>
          <w:szCs w:val="20"/>
          <w:color w:val="auto"/>
        </w:rPr>
      </w:pPr>
    </w:p>
    <w:p>
      <w:pPr>
        <w:ind w:left="340" w:right="460" w:hanging="332"/>
        <w:spacing w:after="0" w:line="273" w:lineRule="auto"/>
        <w:tabs>
          <w:tab w:leader="none" w:pos="355"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month period ended March 31, 2022, Power Delivery, Communications, Oil and Gas and Corporate EBITDA included $7.0 million, $0.8 million, $2.0 million and $3.8 million, respectively, of acquisition and integration costs related to our fourth quarter 2021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2022 Compared to Three Months Ended March 31, 2021</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2022, consolidated revenue totaled $1,954 million as compared with $1,775 million for the same period in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of $179 million, or 10%. Revenue increased in our Power Delivery segment by $517 million, or 387%, in our Communications segment by $96 million, or 17%, and in our Clean Energy and Infrastructure segment by $86 million, or 24%, whereas revenue in our Oil and Gas segment decreased by $515 million, or 71%. Acquisitions contributed $705 million in increased revenue for the three month period ended March 31, 2022, whereas organic revenue decreased by approximately $526 million, or 30%, as compared with the same period in 2021.</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$664 million for the three month period ended March 31, 2022, as compared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9" w:name="page30"/>
    <w:bookmarkEnd w:id="29"/>
    <w:p>
      <w:pPr>
        <w:jc w:val="both"/>
        <w:spacing w:after="0" w:line="261" w:lineRule="auto"/>
        <w:rPr>
          <w:sz w:val="20"/>
          <w:szCs w:val="20"/>
          <w:color w:val="auto"/>
        </w:rPr>
      </w:pPr>
      <w:r>
        <w:rPr>
          <w:rFonts w:ascii="Arial" w:cs="Arial" w:eastAsia="Arial" w:hAnsi="Arial"/>
          <w:sz w:val="16"/>
          <w:szCs w:val="16"/>
          <w:color w:val="auto"/>
        </w:rPr>
        <w:t>with $569 million for the same period in 2021, an increase of $96 million, or 17%. Acquisitions contributed $63 million of revenue for the three month period ended March 31, 2022, and organic revenue increased by approximately $33 million, or 6%, as compared with the same period in 2021. The increase in organic revenue was driven primarily by higher levels of project activity.</w:t>
      </w:r>
    </w:p>
    <w:p>
      <w:pPr>
        <w:spacing w:after="0" w:line="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$436 million for the three month period ended March 31,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$350 million for the same period in 2021, an increase of $86 million, or 24%. Acquisitions contributed $47 million of revenue for the three month period ended March 31, 2022, and organic revenue increased by $39 million, or 11%, as compared with the same period in 2021, due primarily to higher levels of project activity and mix.</w:t>
      </w:r>
    </w:p>
    <w:p>
      <w:pPr>
        <w:spacing w:after="0" w:line="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$211 million for three month period ended March 31, 2022, as compared with $726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a decrease of $515 million, or 71%. For the three month period ended March 31, 2022, acquisitions contributed $55 million of revenue, whereas organic revenue decreased by $570 million, or 79%, as compared with the same period in 2021, primarily due to a project timing-related decrease in large diameter project activity as well as lower levels of activity for other projects.</w:t>
      </w:r>
    </w:p>
    <w:p>
      <w:pPr>
        <w:spacing w:after="0" w:line="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Power Delivery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Delivery revenue was $651 million for the three month period ended March 31, 2022, as compared with $134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2021, an increase of $517 million, or 387%. For the three month period ended March 31, 2022, acquisitions contributed $540 million of revenue, whereas organic revenue decreased by approximately $23 million, or 17%, as compared with the same period in 2021, primarily due to timing and mix of project activity.</w:t>
      </w:r>
    </w:p>
    <w:p>
      <w:pPr>
        <w:spacing w:after="0" w:line="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approximately $219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14%, to $1,733 million for the three month period ended March 31, 2022 from $1,514 million for the same period in 2021. Higher levels of revenue contributed an increase of $153 million in costs of revenue, excluding depreciation and amortization, and reduced productivity contributed an increase of approximately $67 million. Costs of revenue, excluding depreciation and amortization, as a percentage of revenue increased by approximately 340 basis points, from 85.3% of revenue for the three month period ended March 31, 2021, to 88.7% of revenue for the same period in 2022. The basis point increase was due primarily to segment revenue mix, including lower levels of revenue for our oil and gas operations, as well as project inefficiencies and project start-up costs.</w:t>
      </w:r>
    </w:p>
    <w:p>
      <w:pPr>
        <w:spacing w:after="0" w:line="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$85 million, or 4.4% of revenue, for the three month period ended March 31, 2022, as compared with $79 million, or 4.5%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2021, an increase of $6 million, or 7%. Acquisitions contributed $27 million of depreciation for the three month period ended March 31, 2022 and organic depreciation decreased by $21 million, or 27%, due primarily to a reduction in capital investments related to large diameter pipeline project activity. As a percentage of revenue, depreciation decreased by approximately 10 basis points.</w:t>
      </w:r>
    </w:p>
    <w:p>
      <w:pPr>
        <w:spacing w:after="0" w:line="7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$26 million, or 1.3% of revenue, for the three month period ended March 31, 2022,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$11 million, or 0.6% of revenue, for the same period in 2021, an increase of approximately $14 million, or 128%. Acquisitions contributed $18 million of amortization for the three month period ended March 31, 2022 and organic amortization decreased by approximately $3 million, or 29% due to the effects of timing of amortization for certain intangible assets. As a percentage of revenue, amortization of intangible assets increased by approximately 70 basis points.</w:t>
      </w:r>
    </w:p>
    <w:p>
      <w:pPr>
        <w:spacing w:after="0" w:line="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totaled $145 million, or 7.4% of revenue, for the three month period ended March 31,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$71 million, or 4.0% of revenue, for the same period in 2021, for an increase of $75 million, or 106%. Acquisitions contributed $57 million of general and administrative expenses for the three month period ended March 31, 2022. For the three month period ended March 31, 2022, general and administrative expenses not related to acquisitions increased by approximately $18 million, or approximately 25%, as compared with the same period in the prior year, primarily due to increases in travel and information technology and other administrative expenses, as well as the effect of prior year recoveries of provisions for credit losses. Overall, general and administrative expenses, including approximately $14 million of acquisition and integration costs, increased by approximately 350 basis points as a percentage of revenue for the three month period ended March 31, 2022 as compared with the same period in 2021.</w:t>
      </w:r>
    </w:p>
    <w:p>
      <w:pPr>
        <w:spacing w:after="0" w:line="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approximately $16 million, or approximately 0.8% of revenue,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2022, as compared with approximately $12 million, or 0.7% of revenue, for the same period in 2021, an increase of $4 million, or approximately 29%. The increase in interest expense resulted primarily from credit facility activity, which increased due to higher average balances, including from indebtedness incurred in connection with our 2021 acquisitions, as compared with the same period in 2021.</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net. </w:t>
      </w:r>
      <w:r>
        <w:rPr>
          <w:rFonts w:ascii="Arial" w:cs="Arial" w:eastAsia="Arial" w:hAnsi="Arial"/>
          <w:sz w:val="15"/>
          <w:szCs w:val="15"/>
          <w:color w:val="auto"/>
        </w:rPr>
        <w:t>Equity in earnings or losses of unconsolidated affiliates includes our share of income or losses from equity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investees. For the both three month periods ended March 31, 2022 and 2021, equity in earnings from unconsolidated affiliates, net, totaled approximately $7 million and related primarily to our investments in the Waha JVs, partially offset by equity in losses from investments in certain telecommunications and other entities.</w:t>
      </w:r>
    </w:p>
    <w:p>
      <w:pPr>
        <w:spacing w:after="0" w:line="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consists primarily of gains or losses from changes to estimated Earn-out accruals, certain legal/other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settlements, gains or losses, or changes in estimated recoveries from, certain assets and investments, and other miscellaneous income or expense. For the three month period ended March 31, 2022, other expense, net, included approximately $5 million of expense, net, from changes in the fair value of certain investments and income from strategic arrangements. For the three month period ended March 31, 2021, other income, net, included approximately $1 million, net, of expense from certain investments and income from strategic arrangements, offset by miscellaneous other income.</w:t>
      </w:r>
    </w:p>
    <w:p>
      <w:pPr>
        <w:spacing w:after="0" w:line="8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Benefit from (provision for) income taxes. </w:t>
      </w:r>
      <w:r>
        <w:rPr>
          <w:rFonts w:ascii="Arial" w:cs="Arial" w:eastAsia="Arial" w:hAnsi="Arial"/>
          <w:sz w:val="15"/>
          <w:szCs w:val="15"/>
          <w:color w:val="auto"/>
        </w:rPr>
        <w:t>Income tax benefit was $13 million for the three month period ended March 31, 2022. Income tax expense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 period ended March 31, 2021 was $29 million. Pre-tax losses totaled $48 million for the three month period ended March 31, 2022 whereas pre-tax income totaled $95 million for the same period in 2021. For the three month period ended March 31, 2022, our effective tax rate decreased to 27.3% from 30.7% for the same period in 2021. Our effective tax rate in the first quarter of 2022 included a net tax benefit of approximately $0.9 million related to the vesting of share-based payment awards, whereas in the first quarter of 2021, included the negative effect of $2.3 million related to non-deductible share-based compensation.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Analysis of EBITDA by Segment</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$40 million, or 6.1% of revenue, for the three month period ended March 31,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$49 million, or 8.6% of revenue, for the same period in 2021, a decrease of approximately $9 million, or 17%. As a percentage of revenue, EBITDA decreased by approximately 250 basis points, or approximately $17 million, due primarily to project timing delays and inefficiencies, as well as the effects of project start-up costs and acquisition and integration costs. Higher levels of revenue contributed an increase in EBITDA of $8 million.</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$11 million, or 2.5%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March 31, 2022, as compared with EBITDA of $11 million, or 3.1% of revenue, for the same period in 2021. As a percentage of revenue, EBITDA decreased by approximately 60 basis points, or $3 million, due to project inefficiencies, including from project timing delays. Higher levels of revenue contributed an increase in EBITDA of approximately $3 million.</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$22 million, or 10.2% of revenue, for the three month period ended March 31,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$168 million, or 23.1% of revenue, for the same period in 2021, a decrease of $146 million, or 87%. Lower levels of revenue contributed a decrease in EBITDA of $119 million, while reduced productivity contributed a decrease in EBITDA of approximately $27 million. EBITDA margins decreased by approximately 1,290 basis points due primarily to inefficiencies resulting from lower levels of revenue, including from project timing delays as well as project mix and the effects of acquisition and integration costs.</w:t>
      </w:r>
    </w:p>
    <w:p>
      <w:pPr>
        <w:spacing w:after="0" w:line="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Power Delivery Segment. </w:t>
      </w:r>
      <w:r>
        <w:rPr>
          <w:rFonts w:ascii="Arial" w:cs="Arial" w:eastAsia="Arial" w:hAnsi="Arial"/>
          <w:sz w:val="15"/>
          <w:szCs w:val="15"/>
          <w:color w:val="auto"/>
        </w:rPr>
        <w:t>EBITDA for our Power Delivery segment was $46 million, or 7.1% of revenue, for the three month period ended March 31, 2022,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EBITDA of $4 million, or 2.7% of revenue, for the same period in 2021, an increase in EBITDA of approximately $43 million, or 1,194%. As a percentage of revenue, EBITDA increased by approximately 440 basis points, or $29 million due primarily to project efficiencies resulting from higher levels of revenue and project mix, partially offset by the effects of acquisition and integration costs. Higher levels of revenue contributed an increase in EBITDA of $14 million.</w:t>
      </w:r>
    </w:p>
    <w:p>
      <w:pPr>
        <w:spacing w:after="0" w:line="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approximately $7 million for both the three month periods ended March 31, 2022 and 2021,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related primarily to equity in earnings from our investments in the Waha JVs, partially offset by equity in losses from other investments.</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$47 million for the three month period ended March 31, 2022, as compared with EBITDA of negative $40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2021, for a decrease in EBITDA of approximately $7 million. Acquisitions, including certain acquisition and integration costs, contributed $10 million of Corporate expenses for the three month period ended March 31, 2022. For the three month period ended March 31, 2022, Corporate EBITDA also included approximately $5 million of expense, net, from changes in the fair value of certain investments and income from strategic arrangements, whereas for the three month period ended March 31, 2021, Corporate EBITDA included approximately $1 million of expense, net from fair value changes. For the three month period ended March 31, 2022, Corporate expenses not related to the above-described items decreased by approximately $7 million as compared with the same period in the prior year, due primarily to the effects of timing of legal and settlement matters, offset, in part, by increases in compensation and other administrative expenses.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far lesser extent, in Mexico, the Caribbean and India. See Note 13 - Segments and Related Information in the notes to the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2021 acquisitions; and, for Adjusted Net Income and Adjusted Diluted Earnings Per Share, amortization of intangible assets, the effects of changes in statutory tax rates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addition, beginning with the fourth quarter of 2021, due to the extent of the acquisition costs related to our fourth quarter 2021 acquisitions, and the costs of the integration efforts that have been, and will continue to be, required in connection with such acquisitions, we are excluding acquisition and integration costs in calculating Adjusted EBITDA and Adjusted Net Income for these acquisitions, and we intend to exclude such costs for future acquisitions requiring substantial integration efforts. We exclude intangible asset amortization and acquisition costs from our adjusted measures due to their non-operational nature and inherent volatility, as acquisition activity varies from period to period. We also believe that this presentation is common practice in our industry and improves comparability of our results with those of our peers, although each company’s definitions of these adjusted measures may vary as they are not standardized and should be used in light of the provided reconciliations.</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74" w:lineRule="auto"/>
        <w:rPr>
          <w:sz w:val="20"/>
          <w:szCs w:val="20"/>
          <w:color w:val="auto"/>
        </w:rPr>
      </w:pPr>
      <w:r>
        <w:rPr>
          <w:rFonts w:ascii="Arial" w:cs="Arial" w:eastAsia="Arial" w:hAnsi="Arial"/>
          <w:sz w:val="15"/>
          <w:szCs w:val="15"/>
          <w:color w:val="auto"/>
        </w:rPr>
        <w:t>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0"/>
          </w:tcPr>
          <w:p>
            <w:pPr>
              <w:jc w:val="right"/>
              <w:ind w:right="939"/>
              <w:spacing w:after="0"/>
              <w:rPr>
                <w:sz w:val="20"/>
                <w:szCs w:val="20"/>
                <w:color w:val="auto"/>
              </w:rPr>
            </w:pPr>
            <w:r>
              <w:rPr>
                <w:rFonts w:ascii="Arial" w:cs="Arial" w:eastAsia="Arial" w:hAnsi="Arial"/>
                <w:sz w:val="16"/>
                <w:szCs w:val="16"/>
                <w:b w:val="1"/>
                <w:bCs w:val="1"/>
                <w:color w:val="auto"/>
                <w:w w:val="93"/>
              </w:rPr>
              <w:t>For the Three Months Ended March 31,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 from) provision for income taxes</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3"/>
        </w:trPr>
        <w:tc>
          <w:tcPr>
            <w:tcW w:w="32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6"/>
        </w:trPr>
        <w:tc>
          <w:tcPr>
            <w:tcW w:w="3220" w:type="dxa"/>
            <w:vAlign w:val="bottom"/>
          </w:tcPr>
          <w:p>
            <w:pPr>
              <w:ind w:left="20"/>
              <w:spacing w:after="0"/>
              <w:rPr>
                <w:sz w:val="20"/>
                <w:szCs w:val="20"/>
                <w:color w:val="auto"/>
              </w:rPr>
            </w:pPr>
            <w:r>
              <w:rPr>
                <w:rFonts w:ascii="Arial" w:cs="Arial" w:eastAsia="Arial" w:hAnsi="Arial"/>
                <w:sz w:val="16"/>
                <w:szCs w:val="16"/>
                <w:color w:val="auto"/>
              </w:rPr>
              <w:t>EBITDA</w:t>
            </w:r>
          </w:p>
        </w:tc>
        <w:tc>
          <w:tcPr>
            <w:tcW w:w="1100" w:type="dxa"/>
            <w:vAlign w:val="bottom"/>
          </w:tcPr>
          <w:p>
            <w:pPr>
              <w:spacing w:after="0"/>
              <w:rPr>
                <w:sz w:val="17"/>
                <w:szCs w:val="17"/>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7"/>
                <w:szCs w:val="17"/>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89"/>
              </w:rPr>
              <w:t>198.4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3"/>
              </w:rPr>
              <w:t>Non-cash stock-based compensation expense</w:t>
            </w:r>
          </w:p>
        </w:tc>
        <w:tc>
          <w:tcPr>
            <w:tcW w:w="1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and integration costs</w:t>
            </w:r>
          </w:p>
        </w:tc>
        <w:tc>
          <w:tcPr>
            <w:tcW w:w="1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203.9</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432"/>
        </w:trPr>
        <w:tc>
          <w:tcPr>
            <w:tcW w:w="11240" w:type="dxa"/>
            <w:vAlign w:val="bottom"/>
            <w:gridSpan w:val="20"/>
          </w:tcPr>
          <w:p>
            <w:pPr>
              <w:ind w:left="660"/>
              <w:spacing w:after="0"/>
              <w:rPr>
                <w:sz w:val="20"/>
                <w:szCs w:val="20"/>
                <w:color w:val="auto"/>
              </w:rPr>
            </w:pPr>
            <w:r>
              <w:rPr>
                <w:rFonts w:ascii="Arial" w:cs="Arial" w:eastAsia="Arial" w:hAnsi="Arial"/>
                <w:sz w:val="16"/>
                <w:szCs w:val="16"/>
                <w:color w:val="auto"/>
                <w:w w:val="98"/>
              </w:rPr>
              <w:t>A reconciliation of EBITDA and EBITDA margin to Adjusted EBITDA and Adjusted EBITDA margin by reportable segment for the periods indicated is as</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rPr>
              <w:t>follows:</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jc w:val="right"/>
              <w:ind w:right="139"/>
              <w:spacing w:after="0"/>
              <w:rPr>
                <w:sz w:val="20"/>
                <w:szCs w:val="20"/>
                <w:color w:val="auto"/>
              </w:rPr>
            </w:pPr>
            <w:r>
              <w:rPr>
                <w:rFonts w:ascii="Arial" w:cs="Arial" w:eastAsia="Arial" w:hAnsi="Arial"/>
                <w:sz w:val="16"/>
                <w:szCs w:val="16"/>
                <w:b w:val="1"/>
                <w:bCs w:val="1"/>
                <w:color w:val="auto"/>
              </w:rPr>
              <w:t>For the Three Months Ended March 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EBITDA</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4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220" w:type="dxa"/>
            <w:vAlign w:val="bottom"/>
          </w:tcPr>
          <w:p>
            <w:pPr>
              <w:ind w:left="800"/>
              <w:spacing w:after="0" w:line="162" w:lineRule="exact"/>
              <w:rPr>
                <w:sz w:val="20"/>
                <w:szCs w:val="20"/>
                <w:color w:val="auto"/>
              </w:rPr>
            </w:pPr>
            <w:r>
              <w:rPr>
                <w:rFonts w:ascii="Arial" w:cs="Arial" w:eastAsia="Arial" w:hAnsi="Arial"/>
                <w:sz w:val="16"/>
                <w:szCs w:val="16"/>
                <w:color w:val="auto"/>
                <w:w w:val="91"/>
              </w:rPr>
              <w:t>Non-cash stock-based compensation</w:t>
            </w:r>
          </w:p>
        </w:tc>
        <w:tc>
          <w:tcPr>
            <w:tcW w:w="1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420" w:type="dxa"/>
            <w:vAlign w:val="bottom"/>
            <w:gridSpan w:val="5"/>
            <w:vMerge w:val="restart"/>
          </w:tcPr>
          <w:p>
            <w:pPr>
              <w:jc w:val="right"/>
              <w:ind w:right="119"/>
              <w:spacing w:after="0"/>
              <w:rPr>
                <w:sz w:val="20"/>
                <w:szCs w:val="20"/>
                <w:color w:val="auto"/>
              </w:rPr>
            </w:pPr>
            <w:r>
              <w:rPr>
                <w:rFonts w:ascii="Arial" w:cs="Arial" w:eastAsia="Arial" w:hAnsi="Arial"/>
                <w:sz w:val="16"/>
                <w:szCs w:val="16"/>
                <w:color w:val="auto"/>
              </w:rPr>
              <w:t>0.3</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(a)</w:t>
            </w: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800"/>
              <w:spacing w:after="0" w:line="216" w:lineRule="exact"/>
              <w:rPr>
                <w:sz w:val="20"/>
                <w:szCs w:val="20"/>
                <w:color w:val="auto"/>
              </w:rPr>
            </w:pPr>
            <w:r>
              <w:rPr>
                <w:rFonts w:ascii="Arial" w:cs="Arial" w:eastAsia="Arial" w:hAnsi="Arial"/>
                <w:sz w:val="16"/>
                <w:szCs w:val="16"/>
                <w:color w:val="auto"/>
                <w:w w:val="95"/>
              </w:rPr>
              <w:t xml:space="preserve">Acquisition and integration costs </w:t>
            </w:r>
            <w:r>
              <w:rPr>
                <w:rFonts w:ascii="Arial" w:cs="Arial" w:eastAsia="Arial" w:hAnsi="Arial"/>
                <w:sz w:val="21"/>
                <w:szCs w:val="21"/>
                <w:color w:val="auto"/>
                <w:w w:val="95"/>
                <w:vertAlign w:val="superscript"/>
              </w:rPr>
              <w:t>(b)</w:t>
            </w:r>
          </w:p>
        </w:tc>
        <w:tc>
          <w:tcPr>
            <w:tcW w:w="1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220" w:type="dxa"/>
            <w:vAlign w:val="bottom"/>
          </w:tcPr>
          <w:p>
            <w:pPr>
              <w:ind w:left="680"/>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203.9</w:t>
            </w:r>
          </w:p>
        </w:tc>
        <w:tc>
          <w:tcPr>
            <w:tcW w:w="1420" w:type="dxa"/>
            <w:vAlign w:val="bottom"/>
            <w:gridSpan w:val="5"/>
          </w:tcPr>
          <w:p>
            <w:pPr>
              <w:jc w:val="right"/>
              <w:ind w:right="119"/>
              <w:spacing w:after="0"/>
              <w:rPr>
                <w:sz w:val="20"/>
                <w:szCs w:val="20"/>
                <w:color w:val="auto"/>
              </w:rPr>
            </w:pPr>
            <w:r>
              <w:rPr>
                <w:rFonts w:ascii="Arial" w:cs="Arial" w:eastAsia="Arial" w:hAnsi="Arial"/>
                <w:sz w:val="16"/>
                <w:szCs w:val="16"/>
                <w:color w:val="auto"/>
              </w:rPr>
              <w:t>11.5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2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Reportable Segment:</w:t>
            </w:r>
          </w:p>
        </w:tc>
        <w:tc>
          <w:tcPr>
            <w:tcW w:w="1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3220" w:type="dxa"/>
            <w:vAlign w:val="bottom"/>
          </w:tcPr>
          <w:p>
            <w:pPr>
              <w:ind w:left="800"/>
              <w:spacing w:after="0"/>
              <w:rPr>
                <w:sz w:val="20"/>
                <w:szCs w:val="20"/>
                <w:color w:val="auto"/>
              </w:rPr>
            </w:pPr>
            <w:r>
              <w:rPr>
                <w:rFonts w:ascii="Arial" w:cs="Arial" w:eastAsia="Arial" w:hAnsi="Arial"/>
                <w:sz w:val="16"/>
                <w:szCs w:val="16"/>
                <w:color w:val="auto"/>
              </w:rPr>
              <w:t>Communications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w:t>
            </w:r>
          </w:p>
        </w:tc>
        <w:tc>
          <w:tcPr>
            <w:tcW w:w="1420" w:type="dxa"/>
            <w:vAlign w:val="bottom"/>
            <w:gridSpan w:val="5"/>
          </w:tcPr>
          <w:p>
            <w:pPr>
              <w:jc w:val="right"/>
              <w:ind w:right="119"/>
              <w:spacing w:after="0"/>
              <w:rPr>
                <w:sz w:val="20"/>
                <w:szCs w:val="20"/>
                <w:color w:val="auto"/>
              </w:rPr>
            </w:pPr>
            <w:r>
              <w:rPr>
                <w:rFonts w:ascii="Arial" w:cs="Arial" w:eastAsia="Arial" w:hAnsi="Arial"/>
                <w:sz w:val="16"/>
                <w:szCs w:val="16"/>
                <w:color w:val="auto"/>
              </w:rPr>
              <w:t>8.6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7"/>
        </w:trPr>
        <w:tc>
          <w:tcPr>
            <w:tcW w:w="3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Clean Energy and Infrastructure</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1"/>
        </w:trPr>
        <w:tc>
          <w:tcPr>
            <w:tcW w:w="3220" w:type="dxa"/>
            <w:vAlign w:val="bottom"/>
          </w:tcPr>
          <w:p>
            <w:pPr>
              <w:ind w:left="800"/>
              <w:spacing w:after="0"/>
              <w:rPr>
                <w:sz w:val="20"/>
                <w:szCs w:val="20"/>
                <w:color w:val="auto"/>
              </w:rPr>
            </w:pPr>
            <w:r>
              <w:rPr>
                <w:rFonts w:ascii="Arial" w:cs="Arial" w:eastAsia="Arial" w:hAnsi="Arial"/>
                <w:sz w:val="16"/>
                <w:szCs w:val="16"/>
                <w:color w:val="auto"/>
              </w:rPr>
              <w:t>Oil and Gas</w:t>
            </w:r>
          </w:p>
        </w:tc>
        <w:tc>
          <w:tcPr>
            <w:tcW w:w="1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167.6</w:t>
            </w:r>
          </w:p>
        </w:tc>
        <w:tc>
          <w:tcPr>
            <w:tcW w:w="1420" w:type="dxa"/>
            <w:vAlign w:val="bottom"/>
            <w:gridSpan w:val="5"/>
          </w:tcPr>
          <w:p>
            <w:pPr>
              <w:jc w:val="right"/>
              <w:ind w:right="119"/>
              <w:spacing w:after="0"/>
              <w:rPr>
                <w:sz w:val="20"/>
                <w:szCs w:val="20"/>
                <w:color w:val="auto"/>
              </w:rPr>
            </w:pPr>
            <w:r>
              <w:rPr>
                <w:rFonts w:ascii="Arial" w:cs="Arial" w:eastAsia="Arial" w:hAnsi="Arial"/>
                <w:sz w:val="16"/>
                <w:szCs w:val="16"/>
                <w:color w:val="auto"/>
              </w:rPr>
              <w:t>23.1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7"/>
        </w:trPr>
        <w:tc>
          <w:tcPr>
            <w:tcW w:w="3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Power Delivery</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1"/>
        </w:trPr>
        <w:tc>
          <w:tcPr>
            <w:tcW w:w="3220" w:type="dxa"/>
            <w:vAlign w:val="bottom"/>
          </w:tcPr>
          <w:p>
            <w:pPr>
              <w:ind w:left="80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NM</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Corporate</w:t>
            </w:r>
          </w:p>
        </w:tc>
        <w:tc>
          <w:tcPr>
            <w:tcW w:w="1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680"/>
              <w:spacing w:after="0"/>
              <w:rPr>
                <w:sz w:val="20"/>
                <w:szCs w:val="20"/>
                <w:color w:val="auto"/>
              </w:rPr>
            </w:pPr>
            <w:r>
              <w:rPr>
                <w:rFonts w:ascii="Arial" w:cs="Arial" w:eastAsia="Arial" w:hAnsi="Arial"/>
                <w:sz w:val="16"/>
                <w:szCs w:val="16"/>
                <w:color w:val="auto"/>
              </w:rPr>
              <w:t>Adjusted EBITDA</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11.5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5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stock-based compensation expense is included within Corporate results.</w:t>
      </w:r>
    </w:p>
    <w:p>
      <w:pPr>
        <w:spacing w:after="0" w:line="13" w:lineRule="exact"/>
        <w:rPr>
          <w:rFonts w:ascii="Arial" w:cs="Arial" w:eastAsia="Arial" w:hAnsi="Arial"/>
          <w:sz w:val="14"/>
          <w:szCs w:val="14"/>
          <w:color w:val="auto"/>
        </w:rPr>
      </w:pPr>
    </w:p>
    <w:p>
      <w:pPr>
        <w:ind w:left="340" w:hanging="332"/>
        <w:spacing w:after="0" w:line="255" w:lineRule="auto"/>
        <w:tabs>
          <w:tab w:leader="none" w:pos="401"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three month period ended March 31, 2022, acquisition and integration costs of $7.0 million, $0.8 million, $2.0 million and $3.8 million are included within Power Delivery, Communications, Oil and Gas and Corporate results, respectively.</w:t>
      </w:r>
    </w:p>
    <w:p>
      <w:pPr>
        <w:spacing w:after="0" w:line="141"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5"/>
              </w:rPr>
              <w:t>For the Three Months Ended March 31,</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8"/>
                <w:szCs w:val="18"/>
                <w:color w:val="auto"/>
              </w:rPr>
            </w:pPr>
          </w:p>
        </w:tc>
      </w:tr>
      <w:tr>
        <w:trPr>
          <w:trHeight w:val="158"/>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6"/>
              </w:rPr>
              <w:t>Net Loss (in</w:t>
            </w:r>
          </w:p>
        </w:tc>
        <w:tc>
          <w:tcPr>
            <w:tcW w:w="12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Diluted Loss Per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Net Income (in</w:t>
            </w:r>
          </w:p>
        </w:tc>
        <w:tc>
          <w:tcPr>
            <w:tcW w:w="13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Diluted Earnings</w:t>
            </w:r>
          </w:p>
        </w:tc>
      </w:tr>
      <w:tr>
        <w:trPr>
          <w:trHeight w:val="213"/>
        </w:trPr>
        <w:tc>
          <w:tcPr>
            <w:tcW w:w="5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millions)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Per Share</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integration costs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5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57"/>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non-U.S. GAAP measure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bl>
    <w:p>
      <w:pPr>
        <w:spacing w:after="0" w:line="157" w:lineRule="exact"/>
        <w:rPr>
          <w:sz w:val="20"/>
          <w:szCs w:val="20"/>
          <w:color w:val="auto"/>
        </w:rPr>
      </w:pPr>
    </w:p>
    <w:p>
      <w:pPr>
        <w:jc w:val="both"/>
        <w:ind w:left="340" w:hanging="332"/>
        <w:spacing w:after="0" w:line="264" w:lineRule="auto"/>
        <w:tabs>
          <w:tab w:leader="none" w:pos="363"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three month periods ended March 31, 2022 and 2021, included net tax benefits of $0.9 million and $0.1 million, respectively, from the vesting of share-based payment awards. Tax effects are determined based on the tax treatment of the related item, the incremental statutory tax rate of the jurisdictions pertaining to the adjustment, and their effect on pre-tax income. For the three month periods ended March 31, 2022 and 2021, our consolidated effective tax rates, as reported, were 27.3% and 30.7%, respectively, and as adjusted, were 23.4% and 26.9%, respectively.</w:t>
      </w:r>
    </w:p>
    <w:p>
      <w:pPr>
        <w:spacing w:after="0" w:line="2" w:lineRule="exact"/>
        <w:rPr>
          <w:rFonts w:ascii="Arial" w:cs="Arial" w:eastAsia="Arial" w:hAnsi="Arial"/>
          <w:sz w:val="13"/>
          <w:szCs w:val="13"/>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month period ended March 31, 2021, includes the effect of changes in certain state tax rates.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to repurchase additional shares of our outstanding common stock under share repurchase authorizations, any of which may require our use of cash.</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2022, we spent approximately $83 million on capital expenditures, or $79 million, net of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disposals, and incurred approximately $49 million of equipment purchases under finance leases. We estimate that we will spend approximately $230 million on capital expenditures, or approximately $150 million, net of asset disposals, in 2022, and expect to incur approximately $200 million to $220 million of equipment purchases under finance leases. Actual capital expenditures may increase or decrease in the future depending upon business activity levels, as well as ongoing assessments of equipment lease versus purchase decisions based on short and long-term equipment requirements.</w:t>
      </w:r>
    </w:p>
    <w:p>
      <w:pPr>
        <w:spacing w:after="0" w:line="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b w:val="1"/>
          <w:bCs w:val="1"/>
          <w:i w:val="1"/>
          <w:iCs w:val="1"/>
          <w:color w:val="auto"/>
        </w:rPr>
        <w:t xml:space="preserve">Acquisitions and Earn-Out Liabilities. </w:t>
      </w:r>
      <w:r>
        <w:rPr>
          <w:rFonts w:ascii="Arial" w:cs="Arial" w:eastAsia="Arial" w:hAnsi="Arial"/>
          <w:sz w:val="15"/>
          <w:szCs w:val="15"/>
          <w:color w:val="auto"/>
        </w:rPr>
        <w:t>We typically utilize cash for business acquisitions and other strategic arrangements, and for the three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2022, we used $22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March 31, 2022 was approximately $160 million. Of this amount, $41 million represents the liability for earned amounts. The remainder is management’s estimate of Earn-out liabilities that are contingent upon future performance. For the three month periods ended March 31, 2022 and 2021, we made no Earn-out payments. In addition, one of our acquisitions provides for certain additional payments to be made to the sellers if certain acquired receivables are collected, which we refer to as the Additional Payments. Pursuant to the terms of the purchase agreement, a portion of the Additional Payments will be made in cash, with the remainder due in shares of MasTec common stock. The fair value of the Additional Payments as of March 31, 2022 was estimated to be approximately $65 million in the aggregate, which amount is included within other current liabilities in the consolidated balance sheet. Of this amount, approximately $27 million is to be paid in shares, or approximately 295,000 shares as of March 31, 2022, based upon the contractually agreed upon value of our common stock. The amount of Additional Payments due to the sellers as of March 31, 2022 from collections of acquired receivables totaled approximately $30 million, of which the amount due in shares totaled approximately $12 million, or 135,000 shares. In addition, this acquisition provides for a customary net working capital adjustment, under which additional shares could be issued. As of March 31, 2022, the amount of any potential net working capital adjustment cannot be quantified or predicted with specificity due to factors requiring the future resolution of certain items.</w:t>
      </w:r>
    </w:p>
    <w:p>
      <w:pPr>
        <w:spacing w:after="0" w:line="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three month period ended March 31, 2022, tax refunds, net of tax payments, totaled approximately $1 million, and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March 31, 2021, tax payments, net of tax refunds, were de minimis. Our tax payments vary with changes in taxable income and earnings based on estimates of full year taxable income activity and estimated tax rates.</w:t>
      </w:r>
    </w:p>
    <w:p>
      <w:pPr>
        <w:spacing w:after="0" w:line="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3" w:name="page34"/>
    <w:bookmarkEnd w:id="33"/>
    <w:p>
      <w:pPr>
        <w:jc w:val="both"/>
        <w:ind w:firstLine="648"/>
        <w:spacing w:after="0" w:line="252"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contribute to changes in unbilled revenue. As of March 31, 2022, we expect that substantially all of our unbilled receivables will be billed to customers in the normal course of business within the next twelve months. Total accounts receivable, which consists of contract billings, unbilled receivables and retainage, net of allowance, were generally flat at approximately $2.2 billion as of both March 31, 2022 and December 31, 2021. See below for discussion of our days sales outstanding, net of contract liabilities, which we refer to as days sales outstanding, or “DSO.”</w:t>
      </w:r>
    </w:p>
    <w:p>
      <w:pPr>
        <w:spacing w:after="0" w:line="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4"/>
          <w:szCs w:val="14"/>
          <w:color w:val="auto"/>
        </w:rPr>
        <w:t>Including our current assessment of general economic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2022, we had approximately $918 million in working capital, defined as current assets less current liabilities, as compared with $1,089 million as of December 31, 2021, a decrease of approximately $171 million. Cash and cash equivalents totaled approximately $233 million and $361 million as of March 31, 2022 and December 31, 2021, respectively, for a decrease of $128 million, due, in part, to a decrease in net income.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210"/>
        </w:trPr>
        <w:tc>
          <w:tcPr>
            <w:tcW w:w="8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89"/>
              </w:rPr>
              <w:t>131.5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center"/>
              <w:ind w:left="739"/>
              <w:spacing w:after="0"/>
              <w:rPr>
                <w:sz w:val="20"/>
                <w:szCs w:val="20"/>
                <w:color w:val="auto"/>
              </w:rPr>
            </w:pPr>
            <w:r>
              <w:rPr>
                <w:rFonts w:ascii="Arial" w:cs="Arial" w:eastAsia="Arial" w:hAnsi="Arial"/>
                <w:sz w:val="16"/>
                <w:szCs w:val="16"/>
                <w:color w:val="auto"/>
                <w:w w:val="90"/>
              </w:rPr>
              <w:t>(101.4)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(134.6)</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center"/>
              <w:ind w:left="739"/>
              <w:spacing w:after="0"/>
              <w:rPr>
                <w:sz w:val="20"/>
                <w:szCs w:val="20"/>
                <w:color w:val="auto"/>
              </w:rPr>
            </w:pPr>
            <w:r>
              <w:rPr>
                <w:rFonts w:ascii="Arial" w:cs="Arial" w:eastAsia="Arial" w:hAnsi="Arial"/>
                <w:sz w:val="16"/>
                <w:szCs w:val="16"/>
                <w:color w:val="auto"/>
                <w:w w:val="90"/>
              </w:rPr>
              <w:t>(158.0)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bl>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2022 was $132 million, as compared with approximately $257 million for the same period in 2021, for a decrease in cash provided by operating activities of approximately $126 million, due primarily to a decrease in net income, as well as the effect of working capital changes in assets and liabilities, net, including from acquisitions, partially offset by increases in certain expenses that reconcile net income to operating cash flows, including depreciation and amortization expense.</w:t>
      </w:r>
    </w:p>
    <w:p>
      <w:pPr>
        <w:spacing w:after="0" w:line="7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Our days sales outstanding, net of contract liabilities (“DSO”) was 89 as of March 31, 2022. As of December 31, 2021, our DSO was 98, and as adjusted for December 2021 acquisitions, was 77.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To provide a representative comparison of our DSOs across periods, for December 31, 2021, we calculated DSO as adjusted for our December 2021 acquisitions. This calculation for December 31, 2021 excludes revenue and accounts receivable, net of allowance, less contract liabilities for our December 2021 acquisitions, given that our consolidated results for the related period do not reflect the full quarter’s revenue for these acquisitions, but our consolidated balance sheet as of December 31, 2021 includes the full amount of related accounts receivable, net of allowance, less contract liabilities. The increase in DSO as of March 31, 2022, as compared with DSO as of December 31, 2021, as adjusted for our December 2021 acquisitions, was due to timing of ordinary course billing and collection activities, as well as the effect of our recent acquisitions, some of which have a higher DSO than the DSO of our organic operations, and lower levels of organic revenue with fixed amounts of project retainage.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decreased by approximately $33 million to $101 million for the three month period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from $135 million for the three month period ended March 31, 2021. For the three month period ended March 31,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6"/>
          <w:szCs w:val="16"/>
          <w:color w:val="auto"/>
        </w:rPr>
        <w:t>2022, we completed one acquisition and paid $22 million in cash related to acquisitions, whereas for the same period in 2021, we completed two acquisitions and paid $89 million in cash related to acquisitions, a decrease of approximately $67 million. These acquisitions were funded with cash on hand and borrowings under our senior credit facility. Capital expenditures for the three month period ended March 31, 2022 totaled $83 million, or $79 million, net of asset disposals, as compared with $48 million, or $42 million, net of asset disposals, for the same period in 2021, for an increase in cash used in investing activities of approximately $37 million. Payments for other investments, which relate primarily to investments in certain equity investees, decreased from $4 million for the three month period ended March 31, 2021 to $1 million for the same period in 2022.</w:t>
      </w:r>
    </w:p>
    <w:p>
      <w:pPr>
        <w:spacing w:after="0" w:line="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three month period ended March 31, 2022 was $158 million, as compared with $33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same period in 2021, for an increase in cash used in financing activities of $125 million. The increase in cash used in financing activities was driven primarily by Credit Facility (as defined below) activity. Credit Facility activity, net, totaled $82 million of repayments, net of borrowings for the three month period ended March 31, 2022, as compared with $9 million of borrowings, net of repayments, for the three month period ended March 31, 2021. Additionally, payments of finance lease obligations increased by approximately $3 million for the three month period ended March 31, 2022 as compared with the same period in 2021. Other financing activities for the three month period ended March 31, 2022 included share repurchases, which totaled $14 million, whereas for the same period in 2021, there were no share repurchases. Subsequent to March 31, 2022, we repurchased an additional 0.5 million shares of our common stock for an aggregate purchase price of $36 million. Payments for other financing activities, net, totaled $17 million for the three month period ended March 31, 2022, and included payments for other borrowing activities, whereas payments for other financing activities for the three month period ended March 31, 2021 totaled $1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a senior unsecured credit facility (the “Credit Facility”), which matures on November 1, 2026 and has aggregate borrowing commitments totaling $2.0 billion, which amount is composed of $1.65 billion of revolving commitments and a Term Loan totaling $350 million in original principal amount. Aggregate outstanding borrowings under the Credit Facility as of March 31, 2022 totaled approximately $1.0 billion. Borrowings under the Credit Facility are used for working capital requirements, capital expenditures and other corporate purposes, including acquisitions, equity investments or other strategic arrangements, share repurchases and the repurchase or prepayment of indebtedness, including repayment of term loans.</w:t>
      </w:r>
    </w:p>
    <w:p>
      <w:pPr>
        <w:spacing w:after="0" w:line="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2021 Form 10-K.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We have $600 million of 4.50% Senior Notes due August 15, 2028 (the “4.50% Senior Notes”). The 4.50% Senior Notes are fully and unconditionally guaranteed on a senior unsecured, joint and several basis by certain of our wholly-owned domestic restricted subsidiaries. The 4.50% Senior Notes are subject to certain provisions and covenants, as more fully described in Note 7 - Debt in the notes to the audited consolidated financial statements included in our 2021 Form 10-K.</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March 31, 2022.</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2021 Form 10-K. Also see Note 7 - Debt in the notes to the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However, these off-balance sheet arrangements have not,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primary inflationary factors directly affecting our operations are labor, fuel and material costs. In times of low unemployment,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geopolitical events, such as the ongoing conflict in Ukraine, climate-related effects and fluctuations in global supply and demand, which events have recently caused market volatility, particularly in the oil and gas markets, among others. Such market volatility can affect our customers’ investment decisions and subject us to project cancellations, deferrals or unexpected changes in the timing of project work. Market prices for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5" w:name="page36"/>
    <w:bookmarkEnd w:id="35"/>
    <w:p>
      <w:pPr>
        <w:jc w:val="both"/>
        <w:spacing w:after="0" w:line="310" w:lineRule="auto"/>
        <w:rPr>
          <w:sz w:val="20"/>
          <w:szCs w:val="20"/>
          <w:color w:val="auto"/>
        </w:rPr>
      </w:pPr>
      <w:r>
        <w:rPr>
          <w:rFonts w:ascii="Arial" w:cs="Arial" w:eastAsia="Arial" w:hAnsi="Arial"/>
          <w:sz w:val="15"/>
          <w:szCs w:val="15"/>
          <w:color w:val="auto"/>
        </w:rPr>
        <w:t>can also be affected by supply chain disruptions, such as those arising from the effects of the COVID-19 pandemic. We closely monitor inflationary factors, including the current rise in the rate of inflation, and any potential effects they may have on our business operations, operating results and/or financial condition.</w:t>
      </w:r>
    </w:p>
    <w:p>
      <w:pPr>
        <w:spacing w:after="0" w:line="198" w:lineRule="exact"/>
        <w:rPr>
          <w:sz w:val="20"/>
          <w:szCs w:val="20"/>
          <w:color w:val="auto"/>
        </w:rPr>
      </w:pPr>
    </w:p>
    <w:p>
      <w:pPr>
        <w:ind w:right="466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68" w:lineRule="auto"/>
        <w:rPr>
          <w:sz w:val="20"/>
          <w:szCs w:val="20"/>
          <w:color w:val="auto"/>
        </w:rPr>
      </w:pPr>
      <w:r>
        <w:rPr>
          <w:rFonts w:ascii="Arial" w:cs="Arial" w:eastAsia="Arial" w:hAnsi="Arial"/>
          <w:sz w:val="15"/>
          <w:szCs w:val="15"/>
          <w:color w:val="auto"/>
        </w:rPr>
        <w:t>As of March 31, 2022,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March 31, 2022, we had $691 million aggregate principal amount of outstanding revolving loans under our Credit Facility with a weighted average interest rate of 1.60% and a Term Loan with a balance of $350 million and an interest rate of 1.71%. Our variable rate interest debt subjects us to risk from increases in prevailing interest rates, particularly in an inflationary environment as central banks seek to increase interest rates. A 100 basis point increase in the applicable interest rates under our credit facilities would have increased our interest expense by approximately $3 million for the three month period ended March 31, 2022. While our material financing arrangements indexed to LIBOR have procedures for determining an alternative base rate, the upcoming expected phase-out of LIBOR could lead to volatility in interest rates for our variable rate debt, as the alternative base rate could perform differently than the current LIBOR-indexed rate, which could result in an increase in the cost of our variable rate indebtedness.</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2022, our fixed interest rate debt primarily included $600 million aggregate principal amount of 4.50% Senior Notes and $299 million of finance lease obligations, which accrued interest at a weighted average interest rate of approximately 3.2%.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1% of our total revenue for the three month period ended March 31, 2022.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three month period ended March 31, 2022. Translation gains or losses, which are recorded in other comprehensive income or loss, result from translation of the assets and liabilities of our foreign subsidiaries into U.S. dollars. For the three month period ended March 31, 2022, foreign currency translation gains, net, totaled approximately $1 million and related to our operations in Canada and Mexico.</w:t>
      </w:r>
    </w:p>
    <w:p>
      <w:pPr>
        <w:spacing w:after="0" w:line="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2022. We may enter into foreign currency derivative contracts in the future to manage such exposure.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2022.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LEGAL PROCEEDINGS</w:t>
      </w:r>
    </w:p>
    <w:p>
      <w:pPr>
        <w:spacing w:after="0" w:line="11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2021 Form 10-K.</w:t>
      </w:r>
    </w:p>
    <w:p>
      <w:pPr>
        <w:spacing w:after="0" w:line="14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Subject the potential effects of inflation, rising interest rates and the ongoing military conflict in Ukraine on certain of the risks we normally face in operating our business, including those disclosed in our 2021 Form 10-K, there have been no material changes to either the cautionary statement regarding forward-looking statements or to any of the risk factors disclosed in our 2021 Form 10-K, as updated by our Quarterly Report on Form 10-Q and other filings we make with the SEC.</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March 31, 2022:</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Average Price</w:t>
            </w:r>
          </w:p>
        </w:tc>
        <w:tc>
          <w:tcPr>
            <w:tcW w:w="0" w:type="dxa"/>
            <w:vAlign w:val="bottom"/>
          </w:tcPr>
          <w:p>
            <w:pPr>
              <w:spacing w:after="0"/>
              <w:rPr>
                <w:sz w:val="1"/>
                <w:szCs w:val="1"/>
                <w:color w:val="auto"/>
              </w:rPr>
            </w:pPr>
          </w:p>
        </w:tc>
      </w:tr>
      <w:tr>
        <w:trPr>
          <w:trHeight w:val="162"/>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
              <w:spacing w:after="0" w:line="148" w:lineRule="exact"/>
              <w:rPr>
                <w:sz w:val="20"/>
                <w:szCs w:val="20"/>
                <w:color w:val="auto"/>
              </w:rPr>
            </w:pPr>
            <w:r>
              <w:rPr>
                <w:rFonts w:ascii="Arial" w:cs="Arial" w:eastAsia="Arial" w:hAnsi="Arial"/>
                <w:sz w:val="16"/>
                <w:szCs w:val="16"/>
                <w:b w:val="1"/>
                <w:bCs w:val="1"/>
                <w:color w:val="auto"/>
                <w:w w:val="90"/>
              </w:rPr>
              <w:t>Paid per Share</w:t>
            </w:r>
          </w:p>
        </w:tc>
        <w:tc>
          <w:tcPr>
            <w:tcW w:w="0" w:type="dxa"/>
            <w:vAlign w:val="bottom"/>
          </w:tcPr>
          <w:p>
            <w:pPr>
              <w:spacing w:after="0"/>
              <w:rPr>
                <w:sz w:val="1"/>
                <w:szCs w:val="1"/>
                <w:color w:val="auto"/>
              </w:rPr>
            </w:pPr>
          </w:p>
        </w:tc>
      </w:tr>
      <w:tr>
        <w:trPr>
          <w:trHeight w:val="20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January 1 through January 31</w:t>
            </w:r>
          </w:p>
        </w:tc>
        <w:tc>
          <w:tcPr>
            <w:tcW w:w="1360" w:type="dxa"/>
            <w:vAlign w:val="bottom"/>
          </w:tcPr>
          <w:p>
            <w:pPr>
              <w:jc w:val="right"/>
              <w:spacing w:after="0"/>
              <w:rPr>
                <w:sz w:val="20"/>
                <w:szCs w:val="20"/>
                <w:color w:val="auto"/>
              </w:rPr>
            </w:pPr>
            <w:r>
              <w:rPr>
                <w:rFonts w:ascii="Arial" w:cs="Arial" w:eastAsia="Arial" w:hAnsi="Arial"/>
                <w:sz w:val="16"/>
                <w:szCs w:val="16"/>
                <w:color w:val="auto"/>
              </w:rPr>
              <w:t>7,866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February 1 through February 28</w:t>
            </w:r>
          </w:p>
        </w:tc>
        <w:tc>
          <w:tcPr>
            <w:tcW w:w="1360" w:type="dxa"/>
            <w:vAlign w:val="bottom"/>
          </w:tcPr>
          <w:p>
            <w:pPr>
              <w:jc w:val="right"/>
              <w:spacing w:after="0"/>
              <w:rPr>
                <w:sz w:val="20"/>
                <w:szCs w:val="20"/>
                <w:color w:val="auto"/>
              </w:rPr>
            </w:pPr>
            <w:r>
              <w:rPr>
                <w:rFonts w:ascii="Arial" w:cs="Arial" w:eastAsia="Arial" w:hAnsi="Arial"/>
                <w:sz w:val="16"/>
                <w:szCs w:val="16"/>
                <w:color w:val="auto"/>
              </w:rPr>
              <w:t>8,234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89.28</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March 1 through March 31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73.79</w:t>
            </w: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95"/>
        </w:trPr>
        <w:tc>
          <w:tcPr>
            <w:tcW w:w="2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vMerge w:val="restart"/>
          </w:tcPr>
          <w:p>
            <w:pPr>
              <w:jc w:val="center"/>
              <w:ind w:right="44"/>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68"/>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148"/>
        </w:trPr>
        <w:tc>
          <w:tcPr>
            <w:tcW w:w="21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3"/>
                <w:szCs w:val="13"/>
                <w:b w:val="1"/>
                <w:bCs w:val="1"/>
                <w:color w:val="auto"/>
              </w:rPr>
              <w:t xml:space="preserve">Announced Program </w:t>
            </w:r>
            <w:r>
              <w:rPr>
                <w:rFonts w:ascii="Arial" w:cs="Arial" w:eastAsia="Arial" w:hAnsi="Arial"/>
                <w:sz w:val="17"/>
                <w:szCs w:val="17"/>
                <w:b w:val="1"/>
                <w:bCs w:val="1"/>
                <w:color w:val="auto"/>
                <w:vertAlign w:val="superscript"/>
              </w:rPr>
              <w:t>(b)</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center"/>
              <w:ind w:right="24"/>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204"/>
        </w:trPr>
        <w:tc>
          <w:tcPr>
            <w:tcW w:w="2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6"/>
        </w:trPr>
        <w:tc>
          <w:tcPr>
            <w:tcW w:w="2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187,978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144,826,541</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6640" w:space="120"/>
            <w:col w:w="4480"/>
          </w:cols>
          <w:pgMar w:left="320" w:top="1111" w:right="339" w:bottom="1440" w:gutter="0" w:footer="0" w:header="0"/>
          <w:type w:val="continuous"/>
        </w:sectPr>
      </w:pPr>
    </w:p>
    <w:p>
      <w:pPr>
        <w:jc w:val="both"/>
        <w:ind w:left="340" w:right="20" w:hanging="332"/>
        <w:spacing w:after="0" w:line="247" w:lineRule="auto"/>
        <w:tabs>
          <w:tab w:leader="none" w:pos="337"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7,866, 8,006 and 8,865 shares reacquired by the Company on the open market pursuant to the Amended ESPPs in January, February and March of 2022, respectively, 228 shares withheld for income tax purposes in connection with shares issued under compensation and benefit programs in February of 2022, and 187,978 of repurchases under share repurchase programs in March of 2022.</w:t>
      </w:r>
    </w:p>
    <w:p>
      <w:pPr>
        <w:ind w:left="340" w:hanging="332"/>
        <w:spacing w:after="0" w:line="241"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117,054 shares repurchased under our $100 million December 2018 share repurchase program, which was publicly announced on December 21, 2018 and which completed the program, and 70,924 shares repurchased under our $150 million March 2020 share repurchase program, which was publicly announced on March 19, 2020.</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2022, the remaining amount available for share repurchases under our March 2020 $150 million share repurchase program totaled $144.8 million.</w:t>
      </w:r>
    </w:p>
    <w:p>
      <w:pPr>
        <w:spacing w:after="0" w:line="21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ind w:right="20" w:firstLine="648"/>
        <w:spacing w:after="0" w:line="275"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OTHER INFORMATION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7" w:name="page38"/>
    <w:bookmarkEnd w:id="37"/>
    <w:p>
      <w:pPr>
        <w:spacing w:after="0"/>
        <w:tabs>
          <w:tab w:leader="none" w:pos="740" w:val="left"/>
        </w:tabs>
        <w:rPr>
          <w:sz w:val="20"/>
          <w:szCs w:val="20"/>
          <w:color w:val="auto"/>
        </w:rPr>
      </w:pPr>
      <w:r>
        <w:rPr>
          <w:rFonts w:ascii="Arial" w:cs="Arial" w:eastAsia="Arial" w:hAnsi="Arial"/>
          <w:sz w:val="16"/>
          <w:szCs w:val="16"/>
          <w:b w:val="1"/>
          <w:bCs w:val="1"/>
          <w:color w:val="auto"/>
        </w:rPr>
        <w:t>ITEM 6.</w:t>
        <w:tab/>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9700" w:type="dxa"/>
            <w:vAlign w:val="bottom"/>
            <w:gridSpan w:val="9"/>
          </w:tcPr>
          <w:p>
            <w:pPr>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40"/>
              <w:spacing w:after="0"/>
              <w:rPr>
                <w:sz w:val="20"/>
                <w:szCs w:val="20"/>
                <w:color w:val="auto"/>
              </w:rPr>
            </w:pPr>
            <w:r>
              <w:rPr>
                <w:rFonts w:ascii="Arial" w:cs="Arial" w:eastAsia="Arial" w:hAnsi="Arial"/>
                <w:sz w:val="16"/>
                <w:szCs w:val="16"/>
                <w:color w:val="auto"/>
              </w:rPr>
              <w:t>10.1*</w:t>
            </w:r>
          </w:p>
        </w:tc>
        <w:tc>
          <w:tcPr>
            <w:tcW w:w="520" w:type="dxa"/>
            <w:vAlign w:val="bottom"/>
          </w:tcPr>
          <w:p>
            <w:pPr>
              <w:spacing w:after="0"/>
              <w:rPr>
                <w:sz w:val="21"/>
                <w:szCs w:val="21"/>
                <w:color w:val="auto"/>
              </w:rPr>
            </w:pPr>
          </w:p>
        </w:tc>
        <w:tc>
          <w:tcPr>
            <w:tcW w:w="5220" w:type="dxa"/>
            <w:vAlign w:val="bottom"/>
            <w:tcBorders>
              <w:bottom w:val="single" w:sz="8" w:color="0000FF"/>
            </w:tcBorders>
            <w:gridSpan w:val="7"/>
          </w:tcPr>
          <w:p>
            <w:pPr>
              <w:spacing w:after="0"/>
              <w:rPr>
                <w:rFonts w:ascii="Arial" w:cs="Arial" w:eastAsia="Arial" w:hAnsi="Arial"/>
                <w:sz w:val="16"/>
                <w:szCs w:val="16"/>
                <w:color w:val="0000FF"/>
                <w:w w:val="90"/>
              </w:rPr>
            </w:pPr>
            <w:hyperlink w:anchor="page40">
              <w:r>
                <w:rPr>
                  <w:rFonts w:ascii="Arial" w:cs="Arial" w:eastAsia="Arial" w:hAnsi="Arial"/>
                  <w:sz w:val="16"/>
                  <w:szCs w:val="16"/>
                  <w:color w:val="0000FF"/>
                  <w:w w:val="90"/>
                </w:rPr>
                <w:t>Amendment to the MasTec, Inc. Amended and Restated Bargaining Units ESPP.</w:t>
              </w:r>
            </w:hyperlink>
          </w:p>
        </w:tc>
        <w:tc>
          <w:tcPr>
            <w:tcW w:w="44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10.2*</w:t>
            </w:r>
          </w:p>
        </w:tc>
        <w:tc>
          <w:tcPr>
            <w:tcW w:w="52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Amendment to the MasTec, Inc. Amended and Restated 2011 Employee Stock Purchase Plan.</w:t>
              </w:r>
            </w:hyperlink>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31.1*</w:t>
            </w:r>
          </w:p>
        </w:tc>
        <w:tc>
          <w:tcPr>
            <w:tcW w:w="520" w:type="dxa"/>
            <w:vAlign w:val="bottom"/>
          </w:tcPr>
          <w:p>
            <w:pPr>
              <w:spacing w:after="0"/>
              <w:rPr>
                <w:sz w:val="17"/>
                <w:szCs w:val="17"/>
                <w:color w:val="auto"/>
              </w:rPr>
            </w:pPr>
          </w:p>
        </w:tc>
        <w:tc>
          <w:tcPr>
            <w:tcW w:w="502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42">
              <w:r>
                <w:rPr>
                  <w:rFonts w:ascii="Arial" w:cs="Arial" w:eastAsia="Arial" w:hAnsi="Arial"/>
                  <w:sz w:val="16"/>
                  <w:szCs w:val="16"/>
                  <w:color w:val="0000FF"/>
                  <w:w w:val="92"/>
                </w:rPr>
                <w:t>Certifications required by Section 302(a) of the Sarbanes-Oxley Act of 2002.</w:t>
              </w:r>
            </w:hyperlink>
          </w:p>
        </w:tc>
        <w:tc>
          <w:tcPr>
            <w:tcW w:w="4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31.2*</w:t>
            </w:r>
          </w:p>
        </w:tc>
        <w:tc>
          <w:tcPr>
            <w:tcW w:w="520" w:type="dxa"/>
            <w:vAlign w:val="bottom"/>
          </w:tcPr>
          <w:p>
            <w:pPr>
              <w:spacing w:after="0"/>
              <w:rPr>
                <w:sz w:val="17"/>
                <w:szCs w:val="17"/>
                <w:color w:val="auto"/>
              </w:rPr>
            </w:pPr>
          </w:p>
        </w:tc>
        <w:tc>
          <w:tcPr>
            <w:tcW w:w="9700" w:type="dxa"/>
            <w:vAlign w:val="bottom"/>
            <w:gridSpan w:val="9"/>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Certifications required by Section 302(a) of the Sarbanes-Oxley Act of 2002.</w:t>
              </w:r>
            </w:hyperlink>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32.1**</w:t>
            </w:r>
          </w:p>
        </w:tc>
        <w:tc>
          <w:tcPr>
            <w:tcW w:w="5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2"/>
              </w:rPr>
            </w:pPr>
            <w:hyperlink w:anchor="page44">
              <w:r>
                <w:rPr>
                  <w:rFonts w:ascii="Arial" w:cs="Arial" w:eastAsia="Arial" w:hAnsi="Arial"/>
                  <w:sz w:val="16"/>
                  <w:szCs w:val="16"/>
                  <w:color w:val="0000FF"/>
                  <w:w w:val="92"/>
                </w:rPr>
                <w:t>Certifications required by Section 906 of the Sarbanes-Oxley Act of 2002.</w:t>
              </w:r>
            </w:hyperlink>
          </w:p>
        </w:tc>
        <w:tc>
          <w:tcPr>
            <w:tcW w:w="160" w:type="dxa"/>
            <w:vAlign w:val="bottom"/>
            <w:tcBorders>
              <w:top w:val="single" w:sz="8" w:color="0000FF"/>
            </w:tcBorders>
          </w:tcPr>
          <w:p>
            <w:pPr>
              <w:spacing w:after="0"/>
              <w:rPr>
                <w:sz w:val="17"/>
                <w:szCs w:val="17"/>
                <w:color w:val="auto"/>
              </w:rPr>
            </w:pPr>
          </w:p>
        </w:tc>
        <w:tc>
          <w:tcPr>
            <w:tcW w:w="4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7"/>
                <w:szCs w:val="17"/>
                <w:color w:val="auto"/>
              </w:rPr>
            </w:pPr>
          </w:p>
        </w:tc>
        <w:tc>
          <w:tcPr>
            <w:tcW w:w="9700" w:type="dxa"/>
            <w:vAlign w:val="bottom"/>
            <w:gridSpan w:val="9"/>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Certifications required by Section 906 of the Sarbanes-Oxley Act of 2002.</w:t>
              </w:r>
            </w:hyperlink>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color w:val="auto"/>
              </w:rPr>
              <w:t>95.1*</w:t>
            </w:r>
          </w:p>
        </w:tc>
        <w:tc>
          <w:tcPr>
            <w:tcW w:w="5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Mine Safety Disclosure.</w:t>
              </w:r>
            </w:hyperlink>
          </w:p>
        </w:tc>
        <w:tc>
          <w:tcPr>
            <w:tcW w:w="3240" w:type="dxa"/>
            <w:vAlign w:val="bottom"/>
            <w:tcBorders>
              <w:top w:val="single" w:sz="8" w:color="0000FF"/>
            </w:tcBorders>
          </w:tcPr>
          <w:p>
            <w:pPr>
              <w:spacing w:after="0"/>
              <w:rPr>
                <w:sz w:val="17"/>
                <w:szCs w:val="17"/>
                <w:color w:val="auto"/>
              </w:rPr>
            </w:pPr>
          </w:p>
        </w:tc>
        <w:tc>
          <w:tcPr>
            <w:tcW w:w="4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80" w:type="dxa"/>
            <w:vAlign w:val="bottom"/>
            <w:gridSpan w:val="2"/>
            <w:vMerge w:val="restart"/>
          </w:tcPr>
          <w:p>
            <w:pPr>
              <w:ind w:left="40"/>
              <w:spacing w:after="0"/>
              <w:rPr>
                <w:sz w:val="20"/>
                <w:szCs w:val="20"/>
                <w:color w:val="auto"/>
              </w:rPr>
            </w:pPr>
            <w:r>
              <w:rPr>
                <w:rFonts w:ascii="Arial" w:cs="Arial" w:eastAsia="Arial" w:hAnsi="Arial"/>
                <w:sz w:val="16"/>
                <w:szCs w:val="16"/>
                <w:color w:val="auto"/>
              </w:rPr>
              <w:t>101.INS</w:t>
            </w:r>
          </w:p>
        </w:tc>
        <w:tc>
          <w:tcPr>
            <w:tcW w:w="9700" w:type="dxa"/>
            <w:vAlign w:val="bottom"/>
            <w:gridSpan w:val="9"/>
          </w:tcPr>
          <w:p>
            <w:pPr>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5"/>
        </w:trPr>
        <w:tc>
          <w:tcPr>
            <w:tcW w:w="1280" w:type="dxa"/>
            <w:vAlign w:val="bottom"/>
            <w:gridSpan w:val="2"/>
            <w:vMerge w:val="continue"/>
          </w:tcPr>
          <w:p>
            <w:pPr>
              <w:spacing w:after="0"/>
              <w:rPr>
                <w:sz w:val="10"/>
                <w:szCs w:val="10"/>
                <w:color w:val="auto"/>
              </w:rPr>
            </w:pPr>
          </w:p>
        </w:tc>
        <w:tc>
          <w:tcPr>
            <w:tcW w:w="9700" w:type="dxa"/>
            <w:vAlign w:val="bottom"/>
            <w:gridSpan w:val="9"/>
            <w:vMerge w:val="restart"/>
          </w:tcPr>
          <w:p>
            <w:pPr>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7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97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12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97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57"/>
        </w:trPr>
        <w:tc>
          <w:tcPr>
            <w:tcW w:w="12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97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2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97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12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97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300" w:hanging="1234"/>
        <w:spacing w:after="0" w:line="187" w:lineRule="auto"/>
        <w:tabs>
          <w:tab w:leader="none" w:pos="130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The cover page of MasTec, Inc.’s Quarterly Report on Form 10-Q for the quarter ended March 31, 2022, formatted in Inline XBRL (included with the Exhibit 101 attachments).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21"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11" w:right="539" w:bottom="1440" w:gutter="0" w:footer="0" w:header="0"/>
        </w:sectPr>
      </w:pPr>
    </w:p>
    <w:bookmarkStart w:id="38" w:name="page39"/>
    <w:bookmarkEnd w:id="38"/>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MASTEC, INC.</w:t>
      </w:r>
    </w:p>
    <w:p>
      <w:pPr>
        <w:spacing w:after="0" w:line="3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6"/>
          <w:szCs w:val="16"/>
          <w:color w:val="auto"/>
        </w:rPr>
        <w:t>Date:</w:t>
        <w:tab/>
        <w:t>May 5, 2022</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2966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José R. Mas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Executive Officer)</w:t>
      </w:r>
    </w:p>
    <w:p>
      <w:pPr>
        <w:spacing w:after="0" w:line="30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17780</wp:posOffset>
            </wp:positionV>
            <wp:extent cx="29660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George L. Pita</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13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TO THE MASTEC, INC.</w:t>
      </w:r>
    </w:p>
    <w:p>
      <w:pPr>
        <w:jc w:val="center"/>
        <w:spacing w:after="0" w:line="211" w:lineRule="auto"/>
        <w:rPr>
          <w:sz w:val="20"/>
          <w:szCs w:val="20"/>
          <w:color w:val="auto"/>
        </w:rPr>
      </w:pPr>
      <w:r>
        <w:rPr>
          <w:rFonts w:ascii="Arial" w:cs="Arial" w:eastAsia="Arial" w:hAnsi="Arial"/>
          <w:sz w:val="16"/>
          <w:szCs w:val="16"/>
          <w:b w:val="1"/>
          <w:bCs w:val="1"/>
          <w:color w:val="auto"/>
        </w:rPr>
        <w:t>AMENDED AND RESTATED</w:t>
      </w:r>
    </w:p>
    <w:p>
      <w:pPr>
        <w:jc w:val="center"/>
        <w:spacing w:after="0"/>
        <w:rPr>
          <w:sz w:val="20"/>
          <w:szCs w:val="20"/>
          <w:color w:val="auto"/>
        </w:rPr>
      </w:pPr>
      <w:r>
        <w:rPr>
          <w:rFonts w:ascii="Arial" w:cs="Arial" w:eastAsia="Arial" w:hAnsi="Arial"/>
          <w:sz w:val="16"/>
          <w:szCs w:val="16"/>
          <w:b w:val="1"/>
          <w:bCs w:val="1"/>
          <w:color w:val="auto"/>
        </w:rPr>
        <w:t>BARGAINING UNITS ESPP</w:t>
      </w:r>
    </w:p>
    <w:p>
      <w:pPr>
        <w:spacing w:after="0" w:line="200" w:lineRule="exact"/>
        <w:rPr>
          <w:sz w:val="20"/>
          <w:szCs w:val="20"/>
          <w:color w:val="auto"/>
        </w:rPr>
      </w:pPr>
    </w:p>
    <w:p>
      <w:pPr>
        <w:spacing w:after="0" w:line="287" w:lineRule="exact"/>
        <w:rPr>
          <w:sz w:val="20"/>
          <w:szCs w:val="20"/>
          <w:color w:val="auto"/>
        </w:rPr>
      </w:pPr>
    </w:p>
    <w:p>
      <w:pPr>
        <w:ind w:firstLine="229"/>
        <w:spacing w:after="0" w:line="26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MasTec,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maintains the MasTec, Inc. Amended and Restated Bargaining Units ESPP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established effective as of July 1,</w:t>
      </w:r>
      <w:r>
        <w:rPr>
          <w:rFonts w:ascii="Arial" w:cs="Arial" w:eastAsia="Arial" w:hAnsi="Arial"/>
          <w:sz w:val="16"/>
          <w:szCs w:val="16"/>
          <w:b w:val="1"/>
          <w:bCs w:val="1"/>
          <w:color w:val="auto"/>
        </w:rPr>
        <w:t xml:space="preserve"> </w:t>
      </w:r>
      <w:r>
        <w:rPr>
          <w:rFonts w:ascii="Arial" w:cs="Arial" w:eastAsia="Arial" w:hAnsi="Arial"/>
          <w:sz w:val="16"/>
          <w:szCs w:val="16"/>
          <w:color w:val="auto"/>
        </w:rPr>
        <w:t>2013, and as most recently amended and restated effective January 1, 2021;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capitalized terms used herein and not herein defined shall have the respective meanings ascribed thereto in the Plan; and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amend the Plan to grant discretion to the Committee to conduct additional Offering Periods under the Plan.</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effective as of December 16, 2021, as follows:</w:t>
      </w:r>
    </w:p>
    <w:p>
      <w:pPr>
        <w:spacing w:after="0" w:line="225" w:lineRule="exact"/>
        <w:rPr>
          <w:sz w:val="20"/>
          <w:szCs w:val="20"/>
          <w:color w:val="auto"/>
        </w:rPr>
      </w:pPr>
    </w:p>
    <w:p>
      <w:pPr>
        <w:ind w:left="660" w:right="6780" w:hanging="328"/>
        <w:spacing w:after="0" w:line="52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 new Section 4(c) of the Plan is hereby added as follows: “(c) </w:t>
      </w:r>
      <w:r>
        <w:rPr>
          <w:rFonts w:ascii="Arial" w:cs="Arial" w:eastAsia="Arial" w:hAnsi="Arial"/>
          <w:sz w:val="16"/>
          <w:szCs w:val="16"/>
          <w:i w:val="1"/>
          <w:iCs w:val="1"/>
          <w:color w:val="auto"/>
        </w:rPr>
        <w:t>Additional Offering Periods</w:t>
      </w:r>
      <w:r>
        <w:rPr>
          <w:rFonts w:ascii="Arial" w:cs="Arial" w:eastAsia="Arial" w:hAnsi="Arial"/>
          <w:sz w:val="16"/>
          <w:szCs w:val="16"/>
          <w:color w:val="auto"/>
        </w:rPr>
        <w:t>.</w:t>
      </w:r>
    </w:p>
    <w:p>
      <w:pPr>
        <w:jc w:val="both"/>
        <w:ind w:left="660" w:firstLine="644"/>
        <w:spacing w:after="0" w:line="234" w:lineRule="auto"/>
        <w:tabs>
          <w:tab w:leader="none" w:pos="1434" w:val="left"/>
        </w:tabs>
        <w:numPr>
          <w:ilvl w:val="1"/>
          <w:numId w:val="18"/>
        </w:numPr>
        <w:rPr>
          <w:rFonts w:ascii="Arial" w:cs="Arial" w:eastAsia="Arial" w:hAnsi="Arial"/>
          <w:sz w:val="15"/>
          <w:szCs w:val="15"/>
          <w:color w:val="auto"/>
        </w:rPr>
      </w:pPr>
      <w:r>
        <w:rPr>
          <w:rFonts w:ascii="Arial" w:cs="Arial" w:eastAsia="Arial" w:hAnsi="Arial"/>
          <w:sz w:val="15"/>
          <w:szCs w:val="15"/>
          <w:color w:val="auto"/>
        </w:rPr>
        <w:t>At the discretion of the Committee, additional Offering Periods (the “</w:t>
      </w:r>
      <w:r>
        <w:rPr>
          <w:rFonts w:ascii="Arial" w:cs="Arial" w:eastAsia="Arial" w:hAnsi="Arial"/>
          <w:sz w:val="15"/>
          <w:szCs w:val="15"/>
          <w:i w:val="1"/>
          <w:iCs w:val="1"/>
          <w:color w:val="auto"/>
        </w:rPr>
        <w:t>Additional Offering Periods</w:t>
      </w:r>
      <w:r>
        <w:rPr>
          <w:rFonts w:ascii="Arial" w:cs="Arial" w:eastAsia="Arial" w:hAnsi="Arial"/>
          <w:sz w:val="15"/>
          <w:szCs w:val="15"/>
          <w:color w:val="auto"/>
        </w:rPr>
        <w:t>”) may be conducted under the Plan as necessary or advisable in the sole discretion of the Committee, permitting grants of options to Participants of certain Designated Subsidiaries. The Additional Offering Periods may run concurrent to the existing Offering Period. Alternatively, the Committee may determine a different commencement and duration of an Additional Offering Period, and Additional Offering Periods may be consecutive or overlapping. The other terms and conditions of each Additional Offering Period shall be those set forth in this Plan document or in terms and conditions approved by the Committee with respect to such Additional Offering Period, with such changes or additional features as the Committee determines in its discretion. Unless otherwise superseded by the terms and conditions approved by the Committee with respect to an Additional Offering Period, the provisions of this Plan document shall govern the operation of any offering conducted hereunder.</w:t>
      </w:r>
    </w:p>
    <w:p>
      <w:pPr>
        <w:spacing w:after="0" w:line="199" w:lineRule="exact"/>
        <w:rPr>
          <w:rFonts w:ascii="Arial" w:cs="Arial" w:eastAsia="Arial" w:hAnsi="Arial"/>
          <w:sz w:val="15"/>
          <w:szCs w:val="15"/>
          <w:color w:val="auto"/>
        </w:rPr>
      </w:pPr>
    </w:p>
    <w:p>
      <w:pPr>
        <w:ind w:left="660" w:right="20" w:firstLine="644"/>
        <w:spacing w:after="0"/>
        <w:tabs>
          <w:tab w:leader="none" w:pos="147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Offering Period and each Additional Offering Period conducted under this Plan is intended to constitute a separate “offering” for purposes of Section 423 of the Code.</w:t>
      </w:r>
    </w:p>
    <w:p>
      <w:pPr>
        <w:spacing w:after="0" w:line="199" w:lineRule="exact"/>
        <w:rPr>
          <w:rFonts w:ascii="Arial" w:cs="Arial" w:eastAsia="Arial" w:hAnsi="Arial"/>
          <w:sz w:val="16"/>
          <w:szCs w:val="16"/>
          <w:color w:val="auto"/>
        </w:rPr>
      </w:pPr>
    </w:p>
    <w:p>
      <w:pPr>
        <w:jc w:val="both"/>
        <w:ind w:left="660" w:firstLine="644"/>
        <w:spacing w:after="0" w:line="230" w:lineRule="auto"/>
        <w:tabs>
          <w:tab w:leader="none" w:pos="1524"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the extent an Offering Period, including any Additional Offering Period, is intended to qualify under Section 423 of the Code, all Participants in such Offering Period or Additional Offering Period shall have the same rights and privileges with respect to their participation in such Offering Period or Additional Offering Period in accordance with Section 423(b)(5) of the Code and the regulations thereunder.”</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Section 11 of the Plan is hereby amended and restated in its entirety, as follows:</w:t>
      </w:r>
    </w:p>
    <w:p>
      <w:pPr>
        <w:spacing w:after="0" w:line="221" w:lineRule="exact"/>
        <w:rPr>
          <w:rFonts w:ascii="Arial" w:cs="Arial" w:eastAsia="Arial" w:hAnsi="Arial"/>
          <w:sz w:val="16"/>
          <w:szCs w:val="16"/>
          <w:color w:val="auto"/>
        </w:rPr>
      </w:pPr>
    </w:p>
    <w:p>
      <w:pPr>
        <w:jc w:val="both"/>
        <w:ind w:left="660"/>
        <w:spacing w:after="0" w:line="248" w:lineRule="auto"/>
        <w:rPr>
          <w:rFonts w:ascii="Arial" w:cs="Arial" w:eastAsia="Arial" w:hAnsi="Arial"/>
          <w:sz w:val="16"/>
          <w:szCs w:val="16"/>
          <w:color w:val="auto"/>
        </w:rPr>
      </w:pPr>
      <w:r>
        <w:rPr>
          <w:rFonts w:ascii="Arial" w:cs="Arial" w:eastAsia="Arial" w:hAnsi="Arial"/>
          <w:sz w:val="15"/>
          <w:szCs w:val="15"/>
          <w:color w:val="auto"/>
        </w:rPr>
        <w:t xml:space="preserve">“11. </w:t>
      </w:r>
      <w:r>
        <w:rPr>
          <w:rFonts w:ascii="Arial" w:cs="Arial" w:eastAsia="Arial" w:hAnsi="Arial"/>
          <w:sz w:val="15"/>
          <w:szCs w:val="15"/>
          <w:i w:val="1"/>
          <w:iCs w:val="1"/>
          <w:color w:val="auto"/>
        </w:rPr>
        <w:t>Beneficiary</w:t>
      </w:r>
      <w:r>
        <w:rPr>
          <w:rFonts w:ascii="Arial" w:cs="Arial" w:eastAsia="Arial" w:hAnsi="Arial"/>
          <w:sz w:val="15"/>
          <w:szCs w:val="15"/>
          <w:color w:val="auto"/>
        </w:rPr>
        <w:t>. In the event of a Participant’s death, the individual or the executor/administrator of the deceased Participant’s estate entitled to receive any shares and/or cash from the Participant’s account (the “</w:t>
      </w:r>
      <w:r>
        <w:rPr>
          <w:rFonts w:ascii="Arial" w:cs="Arial" w:eastAsia="Arial" w:hAnsi="Arial"/>
          <w:sz w:val="15"/>
          <w:szCs w:val="15"/>
          <w:i w:val="1"/>
          <w:iCs w:val="1"/>
          <w:color w:val="auto"/>
        </w:rPr>
        <w:t>Participant’s beneficiary</w:t>
      </w:r>
      <w:r>
        <w:rPr>
          <w:rFonts w:ascii="Arial" w:cs="Arial" w:eastAsia="Arial" w:hAnsi="Arial"/>
          <w:sz w:val="15"/>
          <w:szCs w:val="15"/>
          <w:color w:val="auto"/>
        </w:rPr>
        <w:t>”) may submit a request to the Plan’s third party administrator for the required documentation that will authorize the transfer of ownership of any shares and/or cash in the Participant’s account to the Participant’s beneficiary.”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amended herein, all other provisions of the Plan remain unchanged and in full force and effect.</w:t>
      </w:r>
    </w:p>
    <w:p>
      <w:pPr>
        <w:sectPr>
          <w:pgSz w:w="11900" w:h="16838" w:orient="portrait"/>
          <w:cols w:equalWidth="0" w:num="1">
            <w:col w:w="11240"/>
          </w:cols>
          <w:pgMar w:left="320" w:top="140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TO THE MASTEC, INC.</w:t>
      </w:r>
    </w:p>
    <w:p>
      <w:pPr>
        <w:jc w:val="center"/>
        <w:spacing w:after="0" w:line="211" w:lineRule="auto"/>
        <w:rPr>
          <w:sz w:val="20"/>
          <w:szCs w:val="20"/>
          <w:color w:val="auto"/>
        </w:rPr>
      </w:pPr>
      <w:r>
        <w:rPr>
          <w:rFonts w:ascii="Arial" w:cs="Arial" w:eastAsia="Arial" w:hAnsi="Arial"/>
          <w:sz w:val="16"/>
          <w:szCs w:val="16"/>
          <w:b w:val="1"/>
          <w:bCs w:val="1"/>
          <w:color w:val="auto"/>
        </w:rPr>
        <w:t>AMENDED AND RESTATED</w:t>
      </w:r>
    </w:p>
    <w:p>
      <w:pPr>
        <w:jc w:val="center"/>
        <w:spacing w:after="0"/>
        <w:rPr>
          <w:sz w:val="20"/>
          <w:szCs w:val="20"/>
          <w:color w:val="auto"/>
        </w:rPr>
      </w:pPr>
      <w:r>
        <w:rPr>
          <w:rFonts w:ascii="Arial" w:cs="Arial" w:eastAsia="Arial" w:hAnsi="Arial"/>
          <w:sz w:val="16"/>
          <w:szCs w:val="16"/>
          <w:b w:val="1"/>
          <w:bCs w:val="1"/>
          <w:color w:val="auto"/>
        </w:rPr>
        <w:t>2011 EMPLOYEE STOCK PURCHASE PLAN</w:t>
      </w:r>
    </w:p>
    <w:p>
      <w:pPr>
        <w:spacing w:after="0" w:line="200" w:lineRule="exact"/>
        <w:rPr>
          <w:sz w:val="20"/>
          <w:szCs w:val="20"/>
          <w:color w:val="auto"/>
        </w:rPr>
      </w:pPr>
    </w:p>
    <w:p>
      <w:pPr>
        <w:spacing w:after="0" w:line="287" w:lineRule="exact"/>
        <w:rPr>
          <w:sz w:val="20"/>
          <w:szCs w:val="20"/>
          <w:color w:val="auto"/>
        </w:rPr>
      </w:pPr>
    </w:p>
    <w:p>
      <w:pPr>
        <w:ind w:firstLine="229"/>
        <w:spacing w:after="0" w:line="26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MasTec,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maintains the MasTec, Inc. Amended and Restated 2011 Employee Stock Purchase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established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as of July 1, 2011, and as most recently amended and restated effective January 1, 2021; and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capitalized terms used herein and not herein defined shall have the respective meanings ascribed thereto in the Plan; and</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amend the Plan to grant discretion to the Committee to conduct additional Offering Periods under the Plan.</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effective as of December 16, 2021, as follows:</w:t>
      </w:r>
    </w:p>
    <w:p>
      <w:pPr>
        <w:spacing w:after="0" w:line="225" w:lineRule="exact"/>
        <w:rPr>
          <w:sz w:val="20"/>
          <w:szCs w:val="20"/>
          <w:color w:val="auto"/>
        </w:rPr>
      </w:pPr>
    </w:p>
    <w:p>
      <w:pPr>
        <w:ind w:left="660" w:right="6780" w:hanging="328"/>
        <w:spacing w:after="0" w:line="52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 new Section 4(c) of the Plan is hereby added as follows: “(c) </w:t>
      </w:r>
      <w:r>
        <w:rPr>
          <w:rFonts w:ascii="Arial" w:cs="Arial" w:eastAsia="Arial" w:hAnsi="Arial"/>
          <w:sz w:val="16"/>
          <w:szCs w:val="16"/>
          <w:i w:val="1"/>
          <w:iCs w:val="1"/>
          <w:color w:val="auto"/>
        </w:rPr>
        <w:t>Additional Offering Periods</w:t>
      </w:r>
      <w:r>
        <w:rPr>
          <w:rFonts w:ascii="Arial" w:cs="Arial" w:eastAsia="Arial" w:hAnsi="Arial"/>
          <w:sz w:val="16"/>
          <w:szCs w:val="16"/>
          <w:color w:val="auto"/>
        </w:rPr>
        <w:t>.</w:t>
      </w:r>
    </w:p>
    <w:p>
      <w:pPr>
        <w:jc w:val="both"/>
        <w:ind w:left="660" w:firstLine="644"/>
        <w:spacing w:after="0" w:line="234" w:lineRule="auto"/>
        <w:tabs>
          <w:tab w:leader="none" w:pos="1434" w:val="left"/>
        </w:tabs>
        <w:numPr>
          <w:ilvl w:val="1"/>
          <w:numId w:val="19"/>
        </w:numPr>
        <w:rPr>
          <w:rFonts w:ascii="Arial" w:cs="Arial" w:eastAsia="Arial" w:hAnsi="Arial"/>
          <w:sz w:val="15"/>
          <w:szCs w:val="15"/>
          <w:color w:val="auto"/>
        </w:rPr>
      </w:pPr>
      <w:r>
        <w:rPr>
          <w:rFonts w:ascii="Arial" w:cs="Arial" w:eastAsia="Arial" w:hAnsi="Arial"/>
          <w:sz w:val="15"/>
          <w:szCs w:val="15"/>
          <w:color w:val="auto"/>
        </w:rPr>
        <w:t>At the discretion of the Committee, additional Offering Periods (the “</w:t>
      </w:r>
      <w:r>
        <w:rPr>
          <w:rFonts w:ascii="Arial" w:cs="Arial" w:eastAsia="Arial" w:hAnsi="Arial"/>
          <w:sz w:val="15"/>
          <w:szCs w:val="15"/>
          <w:i w:val="1"/>
          <w:iCs w:val="1"/>
          <w:color w:val="auto"/>
        </w:rPr>
        <w:t>Additional Offering Periods</w:t>
      </w:r>
      <w:r>
        <w:rPr>
          <w:rFonts w:ascii="Arial" w:cs="Arial" w:eastAsia="Arial" w:hAnsi="Arial"/>
          <w:sz w:val="15"/>
          <w:szCs w:val="15"/>
          <w:color w:val="auto"/>
        </w:rPr>
        <w:t>”) may be conducted under the Plan as necessary or advisable in the sole discretion of the Committee, permitting grants of options to Participants of certain Designated Subsidiaries. The Additional Offering Periods may run concurrent to the existing Offering Period. Alternatively, the Committee may determine a different commencement and duration of an Additional Offering Period, and Additional Offering Periods may be consecutive or overlapping. The other terms and conditions of each Additional Offering Period shall be those set forth in this Plan document or in terms and conditions approved by the Committee with respect to such Additional Offering Period, with such changes or additional features as the Committee determines in its discretion. Unless otherwise superseded by the terms and conditions approved by the Committee with respect to an Additional Offering Period, the provisions of this Plan document shall govern the operation of any offering conducted hereunder.</w:t>
      </w:r>
    </w:p>
    <w:p>
      <w:pPr>
        <w:spacing w:after="0" w:line="199" w:lineRule="exact"/>
        <w:rPr>
          <w:rFonts w:ascii="Arial" w:cs="Arial" w:eastAsia="Arial" w:hAnsi="Arial"/>
          <w:sz w:val="15"/>
          <w:szCs w:val="15"/>
          <w:color w:val="auto"/>
        </w:rPr>
      </w:pPr>
    </w:p>
    <w:p>
      <w:pPr>
        <w:ind w:left="660" w:right="20" w:firstLine="644"/>
        <w:spacing w:after="0"/>
        <w:tabs>
          <w:tab w:leader="none" w:pos="147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Offering Period and each Additional Offering Period conducted under this Plan is intended to constitute a separate “offering” for purposes of Section 423 of the Code.</w:t>
      </w:r>
    </w:p>
    <w:p>
      <w:pPr>
        <w:spacing w:after="0" w:line="199" w:lineRule="exact"/>
        <w:rPr>
          <w:rFonts w:ascii="Arial" w:cs="Arial" w:eastAsia="Arial" w:hAnsi="Arial"/>
          <w:sz w:val="16"/>
          <w:szCs w:val="16"/>
          <w:color w:val="auto"/>
        </w:rPr>
      </w:pPr>
    </w:p>
    <w:p>
      <w:pPr>
        <w:jc w:val="both"/>
        <w:ind w:left="660" w:firstLine="644"/>
        <w:spacing w:after="0" w:line="230" w:lineRule="auto"/>
        <w:tabs>
          <w:tab w:leader="none" w:pos="152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the extent an Offering Period, including any Additional Offering Period, is intended to qualify under Section 423 of the Code, all Participants in such Offering Period or Additional Offering Period shall have the same rights and privileges with respect to their participation in such Offering Period or Additional Offering Period in accordance with Section 423(b)(5) of the Code and the regulations thereunder.”</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Section 11 of the Plan is hereby amended and restated in its entirety, as follows:</w:t>
      </w:r>
    </w:p>
    <w:p>
      <w:pPr>
        <w:spacing w:after="0" w:line="221" w:lineRule="exact"/>
        <w:rPr>
          <w:rFonts w:ascii="Arial" w:cs="Arial" w:eastAsia="Arial" w:hAnsi="Arial"/>
          <w:sz w:val="16"/>
          <w:szCs w:val="16"/>
          <w:color w:val="auto"/>
        </w:rPr>
      </w:pPr>
    </w:p>
    <w:p>
      <w:pPr>
        <w:jc w:val="both"/>
        <w:ind w:left="660"/>
        <w:spacing w:after="0" w:line="248" w:lineRule="auto"/>
        <w:rPr>
          <w:rFonts w:ascii="Arial" w:cs="Arial" w:eastAsia="Arial" w:hAnsi="Arial"/>
          <w:sz w:val="16"/>
          <w:szCs w:val="16"/>
          <w:color w:val="auto"/>
        </w:rPr>
      </w:pPr>
      <w:r>
        <w:rPr>
          <w:rFonts w:ascii="Arial" w:cs="Arial" w:eastAsia="Arial" w:hAnsi="Arial"/>
          <w:sz w:val="15"/>
          <w:szCs w:val="15"/>
          <w:color w:val="auto"/>
        </w:rPr>
        <w:t xml:space="preserve">“11. </w:t>
      </w:r>
      <w:r>
        <w:rPr>
          <w:rFonts w:ascii="Arial" w:cs="Arial" w:eastAsia="Arial" w:hAnsi="Arial"/>
          <w:sz w:val="15"/>
          <w:szCs w:val="15"/>
          <w:i w:val="1"/>
          <w:iCs w:val="1"/>
          <w:color w:val="auto"/>
        </w:rPr>
        <w:t>Beneficiary</w:t>
      </w:r>
      <w:r>
        <w:rPr>
          <w:rFonts w:ascii="Arial" w:cs="Arial" w:eastAsia="Arial" w:hAnsi="Arial"/>
          <w:sz w:val="15"/>
          <w:szCs w:val="15"/>
          <w:color w:val="auto"/>
        </w:rPr>
        <w:t>. In the event of a Participant’s death, the individual or the executor/administrator of the deceased Participant’s estate entitled to receive any shares and/or cash from the Participant’s account (the “</w:t>
      </w:r>
      <w:r>
        <w:rPr>
          <w:rFonts w:ascii="Arial" w:cs="Arial" w:eastAsia="Arial" w:hAnsi="Arial"/>
          <w:sz w:val="15"/>
          <w:szCs w:val="15"/>
          <w:i w:val="1"/>
          <w:iCs w:val="1"/>
          <w:color w:val="auto"/>
        </w:rPr>
        <w:t>Participant’s beneficiary</w:t>
      </w:r>
      <w:r>
        <w:rPr>
          <w:rFonts w:ascii="Arial" w:cs="Arial" w:eastAsia="Arial" w:hAnsi="Arial"/>
          <w:sz w:val="15"/>
          <w:szCs w:val="15"/>
          <w:color w:val="auto"/>
        </w:rPr>
        <w:t>”) may submit a request to the Plan’s third party administrator for the required documentation that will authorize the transfer of ownership of any shares and/or cash in the Participant’s account to the Participant’s beneficiary.”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amended herein, all other provisions of the Plan remain unchanged and in full force and effect.</w:t>
      </w:r>
    </w:p>
    <w:p>
      <w:pPr>
        <w:sectPr>
          <w:pgSz w:w="11900" w:h="16838" w:orient="portrait"/>
          <w:cols w:equalWidth="0" w:num="1">
            <w:col w:w="11240"/>
          </w:cols>
          <w:pgMar w:left="320" w:top="140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9"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1" w:lineRule="auto"/>
        <w:tabs>
          <w:tab w:leader="none" w:pos="8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9" w:lineRule="exact"/>
        <w:rPr>
          <w:rFonts w:ascii="Arial" w:cs="Arial" w:eastAsia="Arial" w:hAnsi="Arial"/>
          <w:sz w:val="16"/>
          <w:szCs w:val="16"/>
          <w:color w:val="auto"/>
        </w:rPr>
      </w:pPr>
    </w:p>
    <w:p>
      <w:pPr>
        <w:ind w:left="980" w:hanging="486"/>
        <w:spacing w:after="0" w:line="261" w:lineRule="auto"/>
        <w:tabs>
          <w:tab w:leader="none" w:pos="8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10" w:lineRule="auto"/>
        <w:tabs>
          <w:tab w:leader="none" w:pos="826"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sz w:val="20"/>
          <w:szCs w:val="20"/>
          <w:color w:val="auto"/>
        </w:rPr>
      </w:pPr>
    </w:p>
    <w:p>
      <w:pPr>
        <w:ind w:left="980" w:hanging="486"/>
        <w:spacing w:after="0" w:line="275" w:lineRule="auto"/>
        <w:tabs>
          <w:tab w:leader="none" w:pos="8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5, 2022</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ind w:left="5000"/>
        <w:spacing w:after="0" w:line="211" w:lineRule="auto"/>
        <w:rPr>
          <w:sz w:val="20"/>
          <w:szCs w:val="20"/>
          <w:color w:val="auto"/>
        </w:rPr>
      </w:pPr>
      <w:r>
        <w:rPr>
          <w:rFonts w:ascii="Arial" w:cs="Arial" w:eastAsia="Arial" w:hAnsi="Arial"/>
          <w:sz w:val="16"/>
          <w:szCs w:val="16"/>
          <w:color w:val="auto"/>
        </w:rPr>
        <w:t>Chief Executive Officer</w:t>
      </w:r>
    </w:p>
    <w:p>
      <w:pPr>
        <w:ind w:left="50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9"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1" w:lineRule="auto"/>
        <w:tabs>
          <w:tab w:leader="none" w:pos="8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9" w:lineRule="exact"/>
        <w:rPr>
          <w:rFonts w:ascii="Arial" w:cs="Arial" w:eastAsia="Arial" w:hAnsi="Arial"/>
          <w:sz w:val="16"/>
          <w:szCs w:val="16"/>
          <w:color w:val="auto"/>
        </w:rPr>
      </w:pPr>
    </w:p>
    <w:p>
      <w:pPr>
        <w:ind w:left="980" w:hanging="486"/>
        <w:spacing w:after="0" w:line="261" w:lineRule="auto"/>
        <w:tabs>
          <w:tab w:leader="none" w:pos="8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10" w:lineRule="auto"/>
        <w:tabs>
          <w:tab w:leader="none" w:pos="826"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sz w:val="20"/>
          <w:szCs w:val="20"/>
          <w:color w:val="auto"/>
        </w:rPr>
      </w:pPr>
    </w:p>
    <w:p>
      <w:pPr>
        <w:ind w:left="980" w:hanging="486"/>
        <w:spacing w:after="0" w:line="275" w:lineRule="auto"/>
        <w:tabs>
          <w:tab w:leader="none" w:pos="8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5, 2022</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7514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left="60"/>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2022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210" w:lineRule="exact"/>
        <w:rPr>
          <w:sz w:val="20"/>
          <w:szCs w:val="20"/>
          <w:color w:val="auto"/>
        </w:rPr>
      </w:pPr>
    </w:p>
    <w:p>
      <w:pPr>
        <w:ind w:left="900" w:hanging="3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900" w:hanging="3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May 5, 2022</w:t>
      </w:r>
    </w:p>
    <w:p>
      <w:pPr>
        <w:spacing w:after="0" w:line="302" w:lineRule="exact"/>
        <w:rPr>
          <w:sz w:val="20"/>
          <w:szCs w:val="20"/>
          <w:color w:val="auto"/>
        </w:rPr>
      </w:pPr>
    </w:p>
    <w:p>
      <w:pPr>
        <w:ind w:left="414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17780</wp:posOffset>
            </wp:positionV>
            <wp:extent cx="2503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8"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José R. Mas</w:t>
      </w:r>
    </w:p>
    <w:p>
      <w:pPr>
        <w:ind w:left="4780"/>
        <w:spacing w:after="0" w:line="211" w:lineRule="auto"/>
        <w:rPr>
          <w:sz w:val="20"/>
          <w:szCs w:val="20"/>
          <w:color w:val="auto"/>
        </w:rPr>
      </w:pPr>
      <w:r>
        <w:rPr>
          <w:rFonts w:ascii="Arial" w:cs="Arial" w:eastAsia="Arial" w:hAnsi="Arial"/>
          <w:sz w:val="16"/>
          <w:szCs w:val="16"/>
          <w:color w:val="auto"/>
        </w:rPr>
        <w:t>Chief Executive Officer</w:t>
      </w:r>
    </w:p>
    <w:p>
      <w:pPr>
        <w:ind w:left="4780"/>
        <w:spacing w:after="0"/>
        <w:rPr>
          <w:sz w:val="20"/>
          <w:szCs w:val="20"/>
          <w:color w:val="auto"/>
        </w:rPr>
      </w:pPr>
      <w:r>
        <w:rPr>
          <w:rFonts w:ascii="Arial" w:cs="Arial" w:eastAsia="Arial" w:hAnsi="Arial"/>
          <w:sz w:val="16"/>
          <w:szCs w:val="16"/>
          <w:color w:val="auto"/>
        </w:rPr>
        <w:t>(Principal Executive Officer)</w:t>
      </w:r>
    </w:p>
    <w:p>
      <w:pPr>
        <w:spacing w:after="0" w:line="342" w:lineRule="exact"/>
        <w:rPr>
          <w:sz w:val="20"/>
          <w:szCs w:val="20"/>
          <w:color w:val="auto"/>
        </w:rPr>
      </w:pPr>
    </w:p>
    <w:p>
      <w:pPr>
        <w:ind w:left="60"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2022, or as a separate disclosure document of the Company or the certifying officers.</w:t>
      </w:r>
    </w:p>
    <w:p>
      <w:pPr>
        <w:sectPr>
          <w:pgSz w:w="11900" w:h="16838" w:orient="portrait"/>
          <w:cols w:equalWidth="0" w:num="1">
            <w:col w:w="11300"/>
          </w:cols>
          <w:pgMar w:left="26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2022 as filed with the Securities and Exchange Commission on the date hereof (the “Report”), I, George L. Pita, Executive Vice President and Chief Financial Officer of MasTec, Inc., certify, pursuant to 18 U.S.C. Section 1350, as adopted pursuant to Section 906 of the Sarbanes-Oxley Act of 2002, that, to the best of my knowledge:</w:t>
      </w:r>
    </w:p>
    <w:p>
      <w:pPr>
        <w:spacing w:after="0" w:line="210" w:lineRule="exact"/>
        <w:rPr>
          <w:sz w:val="20"/>
          <w:szCs w:val="20"/>
          <w:color w:val="auto"/>
        </w:rPr>
      </w:pPr>
    </w:p>
    <w:p>
      <w:pPr>
        <w:ind w:left="840" w:hanging="346"/>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20" w:right="1000" w:firstLine="474"/>
        <w:spacing w:after="0" w:line="469" w:lineRule="auto"/>
        <w:tabs>
          <w:tab w:leader="none" w:pos="8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May 5, 2022</w:t>
      </w:r>
    </w:p>
    <w:p>
      <w:pPr>
        <w:spacing w:after="0" w:line="104"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30086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34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2022,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45" w:name="page46"/>
    <w:bookmarkEnd w:id="45"/>
    <w:p>
      <w:pPr>
        <w:ind w:left="10160"/>
        <w:spacing w:after="0"/>
        <w:rPr>
          <w:sz w:val="20"/>
          <w:szCs w:val="20"/>
          <w:color w:val="auto"/>
        </w:rPr>
      </w:pPr>
      <w:r>
        <w:rPr>
          <w:rFonts w:ascii="Arial" w:cs="Arial" w:eastAsia="Arial" w:hAnsi="Arial"/>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MINE SAFETY DISCLOSURES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One of our acquired businesses operates aggregate mines that are subject to regulation by the federal Mine Safety and Health Administration (“MSHA”) under the Federal Mine Safety and Health Act of 1977, 30 U.S.C. § 801 </w:t>
      </w:r>
      <w:r>
        <w:rPr>
          <w:rFonts w:ascii="Arial" w:cs="Arial" w:eastAsia="Arial" w:hAnsi="Arial"/>
          <w:sz w:val="16"/>
          <w:szCs w:val="16"/>
          <w:i w:val="1"/>
          <w:iCs w:val="1"/>
          <w:color w:val="auto"/>
        </w:rPr>
        <w:t>et seq</w:t>
      </w:r>
      <w:r>
        <w:rPr>
          <w:rFonts w:ascii="Arial" w:cs="Arial" w:eastAsia="Arial" w:hAnsi="Arial"/>
          <w:sz w:val="16"/>
          <w:szCs w:val="16"/>
          <w:color w:val="auto"/>
        </w:rPr>
        <w:t>. (the “Mine Act”). Set forth below is the required information regarding certain mining safety and health matters for the quarter ended March 31, 2022. Citations and orders may be contested and appealed, and in that process, may be reduced in severity and amount, and are sometimes dismissed. The table below includes references to specific sections of the Mine Act.</w:t>
      </w:r>
    </w:p>
    <w:p>
      <w:pPr>
        <w:spacing w:after="0" w:line="80"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6"/>
          <w:szCs w:val="16"/>
          <w:color w:val="auto"/>
        </w:rPr>
        <w:t>The information in the table below is presented by mine, consistent with the manner in which we maintain safety and compliance information about our mining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Section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Section</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Section</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Section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6"/>
              </w:rPr>
              <w:t>Section</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Pending</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104(d)</w:t>
            </w: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Proposed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104</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104(b)</w:t>
            </w:r>
          </w:p>
        </w:tc>
        <w:tc>
          <w:tcPr>
            <w:tcW w:w="1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Citations and</w:t>
            </w:r>
          </w:p>
        </w:tc>
        <w:tc>
          <w:tcPr>
            <w:tcW w:w="11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110(b)(2)</w:t>
            </w:r>
          </w:p>
        </w:tc>
        <w:tc>
          <w:tcPr>
            <w:tcW w:w="1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107(a)</w:t>
            </w:r>
          </w:p>
        </w:tc>
        <w:tc>
          <w:tcPr>
            <w:tcW w:w="138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Legal</w:t>
            </w:r>
          </w:p>
        </w:tc>
        <w:tc>
          <w:tcPr>
            <w:tcW w:w="0" w:type="dxa"/>
            <w:vAlign w:val="bottom"/>
          </w:tcPr>
          <w:p>
            <w:pPr>
              <w:spacing w:after="0"/>
              <w:rPr>
                <w:sz w:val="1"/>
                <w:szCs w:val="1"/>
                <w:color w:val="auto"/>
              </w:rPr>
            </w:pPr>
          </w:p>
        </w:tc>
      </w:tr>
      <w:tr>
        <w:trPr>
          <w:trHeight w:val="25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Mine Name / ID</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Citations</w:t>
            </w:r>
            <w:r>
              <w:rPr>
                <w:rFonts w:ascii="Arial" w:cs="Arial" w:eastAsia="Arial" w:hAnsi="Arial"/>
                <w:sz w:val="21"/>
                <w:szCs w:val="21"/>
                <w:b w:val="1"/>
                <w:bCs w:val="1"/>
                <w:color w:val="auto"/>
                <w:w w:val="88"/>
                <w:vertAlign w:val="superscript"/>
              </w:rPr>
              <w:t>(a)</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Orders</w:t>
            </w:r>
            <w:r>
              <w:rPr>
                <w:rFonts w:ascii="Arial" w:cs="Arial" w:eastAsia="Arial" w:hAnsi="Arial"/>
                <w:sz w:val="21"/>
                <w:szCs w:val="21"/>
                <w:b w:val="1"/>
                <w:bCs w:val="1"/>
                <w:color w:val="auto"/>
                <w:w w:val="88"/>
                <w:vertAlign w:val="superscript"/>
              </w:rPr>
              <w:t>(b)</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Orders</w:t>
            </w:r>
            <w:r>
              <w:rPr>
                <w:rFonts w:ascii="Arial" w:cs="Arial" w:eastAsia="Arial" w:hAnsi="Arial"/>
                <w:sz w:val="21"/>
                <w:szCs w:val="21"/>
                <w:b w:val="1"/>
                <w:bCs w:val="1"/>
                <w:color w:val="auto"/>
                <w:w w:val="89"/>
                <w:vertAlign w:val="superscript"/>
              </w:rPr>
              <w:t>(c)</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Violations</w:t>
            </w:r>
            <w:r>
              <w:rPr>
                <w:rFonts w:ascii="Arial" w:cs="Arial" w:eastAsia="Arial" w:hAnsi="Arial"/>
                <w:sz w:val="21"/>
                <w:szCs w:val="21"/>
                <w:b w:val="1"/>
                <w:bCs w:val="1"/>
                <w:color w:val="auto"/>
                <w:w w:val="86"/>
                <w:vertAlign w:val="superscript"/>
              </w:rPr>
              <w:t>(d)</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Orders</w:t>
            </w:r>
            <w:r>
              <w:rPr>
                <w:rFonts w:ascii="Arial" w:cs="Arial" w:eastAsia="Arial" w:hAnsi="Arial"/>
                <w:sz w:val="21"/>
                <w:szCs w:val="21"/>
                <w:b w:val="1"/>
                <w:bCs w:val="1"/>
                <w:color w:val="auto"/>
                <w:w w:val="89"/>
                <w:vertAlign w:val="superscript"/>
              </w:rPr>
              <w:t>(e)</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1"/>
              </w:rPr>
              <w:t>Assessments</w:t>
            </w:r>
            <w:r>
              <w:rPr>
                <w:rFonts w:ascii="Arial" w:cs="Arial" w:eastAsia="Arial" w:hAnsi="Arial"/>
                <w:sz w:val="21"/>
                <w:szCs w:val="21"/>
                <w:b w:val="1"/>
                <w:bCs w:val="1"/>
                <w:color w:val="auto"/>
                <w:w w:val="81"/>
                <w:vertAlign w:val="superscript"/>
              </w:rPr>
              <w:t>(f)</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Fatalities</w:t>
            </w:r>
            <w:r>
              <w:rPr>
                <w:rFonts w:ascii="Arial" w:cs="Arial" w:eastAsia="Arial" w:hAnsi="Arial"/>
                <w:sz w:val="21"/>
                <w:szCs w:val="21"/>
                <w:b w:val="1"/>
                <w:bCs w:val="1"/>
                <w:color w:val="auto"/>
                <w:w w:val="87"/>
                <w:vertAlign w:val="superscript"/>
              </w:rPr>
              <w:t>(g)</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Action</w:t>
            </w:r>
            <w:r>
              <w:rPr>
                <w:rFonts w:ascii="Arial" w:cs="Arial" w:eastAsia="Arial" w:hAnsi="Arial"/>
                <w:sz w:val="21"/>
                <w:szCs w:val="21"/>
                <w:b w:val="1"/>
                <w:bCs w:val="1"/>
                <w:color w:val="auto"/>
                <w:w w:val="85"/>
                <w:vertAlign w:val="superscript"/>
              </w:rPr>
              <w:t>(h)</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1 / 02-03091</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FNF Crushing 2 / 02-02622</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3 / 02-02774</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FNF Crushing 4 / 02-03036</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5 / 29-02226</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FNF Crushing 6 / 02-02589</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FNF Crushing 7 / 02-03079</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FNF Crushing 8 / 02-03035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right="45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hanging="252"/>
        <w:spacing w:after="0" w:line="281" w:lineRule="auto"/>
        <w:tabs>
          <w:tab w:leader="none" w:pos="351"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violations of mandatory health or safety standards that could significantly and substantially contribute to the cause and effect of a mine safety or health hazard under Section 104(b) of the Mine Act for which the operator received a citation from the MSHA.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104(b) of the Mine Act.</w:t>
      </w:r>
    </w:p>
    <w:p>
      <w:pPr>
        <w:spacing w:after="0" w:line="28" w:lineRule="exact"/>
        <w:rPr>
          <w:rFonts w:ascii="Arial" w:cs="Arial" w:eastAsia="Arial" w:hAnsi="Arial"/>
          <w:sz w:val="14"/>
          <w:szCs w:val="14"/>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total number of citations and orders for unwarrantable failure of the mine operator to comply with mandatory health or safety standards under Section 104(d) of the Mine Act.</w:t>
      </w:r>
    </w:p>
    <w:p>
      <w:pPr>
        <w:spacing w:after="0" w:line="39" w:lineRule="exact"/>
        <w:rPr>
          <w:rFonts w:ascii="Arial" w:cs="Arial" w:eastAsia="Arial" w:hAnsi="Arial"/>
          <w:sz w:val="13"/>
          <w:szCs w:val="13"/>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flagrant violations under Section 110(b)(2) of the Mine Act.</w:t>
      </w:r>
    </w:p>
    <w:p>
      <w:pPr>
        <w:spacing w:after="0" w:line="28" w:lineRule="exact"/>
        <w:rPr>
          <w:rFonts w:ascii="Arial" w:cs="Arial" w:eastAsia="Arial" w:hAnsi="Arial"/>
          <w:sz w:val="14"/>
          <w:szCs w:val="14"/>
          <w:color w:val="auto"/>
        </w:rPr>
      </w:pPr>
    </w:p>
    <w:p>
      <w:pPr>
        <w:ind w:left="300" w:hanging="29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imminent danger orders issued under Section 107(a) of the Mine Act.</w:t>
      </w:r>
    </w:p>
    <w:p>
      <w:pPr>
        <w:spacing w:after="0" w:line="28" w:lineRule="exact"/>
        <w:rPr>
          <w:rFonts w:ascii="Arial" w:cs="Arial" w:eastAsia="Arial" w:hAnsi="Arial"/>
          <w:sz w:val="14"/>
          <w:szCs w:val="14"/>
          <w:color w:val="auto"/>
        </w:rPr>
      </w:pPr>
    </w:p>
    <w:p>
      <w:pPr>
        <w:ind w:left="300" w:hanging="292"/>
        <w:spacing w:after="0"/>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dollar value of proposed assessments from the MSHA under the Mine Act.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total number of mining-related fatalities.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pending legal action before the Federal Mine Safety and Health Review Commission involving the applicable mine(s).</w:t>
      </w:r>
    </w:p>
    <w:p>
      <w:pPr>
        <w:spacing w:after="0" w:line="19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5"/>
          <w:szCs w:val="15"/>
          <w:color w:val="auto"/>
        </w:rPr>
        <w:t>During the quarter ended March 31, 2022,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 Additionally, during the quarter ended March 31, 2022, one legal action was resolved with the Federal Mine Safety and Health Review Commission (the “FMSHRC”) of a proposed civil penalty of an alleged violation involving Mine ID #29-02226. MSHA elected to vacate the citation and dismiss the $125 penalty, and on February 9, 2022, the FMSHRC entered an Order of Dismissal.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104"/>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2."/>
      <w:numFmt w:val="lowerRoman"/>
      <w:start w:val="1"/>
    </w:lvl>
  </w:abstractNum>
  <w:abstractNum w:abstractNumId="18">
    <w:nsid w:val="2443A858"/>
    <w:multiLevelType w:val="hybridMultilevel"/>
    <w:lvl w:ilvl="0">
      <w:lvlJc w:val="left"/>
      <w:lvlText w:val="%1."/>
      <w:numFmt w:val="decimal"/>
      <w:start w:val="1"/>
    </w:lvl>
    <w:lvl w:ilvl="1">
      <w:lvlJc w:val="left"/>
      <w:lvlText w:val="%2."/>
      <w:numFmt w:val="lowerRoman"/>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2022-05-05T16:38:07Z</dcterms:created>
  <dcterms:modified xsi:type="dcterms:W3CDTF">2022-05-05T16:38:07Z</dcterms:modified>
</cp:coreProperties>
</file>