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3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230" w:lineRule="auto"/>
        <w:rPr>
          <w:sz w:val="20"/>
          <w:szCs w:val="20"/>
          <w:color w:val="auto"/>
        </w:rPr>
      </w:pPr>
      <w:r>
        <w:rPr>
          <w:rFonts w:ascii="Times New Roman" w:cs="Times New Roman" w:eastAsia="Times New Roman" w:hAnsi="Times New Roman"/>
          <w:sz w:val="16"/>
          <w:szCs w:val="16"/>
          <w:b w:val="1"/>
          <w:bCs w:val="1"/>
          <w:color w:val="auto"/>
        </w:rPr>
        <w:t>(Mark One)</w:t>
      </w:r>
    </w:p>
    <w:p>
      <w:pPr>
        <w:ind w:right="160" w:firstLine="3"/>
        <w:spacing w:after="0" w:line="268" w:lineRule="auto"/>
        <w:tabs>
          <w:tab w:leader="none" w:pos="33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3"/>
          <w:szCs w:val="23"/>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September 30, 2019</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20" w:lineRule="exact"/>
        <w:rPr>
          <w:sz w:val="24"/>
          <w:szCs w:val="24"/>
          <w:color w:val="auto"/>
        </w:rPr>
      </w:pPr>
    </w:p>
    <w:p>
      <w:pPr>
        <w:ind w:firstLine="3"/>
        <w:spacing w:after="0" w:line="260" w:lineRule="auto"/>
        <w:tabs>
          <w:tab w:leader="none" w:pos="37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3"/>
          <w:szCs w:val="23"/>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transition period from __ to 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Commission File Number 001-08106</w:t>
      </w:r>
    </w:p>
    <w:p>
      <w:pPr>
        <w:spacing w:after="0" w:line="2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142875</wp:posOffset>
            </wp:positionV>
            <wp:extent cx="935355"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35355" cy="18034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MasTec,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132" w:lineRule="exact"/>
        <w:rPr>
          <w:sz w:val="24"/>
          <w:szCs w:val="24"/>
          <w:color w:val="auto"/>
        </w:rPr>
      </w:pPr>
    </w:p>
    <w:tbl>
      <w:tblPr>
        <w:tblLayout w:type="fixed"/>
        <w:tblInd w:w="1260" w:type="dxa"/>
        <w:tblCellMar>
          <w:top w:w="0" w:type="dxa"/>
          <w:left w:w="0" w:type="dxa"/>
          <w:bottom w:w="0" w:type="dxa"/>
          <w:right w:w="0" w:type="dxa"/>
        </w:tblCellMar>
      </w:tblPr>
      <w:tr>
        <w:trPr>
          <w:trHeight w:val="204"/>
        </w:trPr>
        <w:tc>
          <w:tcPr>
            <w:tcW w:w="840" w:type="dxa"/>
            <w:vAlign w:val="bottom"/>
          </w:tcPr>
          <w:p>
            <w:pPr>
              <w:spacing w:after="0"/>
              <w:rPr>
                <w:sz w:val="17"/>
                <w:szCs w:val="17"/>
                <w:color w:val="auto"/>
              </w:rPr>
            </w:pPr>
          </w:p>
        </w:tc>
        <w:tc>
          <w:tcPr>
            <w:tcW w:w="1960" w:type="dxa"/>
            <w:vAlign w:val="bottom"/>
            <w:gridSpan w:val="2"/>
          </w:tcPr>
          <w:p>
            <w:pPr>
              <w:jc w:val="center"/>
              <w:ind w:right="362"/>
              <w:spacing w:after="0"/>
              <w:rPr>
                <w:sz w:val="20"/>
                <w:szCs w:val="20"/>
                <w:color w:val="auto"/>
              </w:rPr>
            </w:pPr>
            <w:r>
              <w:rPr>
                <w:rFonts w:ascii="Times New Roman" w:cs="Times New Roman" w:eastAsia="Times New Roman" w:hAnsi="Times New Roman"/>
                <w:sz w:val="16"/>
                <w:szCs w:val="16"/>
                <w:b w:val="1"/>
                <w:bCs w:val="1"/>
                <w:color w:val="auto"/>
                <w:w w:val="94"/>
              </w:rPr>
              <w:t>Florida</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40" w:type="dxa"/>
            <w:vAlign w:val="bottom"/>
            <w:gridSpan w:val="2"/>
          </w:tcPr>
          <w:p>
            <w:pPr>
              <w:jc w:val="right"/>
              <w:ind w:right="1129"/>
              <w:spacing w:after="0"/>
              <w:rPr>
                <w:sz w:val="20"/>
                <w:szCs w:val="20"/>
                <w:color w:val="auto"/>
              </w:rPr>
            </w:pPr>
            <w:r>
              <w:rPr>
                <w:rFonts w:ascii="Times New Roman" w:cs="Times New Roman" w:eastAsia="Times New Roman" w:hAnsi="Times New Roman"/>
                <w:sz w:val="16"/>
                <w:szCs w:val="16"/>
                <w:b w:val="1"/>
                <w:bCs w:val="1"/>
                <w:color w:val="auto"/>
              </w:rPr>
              <w:t>65-0829355</w:t>
            </w:r>
          </w:p>
        </w:tc>
        <w:tc>
          <w:tcPr>
            <w:tcW w:w="0" w:type="dxa"/>
            <w:vAlign w:val="bottom"/>
          </w:tcPr>
          <w:p>
            <w:pPr>
              <w:spacing w:after="0"/>
              <w:rPr>
                <w:sz w:val="1"/>
                <w:szCs w:val="1"/>
                <w:color w:val="auto"/>
              </w:rPr>
            </w:pPr>
          </w:p>
        </w:tc>
      </w:tr>
      <w:tr>
        <w:trPr>
          <w:trHeight w:val="212"/>
        </w:trPr>
        <w:tc>
          <w:tcPr>
            <w:tcW w:w="6340" w:type="dxa"/>
            <w:vAlign w:val="bottom"/>
            <w:gridSpan w:val="6"/>
          </w:tcPr>
          <w:p>
            <w:pPr>
              <w:jc w:val="center"/>
              <w:ind w:right="3140"/>
              <w:spacing w:after="0"/>
              <w:rPr>
                <w:sz w:val="20"/>
                <w:szCs w:val="20"/>
                <w:color w:val="auto"/>
              </w:rPr>
            </w:pPr>
            <w:r>
              <w:rPr>
                <w:rFonts w:ascii="Times New Roman" w:cs="Times New Roman" w:eastAsia="Times New Roman" w:hAnsi="Times New Roman"/>
                <w:sz w:val="13"/>
                <w:szCs w:val="13"/>
                <w:b w:val="1"/>
                <w:bCs w:val="1"/>
                <w:i w:val="1"/>
                <w:iCs w:val="1"/>
                <w:color w:val="auto"/>
                <w:w w:val="98"/>
              </w:rPr>
              <w:t>(State or other jurisdiction of incorporation or organization)</w:t>
            </w:r>
          </w:p>
        </w:tc>
        <w:tc>
          <w:tcPr>
            <w:tcW w:w="2540" w:type="dxa"/>
            <w:vAlign w:val="bottom"/>
            <w:gridSpan w:val="2"/>
          </w:tcPr>
          <w:p>
            <w:pPr>
              <w:jc w:val="center"/>
              <w:ind w:right="549"/>
              <w:spacing w:after="0"/>
              <w:rPr>
                <w:sz w:val="20"/>
                <w:szCs w:val="20"/>
                <w:color w:val="auto"/>
              </w:rPr>
            </w:pPr>
            <w:r>
              <w:rPr>
                <w:rFonts w:ascii="Times New Roman" w:cs="Times New Roman" w:eastAsia="Times New Roman" w:hAnsi="Times New Roman"/>
                <w:sz w:val="13"/>
                <w:szCs w:val="13"/>
                <w:b w:val="1"/>
                <w:bCs w:val="1"/>
                <w:i w:val="1"/>
                <w:iCs w:val="1"/>
                <w:color w:val="auto"/>
                <w:w w:val="99"/>
              </w:rPr>
              <w:t>(I.R.S. Employer Identification No.)</w:t>
            </w:r>
          </w:p>
        </w:tc>
        <w:tc>
          <w:tcPr>
            <w:tcW w:w="0" w:type="dxa"/>
            <w:vAlign w:val="bottom"/>
          </w:tcPr>
          <w:p>
            <w:pPr>
              <w:spacing w:after="0"/>
              <w:rPr>
                <w:sz w:val="1"/>
                <w:szCs w:val="1"/>
                <w:color w:val="auto"/>
              </w:rPr>
            </w:pPr>
          </w:p>
        </w:tc>
      </w:tr>
      <w:tr>
        <w:trPr>
          <w:trHeight w:val="409"/>
        </w:trPr>
        <w:tc>
          <w:tcPr>
            <w:tcW w:w="2800" w:type="dxa"/>
            <w:vAlign w:val="bottom"/>
            <w:gridSpan w:val="3"/>
          </w:tcPr>
          <w:p>
            <w:pPr>
              <w:jc w:val="center"/>
              <w:ind w:left="328"/>
              <w:spacing w:after="0"/>
              <w:rPr>
                <w:sz w:val="20"/>
                <w:szCs w:val="20"/>
                <w:color w:val="auto"/>
              </w:rPr>
            </w:pPr>
            <w:r>
              <w:rPr>
                <w:rFonts w:ascii="Times New Roman" w:cs="Times New Roman" w:eastAsia="Times New Roman" w:hAnsi="Times New Roman"/>
                <w:sz w:val="16"/>
                <w:szCs w:val="16"/>
                <w:b w:val="1"/>
                <w:bCs w:val="1"/>
                <w:color w:val="auto"/>
                <w:w w:val="96"/>
              </w:rPr>
              <w:t>800 S. Douglas Road, 12th Floor</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80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Coral Gables, Florida</w:t>
            </w:r>
          </w:p>
        </w:tc>
        <w:tc>
          <w:tcPr>
            <w:tcW w:w="1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540" w:type="dxa"/>
            <w:vAlign w:val="bottom"/>
            <w:gridSpan w:val="2"/>
          </w:tcPr>
          <w:p>
            <w:pPr>
              <w:jc w:val="right"/>
              <w:ind w:right="1309"/>
              <w:spacing w:after="0"/>
              <w:rPr>
                <w:sz w:val="20"/>
                <w:szCs w:val="20"/>
                <w:color w:val="auto"/>
              </w:rPr>
            </w:pPr>
            <w:r>
              <w:rPr>
                <w:rFonts w:ascii="Times New Roman" w:cs="Times New Roman" w:eastAsia="Times New Roman" w:hAnsi="Times New Roman"/>
                <w:sz w:val="16"/>
                <w:szCs w:val="16"/>
                <w:b w:val="1"/>
                <w:bCs w:val="1"/>
                <w:color w:val="auto"/>
              </w:rPr>
              <w:t>33134</w:t>
            </w:r>
          </w:p>
        </w:tc>
        <w:tc>
          <w:tcPr>
            <w:tcW w:w="0" w:type="dxa"/>
            <w:vAlign w:val="bottom"/>
          </w:tcPr>
          <w:p>
            <w:pPr>
              <w:spacing w:after="0"/>
              <w:rPr>
                <w:sz w:val="1"/>
                <w:szCs w:val="1"/>
                <w:color w:val="auto"/>
              </w:rPr>
            </w:pPr>
          </w:p>
        </w:tc>
      </w:tr>
      <w:tr>
        <w:trPr>
          <w:trHeight w:val="212"/>
        </w:trPr>
        <w:tc>
          <w:tcPr>
            <w:tcW w:w="2800" w:type="dxa"/>
            <w:vAlign w:val="bottom"/>
            <w:gridSpan w:val="3"/>
          </w:tcPr>
          <w:p>
            <w:pPr>
              <w:jc w:val="center"/>
              <w:ind w:left="328"/>
              <w:spacing w:after="0"/>
              <w:rPr>
                <w:sz w:val="20"/>
                <w:szCs w:val="20"/>
                <w:color w:val="auto"/>
              </w:rPr>
            </w:pPr>
            <w:r>
              <w:rPr>
                <w:rFonts w:ascii="Times New Roman" w:cs="Times New Roman" w:eastAsia="Times New Roman" w:hAnsi="Times New Roman"/>
                <w:sz w:val="13"/>
                <w:szCs w:val="13"/>
                <w:b w:val="1"/>
                <w:bCs w:val="1"/>
                <w:i w:val="1"/>
                <w:iCs w:val="1"/>
                <w:color w:val="auto"/>
                <w:w w:val="99"/>
              </w:rPr>
              <w:t>(Address of principal executive offices)</w:t>
            </w:r>
          </w:p>
        </w:tc>
        <w:tc>
          <w:tcPr>
            <w:tcW w:w="2160" w:type="dxa"/>
            <w:vAlign w:val="bottom"/>
            <w:gridSpan w:val="2"/>
            <w:vMerge w:val="restart"/>
          </w:tcPr>
          <w:p>
            <w:pPr>
              <w:jc w:val="center"/>
              <w:ind w:left="1067"/>
              <w:spacing w:after="0"/>
              <w:rPr>
                <w:sz w:val="20"/>
                <w:szCs w:val="20"/>
                <w:color w:val="auto"/>
              </w:rPr>
            </w:pPr>
            <w:r>
              <w:rPr>
                <w:rFonts w:ascii="Times New Roman" w:cs="Times New Roman" w:eastAsia="Times New Roman" w:hAnsi="Times New Roman"/>
                <w:sz w:val="16"/>
                <w:szCs w:val="16"/>
                <w:b w:val="1"/>
                <w:bCs w:val="1"/>
                <w:color w:val="auto"/>
                <w:w w:val="97"/>
              </w:rPr>
              <w:t>(305) 599-1800</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jc w:val="center"/>
              <w:ind w:right="669"/>
              <w:spacing w:after="0"/>
              <w:rPr>
                <w:sz w:val="20"/>
                <w:szCs w:val="20"/>
                <w:color w:val="auto"/>
              </w:rPr>
            </w:pPr>
            <w:r>
              <w:rPr>
                <w:rFonts w:ascii="Times New Roman" w:cs="Times New Roman" w:eastAsia="Times New Roman" w:hAnsi="Times New Roman"/>
                <w:sz w:val="13"/>
                <w:szCs w:val="13"/>
                <w:b w:val="1"/>
                <w:bCs w:val="1"/>
                <w:i w:val="1"/>
                <w:iCs w:val="1"/>
                <w:color w:val="auto"/>
              </w:rPr>
              <w:t>(Zip Code)</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5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7"/>
              </w:rPr>
              <w:t>(Registrant’s telephone number, including area code)</w:t>
            </w:r>
          </w:p>
        </w:tc>
        <w:tc>
          <w:tcPr>
            <w:tcW w:w="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20" w:type="dxa"/>
            <w:vAlign w:val="bottom"/>
            <w:gridSpan w:val="4"/>
          </w:tcPr>
          <w:p>
            <w:pPr>
              <w:jc w:val="center"/>
              <w:ind w:left="662"/>
              <w:spacing w:after="0"/>
              <w:rPr>
                <w:sz w:val="20"/>
                <w:szCs w:val="20"/>
                <w:color w:val="auto"/>
              </w:rPr>
            </w:pPr>
            <w:r>
              <w:rPr>
                <w:rFonts w:ascii="Times New Roman" w:cs="Times New Roman" w:eastAsia="Times New Roman" w:hAnsi="Times New Roman"/>
                <w:sz w:val="16"/>
                <w:szCs w:val="16"/>
                <w:b w:val="1"/>
                <w:bCs w:val="1"/>
                <w:color w:val="auto"/>
                <w:w w:val="96"/>
              </w:rPr>
              <w:t>Securities registered pursuant to Section 12(b) of the Act:</w:t>
            </w: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80" w:type="dxa"/>
            <w:vAlign w:val="bottom"/>
            <w:gridSpan w:val="2"/>
          </w:tcPr>
          <w:p>
            <w:pPr>
              <w:jc w:val="center"/>
              <w:ind w:right="138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800" w:type="dxa"/>
            <w:vAlign w:val="bottom"/>
            <w:gridSpan w:val="3"/>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6"/>
              </w:rPr>
              <w:t>Common Stock, $0.10 Par Value</w:t>
            </w:r>
          </w:p>
        </w:tc>
        <w:tc>
          <w:tcPr>
            <w:tcW w:w="1160" w:type="dxa"/>
            <w:vAlign w:val="bottom"/>
          </w:tcPr>
          <w:p>
            <w:pPr>
              <w:spacing w:after="0"/>
              <w:rPr>
                <w:sz w:val="20"/>
                <w:szCs w:val="20"/>
                <w:color w:val="auto"/>
              </w:rPr>
            </w:pPr>
          </w:p>
        </w:tc>
        <w:tc>
          <w:tcPr>
            <w:tcW w:w="2380" w:type="dxa"/>
            <w:vAlign w:val="bottom"/>
            <w:gridSpan w:val="2"/>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w w:val="98"/>
              </w:rPr>
              <w:t>MTZ</w:t>
            </w:r>
          </w:p>
        </w:tc>
        <w:tc>
          <w:tcPr>
            <w:tcW w:w="14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bl>
    <w:p>
      <w:pPr>
        <w:spacing w:after="0" w:line="226" w:lineRule="exact"/>
        <w:rPr>
          <w:sz w:val="24"/>
          <w:szCs w:val="24"/>
          <w:color w:val="auto"/>
        </w:rPr>
      </w:pPr>
    </w:p>
    <w:p>
      <w:pPr>
        <w:ind w:firstLine="6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8" w:lineRule="exact"/>
        <w:rPr>
          <w:sz w:val="24"/>
          <w:szCs w:val="24"/>
          <w:color w:val="auto"/>
        </w:rPr>
      </w:pPr>
    </w:p>
    <w:p>
      <w:pPr>
        <w:ind w:firstLine="620"/>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8" w:lineRule="exact"/>
        <w:rPr>
          <w:sz w:val="24"/>
          <w:szCs w:val="24"/>
          <w:color w:val="auto"/>
        </w:rPr>
      </w:pPr>
    </w:p>
    <w:p>
      <w:pPr>
        <w:ind w:firstLine="620"/>
        <w:spacing w:after="0" w:line="32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6" w:lineRule="exact"/>
        <w:rPr>
          <w:sz w:val="24"/>
          <w:szCs w:val="24"/>
          <w:color w:val="auto"/>
        </w:rPr>
      </w:pPr>
    </w:p>
    <w:tbl>
      <w:tblPr>
        <w:tblLayout w:type="fixed"/>
        <w:tblInd w:w="860" w:type="dxa"/>
        <w:tblCellMar>
          <w:top w:w="0" w:type="dxa"/>
          <w:left w:w="0" w:type="dxa"/>
          <w:bottom w:w="0" w:type="dxa"/>
          <w:right w:w="0" w:type="dxa"/>
        </w:tblCellMar>
      </w:tblPr>
      <w:tr>
        <w:trPr>
          <w:trHeight w:val="244"/>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0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0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5" w:lineRule="exact"/>
        <w:rPr>
          <w:sz w:val="24"/>
          <w:szCs w:val="24"/>
          <w:color w:val="auto"/>
        </w:rPr>
      </w:pPr>
    </w:p>
    <w:p>
      <w:pPr>
        <w:ind w:right="20" w:firstLine="620"/>
        <w:spacing w:after="0" w:line="20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1" w:lineRule="exact"/>
        <w:rPr>
          <w:sz w:val="24"/>
          <w:szCs w:val="24"/>
          <w:color w:val="auto"/>
        </w:rPr>
      </w:pPr>
    </w:p>
    <w:p>
      <w:pPr>
        <w:ind w:left="620"/>
        <w:spacing w:after="0" w:line="184" w:lineRule="exact"/>
        <w:tabs>
          <w:tab w:leader="none" w:pos="7140" w:val="left"/>
          <w:tab w:leader="none" w:pos="76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29"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6"/>
          <w:szCs w:val="16"/>
          <w:color w:val="auto"/>
        </w:rPr>
        <w:t>As of October 28, 2019, MasTec, Inc. had 76,332,198 shares of common stock outstanding.</w:t>
      </w:r>
    </w:p>
    <w:p>
      <w:pPr>
        <w:sectPr>
          <w:pgSz w:w="11900" w:h="16838" w:orient="portrait"/>
          <w:cols w:equalWidth="0" w:num="1">
            <w:col w:w="11420"/>
          </w:cols>
          <w:pgMar w:left="240" w:top="594"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jc w:val="center"/>
        <w:spacing w:after="0"/>
        <w:rPr>
          <w:sz w:val="20"/>
          <w:szCs w:val="20"/>
          <w:color w:val="auto"/>
        </w:rPr>
      </w:pPr>
      <w:r>
        <w:rPr>
          <w:rFonts w:ascii="Times New Roman" w:cs="Times New Roman" w:eastAsia="Times New Roman" w:hAnsi="Times New Roman"/>
          <w:sz w:val="16"/>
          <w:szCs w:val="16"/>
          <w:b w:val="1"/>
          <w:bCs w:val="1"/>
          <w:color w:val="auto"/>
        </w:rPr>
        <w:t>QUARTER ENDED SEPTEMBER 30, 2019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89"/>
              </w:rPr>
              <w:t>Page</w:t>
            </w:r>
          </w:p>
        </w:tc>
      </w:tr>
      <w:tr>
        <w:trPr>
          <w:trHeight w:val="225"/>
        </w:trPr>
        <w:tc>
          <w:tcPr>
            <w:tcW w:w="2360" w:type="dxa"/>
            <w:vAlign w:val="bottom"/>
            <w:gridSpan w:val="11"/>
          </w:tcPr>
          <w:p>
            <w:pPr>
              <w:spacing w:after="0"/>
              <w:rPr>
                <w:rFonts w:ascii="Times New Roman" w:cs="Times New Roman" w:eastAsia="Times New Roman" w:hAnsi="Times New Roman"/>
                <w:sz w:val="16"/>
                <w:szCs w:val="16"/>
                <w:color w:val="0000EE"/>
                <w:w w:val="95"/>
              </w:rPr>
            </w:pPr>
            <w:hyperlink w:anchor="page3">
              <w:r>
                <w:rPr>
                  <w:rFonts w:ascii="Times New Roman" w:cs="Times New Roman" w:eastAsia="Times New Roman" w:hAnsi="Times New Roman"/>
                  <w:sz w:val="16"/>
                  <w:szCs w:val="16"/>
                  <w:color w:val="0000EE"/>
                  <w:w w:val="95"/>
                </w:rPr>
                <w:t>Part I. FINANCIAL INFORMATION</w:t>
              </w:r>
            </w:hyperlink>
          </w:p>
        </w:tc>
        <w:tc>
          <w:tcPr>
            <w:tcW w:w="6380" w:type="dxa"/>
            <w:vAlign w:val="bottom"/>
            <w:gridSpan w:val="11"/>
          </w:tcPr>
          <w:p>
            <w:pPr>
              <w:spacing w:after="0"/>
              <w:rPr>
                <w:sz w:val="19"/>
                <w:szCs w:val="19"/>
                <w:color w:val="auto"/>
              </w:rPr>
            </w:pPr>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25"/>
        </w:trPr>
        <w:tc>
          <w:tcPr>
            <w:tcW w:w="240" w:type="dxa"/>
            <w:vAlign w:val="bottom"/>
          </w:tcPr>
          <w:p>
            <w:pPr>
              <w:spacing w:after="0"/>
              <w:rPr>
                <w:sz w:val="19"/>
                <w:szCs w:val="19"/>
                <w:color w:val="auto"/>
              </w:rPr>
            </w:pPr>
          </w:p>
        </w:tc>
        <w:tc>
          <w:tcPr>
            <w:tcW w:w="400" w:type="dxa"/>
            <w:vAlign w:val="bottom"/>
          </w:tcPr>
          <w:p>
            <w:pPr>
              <w:spacing w:after="0"/>
              <w:rPr>
                <w:rFonts w:ascii="Times New Roman" w:cs="Times New Roman" w:eastAsia="Times New Roman" w:hAnsi="Times New Roman"/>
                <w:sz w:val="16"/>
                <w:szCs w:val="16"/>
                <w:color w:val="0000FF"/>
                <w:w w:val="91"/>
              </w:rPr>
            </w:pPr>
            <w:hyperlink w:anchor="page3">
              <w:r>
                <w:rPr>
                  <w:rFonts w:ascii="Times New Roman" w:cs="Times New Roman" w:eastAsia="Times New Roman" w:hAnsi="Times New Roman"/>
                  <w:sz w:val="16"/>
                  <w:szCs w:val="16"/>
                  <w:color w:val="0000FF"/>
                  <w:w w:val="91"/>
                </w:rPr>
                <w:t>Item 1</w:t>
              </w:r>
            </w:hyperlink>
          </w:p>
        </w:tc>
        <w:tc>
          <w:tcPr>
            <w:tcW w:w="480" w:type="dxa"/>
            <w:vAlign w:val="bottom"/>
            <w:gridSpan w:val="3"/>
          </w:tcPr>
          <w:p>
            <w:pPr>
              <w:spacing w:after="0"/>
              <w:rPr>
                <w:sz w:val="19"/>
                <w:szCs w:val="19"/>
                <w:color w:val="auto"/>
              </w:rPr>
            </w:pPr>
          </w:p>
        </w:tc>
        <w:tc>
          <w:tcPr>
            <w:tcW w:w="7620" w:type="dxa"/>
            <w:vAlign w:val="bottom"/>
            <w:gridSpan w:val="17"/>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Financial Statements</w:t>
              </w:r>
            </w:hyperlink>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3</w:t>
              </w:r>
            </w:hyperlink>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38"/>
        </w:trPr>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11"/>
          </w:tcPr>
          <w:p>
            <w:pPr>
              <w:spacing w:after="0"/>
              <w:rPr>
                <w:rFonts w:ascii="Times New Roman" w:cs="Times New Roman" w:eastAsia="Times New Roman" w:hAnsi="Times New Roman"/>
                <w:sz w:val="16"/>
                <w:szCs w:val="16"/>
                <w:color w:val="0000EE"/>
                <w:w w:val="96"/>
              </w:rPr>
            </w:pPr>
            <w:hyperlink w:anchor="page3">
              <w:r>
                <w:rPr>
                  <w:rFonts w:ascii="Times New Roman" w:cs="Times New Roman" w:eastAsia="Times New Roman" w:hAnsi="Times New Roman"/>
                  <w:sz w:val="16"/>
                  <w:szCs w:val="16"/>
                  <w:color w:val="0000EE"/>
                  <w:w w:val="96"/>
                </w:rPr>
                <w:t>Consolidated Statements of Operations (Unaudited)</w:t>
              </w:r>
            </w:hyperlink>
          </w:p>
        </w:tc>
        <w:tc>
          <w:tcPr>
            <w:tcW w:w="4400" w:type="dxa"/>
            <w:vAlign w:val="bottom"/>
            <w:gridSpan w:val="6"/>
          </w:tcPr>
          <w:p>
            <w:pPr>
              <w:spacing w:after="0"/>
              <w:rPr>
                <w:sz w:val="20"/>
                <w:szCs w:val="20"/>
                <w:color w:val="auto"/>
              </w:rPr>
            </w:pPr>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3</w:t>
              </w:r>
            </w:hyperlink>
          </w:p>
        </w:tc>
      </w:tr>
      <w:tr>
        <w:trPr>
          <w:trHeight w:val="20"/>
        </w:trPr>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38"/>
        </w:trPr>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gridSpan w:val="15"/>
          </w:tcPr>
          <w:p>
            <w:pPr>
              <w:spacing w:after="0"/>
              <w:rPr>
                <w:rFonts w:ascii="Times New Roman" w:cs="Times New Roman" w:eastAsia="Times New Roman" w:hAnsi="Times New Roman"/>
                <w:sz w:val="16"/>
                <w:szCs w:val="16"/>
                <w:color w:val="0000EE"/>
                <w:w w:val="96"/>
              </w:rPr>
            </w:pPr>
            <w:hyperlink w:anchor="page4">
              <w:r>
                <w:rPr>
                  <w:rFonts w:ascii="Times New Roman" w:cs="Times New Roman" w:eastAsia="Times New Roman" w:hAnsi="Times New Roman"/>
                  <w:sz w:val="16"/>
                  <w:szCs w:val="16"/>
                  <w:color w:val="0000EE"/>
                  <w:w w:val="96"/>
                </w:rPr>
                <w:t>Consolidated Statements of Comprehensive Income (Unaudited)</w:t>
              </w:r>
            </w:hyperlink>
          </w:p>
        </w:tc>
        <w:tc>
          <w:tcPr>
            <w:tcW w:w="3600" w:type="dxa"/>
            <w:vAlign w:val="bottom"/>
            <w:gridSpan w:val="2"/>
          </w:tcPr>
          <w:p>
            <w:pPr>
              <w:spacing w:after="0"/>
              <w:rPr>
                <w:sz w:val="20"/>
                <w:szCs w:val="20"/>
                <w:color w:val="auto"/>
              </w:rPr>
            </w:pPr>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4</w:t>
              </w:r>
            </w:hyperlink>
          </w:p>
        </w:tc>
      </w:tr>
      <w:tr>
        <w:trPr>
          <w:trHeight w:val="20"/>
        </w:trPr>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38"/>
        </w:trPr>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9"/>
          </w:tcPr>
          <w:p>
            <w:pPr>
              <w:spacing w:after="0"/>
              <w:rPr>
                <w:rFonts w:ascii="Times New Roman" w:cs="Times New Roman" w:eastAsia="Times New Roman" w:hAnsi="Times New Roman"/>
                <w:sz w:val="16"/>
                <w:szCs w:val="16"/>
                <w:color w:val="0000EE"/>
                <w:w w:val="96"/>
              </w:rPr>
            </w:pPr>
            <w:hyperlink w:anchor="page5">
              <w:r>
                <w:rPr>
                  <w:rFonts w:ascii="Times New Roman" w:cs="Times New Roman" w:eastAsia="Times New Roman" w:hAnsi="Times New Roman"/>
                  <w:sz w:val="16"/>
                  <w:szCs w:val="16"/>
                  <w:color w:val="0000EE"/>
                  <w:w w:val="96"/>
                </w:rPr>
                <w:t>Consolidated Balance Sheets (Unaudited)</w:t>
              </w:r>
            </w:hyperlink>
          </w:p>
        </w:tc>
        <w:tc>
          <w:tcPr>
            <w:tcW w:w="1420" w:type="dxa"/>
            <w:vAlign w:val="bottom"/>
            <w:gridSpan w:val="6"/>
          </w:tcPr>
          <w:p>
            <w:pPr>
              <w:spacing w:after="0"/>
              <w:rPr>
                <w:sz w:val="20"/>
                <w:szCs w:val="20"/>
                <w:color w:val="auto"/>
              </w:rPr>
            </w:pPr>
          </w:p>
        </w:tc>
        <w:tc>
          <w:tcPr>
            <w:tcW w:w="3600" w:type="dxa"/>
            <w:vAlign w:val="bottom"/>
            <w:gridSpan w:val="2"/>
          </w:tcPr>
          <w:p>
            <w:pPr>
              <w:spacing w:after="0"/>
              <w:rPr>
                <w:sz w:val="20"/>
                <w:szCs w:val="20"/>
                <w:color w:val="auto"/>
              </w:rPr>
            </w:pPr>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5</w:t>
              </w:r>
            </w:hyperlink>
          </w:p>
        </w:tc>
      </w:tr>
      <w:tr>
        <w:trPr>
          <w:trHeight w:val="20"/>
        </w:trPr>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38"/>
        </w:trPr>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20" w:type="dxa"/>
            <w:vAlign w:val="bottom"/>
            <w:gridSpan w:val="17"/>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Consolidated Statements of Equity (Unaudited)</w:t>
              </w:r>
            </w:hyperlink>
          </w:p>
        </w:tc>
        <w:tc>
          <w:tcPr>
            <w:tcW w:w="2360" w:type="dxa"/>
            <w:vAlign w:val="bottom"/>
            <w:gridSpan w:val="3"/>
          </w:tcPr>
          <w:p>
            <w:pPr>
              <w:jc w:val="right"/>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6</w:t>
              </w:r>
            </w:hyperlink>
          </w:p>
        </w:tc>
      </w:tr>
      <w:tr>
        <w:trPr>
          <w:trHeight w:val="20"/>
        </w:trPr>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238"/>
        </w:trPr>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20" w:type="dxa"/>
            <w:vAlign w:val="bottom"/>
            <w:gridSpan w:val="17"/>
          </w:tcPr>
          <w:p>
            <w:pPr>
              <w:spacing w:after="0"/>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Consolidated Statements of Cash Flows (Unaudited)</w:t>
              </w:r>
            </w:hyperlink>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8">
              <w:r>
                <w:rPr>
                  <w:rFonts w:ascii="Times New Roman" w:cs="Times New Roman" w:eastAsia="Times New Roman" w:hAnsi="Times New Roman"/>
                  <w:sz w:val="16"/>
                  <w:szCs w:val="16"/>
                  <w:color w:val="0000FF"/>
                </w:rPr>
                <w:t>8</w:t>
              </w:r>
            </w:hyperlink>
          </w:p>
        </w:tc>
      </w:tr>
      <w:tr>
        <w:trPr>
          <w:trHeight w:val="20"/>
        </w:trPr>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38"/>
        </w:trPr>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20" w:type="dxa"/>
            <w:vAlign w:val="bottom"/>
            <w:gridSpan w:val="17"/>
          </w:tcPr>
          <w:p>
            <w:pPr>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Notes to Consolidated Financial Statements (Unaudited)</w:t>
              </w:r>
            </w:hyperlink>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9</w:t>
              </w:r>
            </w:hyperlink>
          </w:p>
        </w:tc>
      </w:tr>
      <w:tr>
        <w:trPr>
          <w:trHeight w:val="20"/>
        </w:trPr>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25"/>
        </w:trPr>
        <w:tc>
          <w:tcPr>
            <w:tcW w:w="240" w:type="dxa"/>
            <w:vAlign w:val="bottom"/>
          </w:tcPr>
          <w:p>
            <w:pPr>
              <w:spacing w:after="0"/>
              <w:rPr>
                <w:sz w:val="19"/>
                <w:szCs w:val="19"/>
                <w:color w:val="auto"/>
              </w:rPr>
            </w:pPr>
          </w:p>
        </w:tc>
        <w:tc>
          <w:tcPr>
            <w:tcW w:w="400" w:type="dxa"/>
            <w:vAlign w:val="bottom"/>
          </w:tcPr>
          <w:p>
            <w:pPr>
              <w:spacing w:after="0"/>
              <w:rPr>
                <w:rFonts w:ascii="Times New Roman" w:cs="Times New Roman" w:eastAsia="Times New Roman" w:hAnsi="Times New Roman"/>
                <w:sz w:val="16"/>
                <w:szCs w:val="16"/>
                <w:color w:val="0000FF"/>
                <w:w w:val="91"/>
              </w:rPr>
            </w:pPr>
            <w:hyperlink w:anchor="page31">
              <w:r>
                <w:rPr>
                  <w:rFonts w:ascii="Times New Roman" w:cs="Times New Roman" w:eastAsia="Times New Roman" w:hAnsi="Times New Roman"/>
                  <w:sz w:val="16"/>
                  <w:szCs w:val="16"/>
                  <w:color w:val="0000FF"/>
                  <w:w w:val="91"/>
                </w:rPr>
                <w:t>Item 2</w:t>
              </w:r>
            </w:hyperlink>
          </w:p>
        </w:tc>
        <w:tc>
          <w:tcPr>
            <w:tcW w:w="480" w:type="dxa"/>
            <w:vAlign w:val="bottom"/>
            <w:gridSpan w:val="3"/>
          </w:tcPr>
          <w:p>
            <w:pPr>
              <w:spacing w:after="0"/>
              <w:rPr>
                <w:sz w:val="19"/>
                <w:szCs w:val="19"/>
                <w:color w:val="auto"/>
              </w:rPr>
            </w:pPr>
          </w:p>
        </w:tc>
        <w:tc>
          <w:tcPr>
            <w:tcW w:w="7620" w:type="dxa"/>
            <w:vAlign w:val="bottom"/>
            <w:gridSpan w:val="17"/>
          </w:tcPr>
          <w:p>
            <w:pPr>
              <w:spacing w:after="0"/>
              <w:rPr>
                <w:rFonts w:ascii="Times New Roman" w:cs="Times New Roman" w:eastAsia="Times New Roman" w:hAnsi="Times New Roman"/>
                <w:sz w:val="16"/>
                <w:szCs w:val="16"/>
                <w:color w:val="0000FF"/>
              </w:rPr>
            </w:pPr>
            <w:hyperlink w:anchor="page31">
              <w:r>
                <w:rPr>
                  <w:rFonts w:ascii="Times New Roman" w:cs="Times New Roman" w:eastAsia="Times New Roman" w:hAnsi="Times New Roman"/>
                  <w:sz w:val="16"/>
                  <w:szCs w:val="16"/>
                  <w:color w:val="0000FF"/>
                </w:rPr>
                <w:t>Management’s Discussion and Analysis of Financial Condition and Results of Operations</w:t>
              </w:r>
            </w:hyperlink>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31">
              <w:r>
                <w:rPr>
                  <w:rFonts w:ascii="Times New Roman" w:cs="Times New Roman" w:eastAsia="Times New Roman" w:hAnsi="Times New Roman"/>
                  <w:sz w:val="16"/>
                  <w:szCs w:val="16"/>
                  <w:color w:val="0000FF"/>
                </w:rPr>
                <w:t>31</w:t>
              </w:r>
            </w:hyperlink>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1820" w:type="dxa"/>
            <w:vAlign w:val="bottom"/>
            <w:tcBorders>
              <w:left w:val="single" w:sz="8" w:color="0000FF"/>
            </w:tcBorders>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25"/>
        </w:trPr>
        <w:tc>
          <w:tcPr>
            <w:tcW w:w="240" w:type="dxa"/>
            <w:vAlign w:val="bottom"/>
          </w:tcPr>
          <w:p>
            <w:pPr>
              <w:spacing w:after="0"/>
              <w:rPr>
                <w:sz w:val="19"/>
                <w:szCs w:val="19"/>
                <w:color w:val="auto"/>
              </w:rPr>
            </w:pPr>
          </w:p>
        </w:tc>
        <w:tc>
          <w:tcPr>
            <w:tcW w:w="400" w:type="dxa"/>
            <w:vAlign w:val="bottom"/>
          </w:tcPr>
          <w:p>
            <w:pPr>
              <w:spacing w:after="0"/>
              <w:rPr>
                <w:rFonts w:ascii="Times New Roman" w:cs="Times New Roman" w:eastAsia="Times New Roman" w:hAnsi="Times New Roman"/>
                <w:sz w:val="16"/>
                <w:szCs w:val="16"/>
                <w:color w:val="0000FF"/>
                <w:w w:val="91"/>
              </w:rPr>
            </w:pPr>
            <w:hyperlink w:anchor="page42">
              <w:r>
                <w:rPr>
                  <w:rFonts w:ascii="Times New Roman" w:cs="Times New Roman" w:eastAsia="Times New Roman" w:hAnsi="Times New Roman"/>
                  <w:sz w:val="16"/>
                  <w:szCs w:val="16"/>
                  <w:color w:val="0000FF"/>
                  <w:w w:val="91"/>
                </w:rPr>
                <w:t>Item 3</w:t>
              </w:r>
            </w:hyperlink>
          </w:p>
        </w:tc>
        <w:tc>
          <w:tcPr>
            <w:tcW w:w="480" w:type="dxa"/>
            <w:vAlign w:val="bottom"/>
            <w:gridSpan w:val="3"/>
          </w:tcPr>
          <w:p>
            <w:pPr>
              <w:spacing w:after="0"/>
              <w:rPr>
                <w:sz w:val="19"/>
                <w:szCs w:val="19"/>
                <w:color w:val="auto"/>
              </w:rPr>
            </w:pPr>
          </w:p>
        </w:tc>
        <w:tc>
          <w:tcPr>
            <w:tcW w:w="7620" w:type="dxa"/>
            <w:vAlign w:val="bottom"/>
            <w:gridSpan w:val="17"/>
          </w:tcPr>
          <w:p>
            <w:pPr>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Quantitative and Qualitative Disclosures About Market Risk</w:t>
              </w:r>
            </w:hyperlink>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42</w:t>
              </w:r>
            </w:hyperlink>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3880" w:type="dxa"/>
            <w:vAlign w:val="bottom"/>
            <w:tcBorders>
              <w:left w:val="single" w:sz="8" w:color="0000FF"/>
            </w:tcBorders>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25"/>
        </w:trPr>
        <w:tc>
          <w:tcPr>
            <w:tcW w:w="240" w:type="dxa"/>
            <w:vAlign w:val="bottom"/>
          </w:tcPr>
          <w:p>
            <w:pPr>
              <w:spacing w:after="0"/>
              <w:rPr>
                <w:sz w:val="19"/>
                <w:szCs w:val="19"/>
                <w:color w:val="auto"/>
              </w:rPr>
            </w:pPr>
          </w:p>
        </w:tc>
        <w:tc>
          <w:tcPr>
            <w:tcW w:w="400" w:type="dxa"/>
            <w:vAlign w:val="bottom"/>
          </w:tcPr>
          <w:p>
            <w:pPr>
              <w:spacing w:after="0"/>
              <w:rPr>
                <w:rFonts w:ascii="Times New Roman" w:cs="Times New Roman" w:eastAsia="Times New Roman" w:hAnsi="Times New Roman"/>
                <w:sz w:val="16"/>
                <w:szCs w:val="16"/>
                <w:color w:val="0000FF"/>
                <w:w w:val="91"/>
              </w:rPr>
            </w:pPr>
            <w:hyperlink w:anchor="page42">
              <w:r>
                <w:rPr>
                  <w:rFonts w:ascii="Times New Roman" w:cs="Times New Roman" w:eastAsia="Times New Roman" w:hAnsi="Times New Roman"/>
                  <w:sz w:val="16"/>
                  <w:szCs w:val="16"/>
                  <w:color w:val="0000FF"/>
                  <w:w w:val="91"/>
                </w:rPr>
                <w:t>Item 4</w:t>
              </w:r>
            </w:hyperlink>
          </w:p>
        </w:tc>
        <w:tc>
          <w:tcPr>
            <w:tcW w:w="480" w:type="dxa"/>
            <w:vAlign w:val="bottom"/>
            <w:gridSpan w:val="3"/>
          </w:tcPr>
          <w:p>
            <w:pPr>
              <w:spacing w:after="0"/>
              <w:rPr>
                <w:sz w:val="19"/>
                <w:szCs w:val="19"/>
                <w:color w:val="auto"/>
              </w:rPr>
            </w:pPr>
          </w:p>
        </w:tc>
        <w:tc>
          <w:tcPr>
            <w:tcW w:w="7620" w:type="dxa"/>
            <w:vAlign w:val="bottom"/>
            <w:gridSpan w:val="17"/>
          </w:tcPr>
          <w:p>
            <w:pPr>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Controls and Procedures</w:t>
              </w:r>
            </w:hyperlink>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42</w:t>
              </w:r>
            </w:hyperlink>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25"/>
        </w:trPr>
        <w:tc>
          <w:tcPr>
            <w:tcW w:w="2100" w:type="dxa"/>
            <w:vAlign w:val="bottom"/>
            <w:gridSpan w:val="9"/>
          </w:tcPr>
          <w:p>
            <w:pPr>
              <w:spacing w:after="0"/>
              <w:rPr>
                <w:rFonts w:ascii="Times New Roman" w:cs="Times New Roman" w:eastAsia="Times New Roman" w:hAnsi="Times New Roman"/>
                <w:sz w:val="16"/>
                <w:szCs w:val="16"/>
                <w:color w:val="0000EE"/>
                <w:w w:val="95"/>
              </w:rPr>
            </w:pPr>
            <w:hyperlink w:anchor="page42">
              <w:r>
                <w:rPr>
                  <w:rFonts w:ascii="Times New Roman" w:cs="Times New Roman" w:eastAsia="Times New Roman" w:hAnsi="Times New Roman"/>
                  <w:sz w:val="16"/>
                  <w:szCs w:val="16"/>
                  <w:color w:val="0000EE"/>
                  <w:w w:val="95"/>
                </w:rPr>
                <w:t>Part II. OTHER INFORMATION</w:t>
              </w:r>
            </w:hyperlink>
          </w:p>
        </w:tc>
        <w:tc>
          <w:tcPr>
            <w:tcW w:w="6640" w:type="dxa"/>
            <w:vAlign w:val="bottom"/>
            <w:gridSpan w:val="13"/>
          </w:tcPr>
          <w:p>
            <w:pPr>
              <w:spacing w:after="0"/>
              <w:rPr>
                <w:sz w:val="19"/>
                <w:szCs w:val="19"/>
                <w:color w:val="auto"/>
              </w:rPr>
            </w:pPr>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42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25"/>
        </w:trPr>
        <w:tc>
          <w:tcPr>
            <w:tcW w:w="240" w:type="dxa"/>
            <w:vAlign w:val="bottom"/>
          </w:tcPr>
          <w:p>
            <w:pPr>
              <w:spacing w:after="0"/>
              <w:rPr>
                <w:sz w:val="19"/>
                <w:szCs w:val="19"/>
                <w:color w:val="auto"/>
              </w:rPr>
            </w:pPr>
          </w:p>
        </w:tc>
        <w:tc>
          <w:tcPr>
            <w:tcW w:w="400" w:type="dxa"/>
            <w:vAlign w:val="bottom"/>
          </w:tcPr>
          <w:p>
            <w:pPr>
              <w:spacing w:after="0"/>
              <w:rPr>
                <w:rFonts w:ascii="Times New Roman" w:cs="Times New Roman" w:eastAsia="Times New Roman" w:hAnsi="Times New Roman"/>
                <w:sz w:val="16"/>
                <w:szCs w:val="16"/>
                <w:color w:val="0000FF"/>
                <w:w w:val="91"/>
              </w:rPr>
            </w:pPr>
            <w:hyperlink w:anchor="page42">
              <w:r>
                <w:rPr>
                  <w:rFonts w:ascii="Times New Roman" w:cs="Times New Roman" w:eastAsia="Times New Roman" w:hAnsi="Times New Roman"/>
                  <w:sz w:val="16"/>
                  <w:szCs w:val="16"/>
                  <w:color w:val="0000FF"/>
                  <w:w w:val="91"/>
                </w:rPr>
                <w:t>Item 1</w:t>
              </w:r>
            </w:hyperlink>
          </w:p>
        </w:tc>
        <w:tc>
          <w:tcPr>
            <w:tcW w:w="480" w:type="dxa"/>
            <w:vAlign w:val="bottom"/>
            <w:gridSpan w:val="3"/>
          </w:tcPr>
          <w:p>
            <w:pPr>
              <w:spacing w:after="0"/>
              <w:rPr>
                <w:sz w:val="19"/>
                <w:szCs w:val="19"/>
                <w:color w:val="auto"/>
              </w:rPr>
            </w:pPr>
          </w:p>
        </w:tc>
        <w:tc>
          <w:tcPr>
            <w:tcW w:w="7620" w:type="dxa"/>
            <w:vAlign w:val="bottom"/>
            <w:gridSpan w:val="17"/>
          </w:tcPr>
          <w:p>
            <w:pPr>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Legal Proceedings</w:t>
              </w:r>
            </w:hyperlink>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42</w:t>
              </w:r>
            </w:hyperlink>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25"/>
        </w:trPr>
        <w:tc>
          <w:tcPr>
            <w:tcW w:w="240" w:type="dxa"/>
            <w:vAlign w:val="bottom"/>
          </w:tcPr>
          <w:p>
            <w:pPr>
              <w:spacing w:after="0"/>
              <w:rPr>
                <w:sz w:val="19"/>
                <w:szCs w:val="19"/>
                <w:color w:val="auto"/>
              </w:rPr>
            </w:pPr>
          </w:p>
        </w:tc>
        <w:tc>
          <w:tcPr>
            <w:tcW w:w="880" w:type="dxa"/>
            <w:vAlign w:val="bottom"/>
            <w:gridSpan w:val="4"/>
          </w:tcPr>
          <w:p>
            <w:pPr>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Item 1A</w:t>
              </w:r>
            </w:hyperlink>
          </w:p>
        </w:tc>
        <w:tc>
          <w:tcPr>
            <w:tcW w:w="7620" w:type="dxa"/>
            <w:vAlign w:val="bottom"/>
            <w:gridSpan w:val="17"/>
          </w:tcPr>
          <w:p>
            <w:pPr>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Risk Factors</w:t>
              </w:r>
            </w:hyperlink>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42</w:t>
              </w:r>
            </w:hyperlink>
          </w:p>
        </w:tc>
      </w:tr>
      <w:tr>
        <w:trPr>
          <w:trHeight w:val="20"/>
        </w:trPr>
        <w:tc>
          <w:tcPr>
            <w:tcW w:w="2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25"/>
        </w:trPr>
        <w:tc>
          <w:tcPr>
            <w:tcW w:w="240" w:type="dxa"/>
            <w:vAlign w:val="bottom"/>
          </w:tcPr>
          <w:p>
            <w:pPr>
              <w:spacing w:after="0"/>
              <w:rPr>
                <w:sz w:val="19"/>
                <w:szCs w:val="19"/>
                <w:color w:val="auto"/>
              </w:rPr>
            </w:pPr>
          </w:p>
        </w:tc>
        <w:tc>
          <w:tcPr>
            <w:tcW w:w="400" w:type="dxa"/>
            <w:vAlign w:val="bottom"/>
          </w:tcPr>
          <w:p>
            <w:pPr>
              <w:spacing w:after="0"/>
              <w:rPr>
                <w:rFonts w:ascii="Times New Roman" w:cs="Times New Roman" w:eastAsia="Times New Roman" w:hAnsi="Times New Roman"/>
                <w:sz w:val="16"/>
                <w:szCs w:val="16"/>
                <w:color w:val="0000FF"/>
                <w:w w:val="91"/>
              </w:rPr>
            </w:pPr>
            <w:hyperlink w:anchor="page43">
              <w:r>
                <w:rPr>
                  <w:rFonts w:ascii="Times New Roman" w:cs="Times New Roman" w:eastAsia="Times New Roman" w:hAnsi="Times New Roman"/>
                  <w:sz w:val="16"/>
                  <w:szCs w:val="16"/>
                  <w:color w:val="0000FF"/>
                  <w:w w:val="91"/>
                </w:rPr>
                <w:t>Item 2</w:t>
              </w:r>
            </w:hyperlink>
          </w:p>
        </w:tc>
        <w:tc>
          <w:tcPr>
            <w:tcW w:w="1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7620" w:type="dxa"/>
            <w:vAlign w:val="bottom"/>
            <w:gridSpan w:val="17"/>
          </w:tcPr>
          <w:p>
            <w:pPr>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Unregistered Sales of Equity Securities and Use of Proceeds</w:t>
              </w:r>
            </w:hyperlink>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43</w:t>
              </w:r>
            </w:hyperlink>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20" w:type="dxa"/>
            <w:vAlign w:val="bottom"/>
            <w:gridSpan w:val="12"/>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25"/>
        </w:trPr>
        <w:tc>
          <w:tcPr>
            <w:tcW w:w="240" w:type="dxa"/>
            <w:vAlign w:val="bottom"/>
          </w:tcPr>
          <w:p>
            <w:pPr>
              <w:spacing w:after="0"/>
              <w:rPr>
                <w:sz w:val="19"/>
                <w:szCs w:val="19"/>
                <w:color w:val="auto"/>
              </w:rPr>
            </w:pPr>
          </w:p>
        </w:tc>
        <w:tc>
          <w:tcPr>
            <w:tcW w:w="400" w:type="dxa"/>
            <w:vAlign w:val="bottom"/>
          </w:tcPr>
          <w:p>
            <w:pPr>
              <w:spacing w:after="0"/>
              <w:rPr>
                <w:rFonts w:ascii="Times New Roman" w:cs="Times New Roman" w:eastAsia="Times New Roman" w:hAnsi="Times New Roman"/>
                <w:sz w:val="16"/>
                <w:szCs w:val="16"/>
                <w:color w:val="0000EE"/>
                <w:w w:val="91"/>
              </w:rPr>
            </w:pPr>
            <w:hyperlink w:anchor="page43">
              <w:r>
                <w:rPr>
                  <w:rFonts w:ascii="Times New Roman" w:cs="Times New Roman" w:eastAsia="Times New Roman" w:hAnsi="Times New Roman"/>
                  <w:sz w:val="16"/>
                  <w:szCs w:val="16"/>
                  <w:color w:val="0000EE"/>
                  <w:w w:val="91"/>
                </w:rPr>
                <w:t>Item 4</w:t>
              </w:r>
            </w:hyperlink>
          </w:p>
        </w:tc>
        <w:tc>
          <w:tcPr>
            <w:tcW w:w="480" w:type="dxa"/>
            <w:vAlign w:val="bottom"/>
            <w:gridSpan w:val="3"/>
          </w:tcPr>
          <w:p>
            <w:pPr>
              <w:spacing w:after="0"/>
              <w:rPr>
                <w:sz w:val="19"/>
                <w:szCs w:val="19"/>
                <w:color w:val="auto"/>
              </w:rPr>
            </w:pPr>
          </w:p>
        </w:tc>
        <w:tc>
          <w:tcPr>
            <w:tcW w:w="7620" w:type="dxa"/>
            <w:vAlign w:val="bottom"/>
            <w:gridSpan w:val="17"/>
          </w:tcPr>
          <w:p>
            <w:pPr>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Mine Safety Disclosures</w:t>
              </w:r>
            </w:hyperlink>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43</w:t>
              </w:r>
            </w:hyperlink>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25"/>
        </w:trPr>
        <w:tc>
          <w:tcPr>
            <w:tcW w:w="240" w:type="dxa"/>
            <w:vAlign w:val="bottom"/>
          </w:tcPr>
          <w:p>
            <w:pPr>
              <w:spacing w:after="0"/>
              <w:rPr>
                <w:sz w:val="19"/>
                <w:szCs w:val="19"/>
                <w:color w:val="auto"/>
              </w:rPr>
            </w:pPr>
          </w:p>
        </w:tc>
        <w:tc>
          <w:tcPr>
            <w:tcW w:w="400" w:type="dxa"/>
            <w:vAlign w:val="bottom"/>
          </w:tcPr>
          <w:p>
            <w:pPr>
              <w:spacing w:after="0"/>
              <w:rPr>
                <w:rFonts w:ascii="Times New Roman" w:cs="Times New Roman" w:eastAsia="Times New Roman" w:hAnsi="Times New Roman"/>
                <w:sz w:val="16"/>
                <w:szCs w:val="16"/>
                <w:color w:val="0000FF"/>
                <w:w w:val="91"/>
              </w:rPr>
            </w:pPr>
            <w:hyperlink w:anchor="page43">
              <w:r>
                <w:rPr>
                  <w:rFonts w:ascii="Times New Roman" w:cs="Times New Roman" w:eastAsia="Times New Roman" w:hAnsi="Times New Roman"/>
                  <w:sz w:val="16"/>
                  <w:szCs w:val="16"/>
                  <w:color w:val="0000FF"/>
                  <w:w w:val="91"/>
                </w:rPr>
                <w:t>Item 6</w:t>
              </w:r>
            </w:hyperlink>
          </w:p>
        </w:tc>
        <w:tc>
          <w:tcPr>
            <w:tcW w:w="480" w:type="dxa"/>
            <w:vAlign w:val="bottom"/>
            <w:gridSpan w:val="3"/>
          </w:tcPr>
          <w:p>
            <w:pPr>
              <w:spacing w:after="0"/>
              <w:rPr>
                <w:sz w:val="19"/>
                <w:szCs w:val="19"/>
                <w:color w:val="auto"/>
              </w:rPr>
            </w:pPr>
          </w:p>
        </w:tc>
        <w:tc>
          <w:tcPr>
            <w:tcW w:w="7620" w:type="dxa"/>
            <w:vAlign w:val="bottom"/>
            <w:gridSpan w:val="17"/>
          </w:tcPr>
          <w:p>
            <w:pPr>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Exhibits</w:t>
              </w:r>
            </w:hyperlink>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43</w:t>
              </w:r>
            </w:hyperlink>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25"/>
        </w:trPr>
        <w:tc>
          <w:tcPr>
            <w:tcW w:w="1120" w:type="dxa"/>
            <w:vAlign w:val="bottom"/>
            <w:gridSpan w:val="5"/>
          </w:tcPr>
          <w:p>
            <w:pPr>
              <w:spacing w:after="0"/>
              <w:rPr>
                <w:rFonts w:ascii="Times New Roman" w:cs="Times New Roman" w:eastAsia="Times New Roman" w:hAnsi="Times New Roman"/>
                <w:sz w:val="16"/>
                <w:szCs w:val="16"/>
                <w:color w:val="0000EE"/>
              </w:rPr>
            </w:pPr>
            <w:hyperlink w:anchor="page44">
              <w:r>
                <w:rPr>
                  <w:rFonts w:ascii="Times New Roman" w:cs="Times New Roman" w:eastAsia="Times New Roman" w:hAnsi="Times New Roman"/>
                  <w:sz w:val="16"/>
                  <w:szCs w:val="16"/>
                  <w:color w:val="0000EE"/>
                </w:rPr>
                <w:t>SIGNATURES</w:t>
              </w:r>
            </w:hyperlink>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360" w:type="dxa"/>
            <w:vAlign w:val="bottom"/>
            <w:gridSpan w:val="3"/>
          </w:tcPr>
          <w:p>
            <w:pPr>
              <w:jc w:val="right"/>
              <w:spacing w:after="0"/>
              <w:rPr>
                <w:rFonts w:ascii="Times New Roman" w:cs="Times New Roman" w:eastAsia="Times New Roman" w:hAnsi="Times New Roman"/>
                <w:sz w:val="16"/>
                <w:szCs w:val="16"/>
                <w:color w:val="0000FF"/>
              </w:rPr>
            </w:pPr>
            <w:hyperlink w:anchor="page44">
              <w:r>
                <w:rPr>
                  <w:rFonts w:ascii="Times New Roman" w:cs="Times New Roman" w:eastAsia="Times New Roman" w:hAnsi="Times New Roman"/>
                  <w:sz w:val="16"/>
                  <w:szCs w:val="16"/>
                  <w:color w:val="0000FF"/>
                </w:rPr>
                <w:t>44</w:t>
              </w:r>
            </w:hyperlink>
          </w:p>
        </w:tc>
      </w:tr>
      <w:tr>
        <w:trPr>
          <w:trHeight w:val="646"/>
        </w:trPr>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560" w:type="dxa"/>
            <w:vAlign w:val="bottom"/>
            <w:gridSpan w:val="16"/>
          </w:tcPr>
          <w:p>
            <w:pPr>
              <w:ind w:left="4400"/>
              <w:spacing w:after="0"/>
              <w:rPr>
                <w:sz w:val="20"/>
                <w:szCs w:val="20"/>
                <w:color w:val="auto"/>
              </w:rPr>
            </w:pPr>
            <w:r>
              <w:rPr>
                <w:rFonts w:ascii="Times New Roman" w:cs="Times New Roman" w:eastAsia="Times New Roman" w:hAnsi="Times New Roman"/>
                <w:sz w:val="16"/>
                <w:szCs w:val="16"/>
                <w:color w:val="auto"/>
              </w:rPr>
              <w:t>2</w:t>
            </w: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r>
    </w:tbl>
    <w:p>
      <w:pPr>
        <w:sectPr>
          <w:pgSz w:w="11900" w:h="16838" w:orient="portrait"/>
          <w:cols w:equalWidth="0" w:num="1">
            <w:col w:w="11100"/>
          </w:cols>
          <w:pgMar w:left="400" w:top="511" w:right="3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30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FINANCIAL INFORMATION</w:t>
            </w: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62"/>
        </w:trPr>
        <w:tc>
          <w:tcPr>
            <w:tcW w:w="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30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FINANCIAL STATEMENTS</w:t>
            </w: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19"/>
        </w:trPr>
        <w:tc>
          <w:tcPr>
            <w:tcW w:w="6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360" w:type="dxa"/>
            <w:vAlign w:val="bottom"/>
            <w:gridSpan w:val="2"/>
          </w:tcPr>
          <w:p>
            <w:pPr>
              <w:jc w:val="center"/>
              <w:ind w:left="502"/>
              <w:spacing w:after="0"/>
              <w:rPr>
                <w:sz w:val="20"/>
                <w:szCs w:val="20"/>
                <w:color w:val="auto"/>
              </w:rPr>
            </w:pPr>
            <w:r>
              <w:rPr>
                <w:rFonts w:ascii="Times New Roman" w:cs="Times New Roman" w:eastAsia="Times New Roman" w:hAnsi="Times New Roman"/>
                <w:sz w:val="16"/>
                <w:szCs w:val="16"/>
                <w:b w:val="1"/>
                <w:bCs w:val="1"/>
                <w:color w:val="auto"/>
                <w:w w:val="96"/>
              </w:rPr>
              <w:t>MASTEC, INC.</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1"/>
        </w:trPr>
        <w:tc>
          <w:tcPr>
            <w:tcW w:w="6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400" w:type="dxa"/>
            <w:vAlign w:val="bottom"/>
            <w:gridSpan w:val="4"/>
          </w:tcPr>
          <w:p>
            <w:pPr>
              <w:jc w:val="center"/>
              <w:ind w:right="460"/>
              <w:spacing w:after="0" w:line="181" w:lineRule="exact"/>
              <w:rPr>
                <w:sz w:val="20"/>
                <w:szCs w:val="20"/>
                <w:color w:val="auto"/>
              </w:rPr>
            </w:pPr>
            <w:r>
              <w:rPr>
                <w:rFonts w:ascii="Times New Roman" w:cs="Times New Roman" w:eastAsia="Times New Roman" w:hAnsi="Times New Roman"/>
                <w:sz w:val="16"/>
                <w:szCs w:val="16"/>
                <w:b w:val="1"/>
                <w:bCs w:val="1"/>
                <w:color w:val="auto"/>
                <w:w w:val="95"/>
              </w:rPr>
              <w:t>CONSOLIDATED STATEMENTS OF OPERATIONS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4"/>
        </w:trPr>
        <w:tc>
          <w:tcPr>
            <w:tcW w:w="6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40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6"/>
              </w:rPr>
              <w:t>(unaudited - in thousands, except per share information)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506"/>
        </w:trPr>
        <w:tc>
          <w:tcPr>
            <w:tcW w:w="6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For the Three Months Ended</w:t>
            </w:r>
          </w:p>
        </w:tc>
        <w:tc>
          <w:tcPr>
            <w:tcW w:w="140" w:type="dxa"/>
            <w:vAlign w:val="bottom"/>
          </w:tcPr>
          <w:p>
            <w:pPr>
              <w:spacing w:after="0"/>
              <w:rPr>
                <w:sz w:val="24"/>
                <w:szCs w:val="24"/>
                <w:color w:val="auto"/>
              </w:rPr>
            </w:pPr>
          </w:p>
        </w:tc>
        <w:tc>
          <w:tcPr>
            <w:tcW w:w="2000" w:type="dxa"/>
            <w:vAlign w:val="bottom"/>
            <w:gridSpan w:val="4"/>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7"/>
              </w:rPr>
              <w:t>For the Nine Months Ended</w:t>
            </w:r>
          </w:p>
        </w:tc>
      </w:tr>
      <w:tr>
        <w:trPr>
          <w:trHeight w:val="204"/>
        </w:trPr>
        <w:tc>
          <w:tcPr>
            <w:tcW w:w="6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40" w:type="dxa"/>
            <w:vAlign w:val="bottom"/>
          </w:tcPr>
          <w:p>
            <w:pPr>
              <w:spacing w:after="0"/>
              <w:rPr>
                <w:sz w:val="17"/>
                <w:szCs w:val="17"/>
                <w:color w:val="auto"/>
              </w:rPr>
            </w:pPr>
          </w:p>
        </w:tc>
        <w:tc>
          <w:tcPr>
            <w:tcW w:w="200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2"/>
        </w:trPr>
        <w:tc>
          <w:tcPr>
            <w:tcW w:w="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0"/>
        </w:trPr>
        <w:tc>
          <w:tcPr>
            <w:tcW w:w="6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66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80" w:type="dxa"/>
            <w:vAlign w:val="bottom"/>
            <w:tcBorders>
              <w:bottom w:val="single" w:sz="8" w:color="CCEEFF"/>
            </w:tcBorders>
            <w:shd w:val="clear" w:color="auto" w:fill="CCEEFF"/>
          </w:tcPr>
          <w:p>
            <w:pPr>
              <w:spacing w:after="0"/>
              <w:rPr>
                <w:sz w:val="18"/>
                <w:szCs w:val="18"/>
                <w:color w:val="auto"/>
              </w:rPr>
            </w:pPr>
          </w:p>
        </w:tc>
        <w:tc>
          <w:tcPr>
            <w:tcW w:w="3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2,016,618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1,977,227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5,473,965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4,991,865</w:t>
            </w:r>
          </w:p>
        </w:tc>
      </w:tr>
      <w:tr>
        <w:trPr>
          <w:trHeight w:val="22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8"/>
              </w:rPr>
              <w:t>Costs of revenue, excluding depreciation and amortization</w:t>
            </w: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1,690,558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1,681,438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4,636,006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4,285,320</w:t>
            </w:r>
          </w:p>
        </w:tc>
      </w:tr>
      <w:tr>
        <w:trPr>
          <w:trHeight w:val="32"/>
        </w:trPr>
        <w:tc>
          <w:tcPr>
            <w:tcW w:w="3740" w:type="dxa"/>
            <w:vAlign w:val="bottom"/>
            <w:gridSpan w:val="2"/>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8"/>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55,196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54,863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174,171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156,478</w:t>
            </w:r>
          </w:p>
        </w:tc>
      </w:tr>
      <w:tr>
        <w:trPr>
          <w:trHeight w:val="22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77,146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80,311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220,581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211,535</w:t>
            </w:r>
          </w:p>
        </w:tc>
      </w:tr>
      <w:tr>
        <w:trPr>
          <w:trHeight w:val="32"/>
        </w:trPr>
        <w:tc>
          <w:tcPr>
            <w:tcW w:w="3740" w:type="dxa"/>
            <w:vAlign w:val="bottom"/>
            <w:gridSpan w:val="2"/>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8"/>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19,297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22,330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58,178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60,183</w:t>
            </w:r>
          </w:p>
        </w:tc>
      </w:tr>
      <w:tr>
        <w:trPr>
          <w:trHeight w:val="22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(19,080)</w:t>
            </w:r>
          </w:p>
        </w:tc>
      </w:tr>
      <w:tr>
        <w:trPr>
          <w:trHeight w:val="32"/>
        </w:trPr>
        <w:tc>
          <w:tcPr>
            <w:tcW w:w="3740" w:type="dxa"/>
            <w:vAlign w:val="bottom"/>
            <w:gridSpan w:val="2"/>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8,002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16,323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r>
      <w:tr>
        <w:trPr>
          <w:trHeight w:val="207"/>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173,385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145,633</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388,484</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299,405</w:t>
            </w:r>
          </w:p>
        </w:tc>
      </w:tr>
      <w:tr>
        <w:trPr>
          <w:trHeight w:val="32"/>
        </w:trPr>
        <w:tc>
          <w:tcPr>
            <w:tcW w:w="3740" w:type="dxa"/>
            <w:vAlign w:val="bottom"/>
            <w:gridSpan w:val="2"/>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(43,303)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(95,073)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(71,999)</w:t>
            </w:r>
          </w:p>
        </w:tc>
      </w:tr>
      <w:tr>
        <w:trPr>
          <w:trHeight w:val="207"/>
        </w:trPr>
        <w:tc>
          <w:tcPr>
            <w:tcW w:w="3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130,082</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120,542</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293,411</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227,406</w:t>
            </w:r>
          </w:p>
        </w:tc>
      </w:tr>
      <w:tr>
        <w:trPr>
          <w:trHeight w:val="32"/>
        </w:trPr>
        <w:tc>
          <w:tcPr>
            <w:tcW w:w="3740" w:type="dxa"/>
            <w:vAlign w:val="bottom"/>
            <w:tcBorders>
              <w:bottom w:val="single" w:sz="8" w:color="CCEEFF"/>
            </w:tcBorders>
            <w:gridSpan w:val="2"/>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8"/>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3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07"/>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3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128,596</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120,666</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291,418</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227,718</w:t>
            </w:r>
          </w:p>
        </w:tc>
      </w:tr>
      <w:tr>
        <w:trPr>
          <w:trHeight w:val="32"/>
        </w:trPr>
        <w:tc>
          <w:tcPr>
            <w:tcW w:w="3740" w:type="dxa"/>
            <w:vAlign w:val="bottom"/>
            <w:tcBorders>
              <w:bottom w:val="single" w:sz="8" w:color="CCEEFF"/>
            </w:tcBorders>
            <w:gridSpan w:val="2"/>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66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2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Earnings per share (Note 2):</w:t>
            </w: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2"/>
        </w:trPr>
        <w:tc>
          <w:tcPr>
            <w:tcW w:w="3740" w:type="dxa"/>
            <w:vAlign w:val="bottom"/>
            <w:gridSpan w:val="2"/>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37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2.87</w:t>
            </w:r>
          </w:p>
        </w:tc>
      </w:tr>
      <w:tr>
        <w:trPr>
          <w:trHeight w:val="207"/>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3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75,217</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78,096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75,131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79,399</w:t>
            </w:r>
          </w:p>
        </w:tc>
      </w:tr>
      <w:tr>
        <w:trPr>
          <w:trHeight w:val="32"/>
        </w:trPr>
        <w:tc>
          <w:tcPr>
            <w:tcW w:w="3740" w:type="dxa"/>
            <w:vAlign w:val="bottom"/>
            <w:tcBorders>
              <w:bottom w:val="single" w:sz="8" w:color="CCEEFF"/>
            </w:tcBorders>
            <w:gridSpan w:val="2"/>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0"/>
        </w:trPr>
        <w:tc>
          <w:tcPr>
            <w:tcW w:w="66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7"/>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9"/>
                <w:szCs w:val="19"/>
                <w:color w:val="auto"/>
              </w:rPr>
            </w:pP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2.83</w:t>
            </w:r>
          </w:p>
        </w:tc>
      </w:tr>
      <w:tr>
        <w:trPr>
          <w:trHeight w:val="32"/>
        </w:trPr>
        <w:tc>
          <w:tcPr>
            <w:tcW w:w="3740" w:type="dxa"/>
            <w:vAlign w:val="bottom"/>
            <w:tcBorders>
              <w:bottom w:val="single" w:sz="8" w:color="CCEEFF"/>
            </w:tcBorders>
            <w:gridSpan w:val="2"/>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37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3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75,934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79,201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75,760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80,484</w:t>
            </w:r>
          </w:p>
        </w:tc>
      </w:tr>
      <w:tr>
        <w:trPr>
          <w:trHeight w:val="20"/>
        </w:trPr>
        <w:tc>
          <w:tcPr>
            <w:tcW w:w="6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511"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For the Three Months Ended</w:t>
            </w:r>
          </w:p>
        </w:tc>
        <w:tc>
          <w:tcPr>
            <w:tcW w:w="140" w:type="dxa"/>
            <w:vAlign w:val="bottom"/>
          </w:tcPr>
          <w:p>
            <w:pPr>
              <w:spacing w:after="0"/>
              <w:rPr>
                <w:sz w:val="16"/>
                <w:szCs w:val="16"/>
                <w:color w:val="auto"/>
              </w:rPr>
            </w:pPr>
          </w:p>
        </w:tc>
        <w:tc>
          <w:tcPr>
            <w:tcW w:w="2000" w:type="dxa"/>
            <w:vAlign w:val="bottom"/>
            <w:gridSpan w:val="4"/>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7"/>
              </w:rPr>
              <w:t>For the Nine Months Ended</w:t>
            </w:r>
          </w:p>
        </w:tc>
      </w:tr>
      <w:tr>
        <w:trPr>
          <w:trHeight w:val="204"/>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40" w:type="dxa"/>
            <w:vAlign w:val="bottom"/>
          </w:tcPr>
          <w:p>
            <w:pPr>
              <w:spacing w:after="0"/>
              <w:rPr>
                <w:sz w:val="17"/>
                <w:szCs w:val="17"/>
                <w:color w:val="auto"/>
              </w:rPr>
            </w:pPr>
          </w:p>
        </w:tc>
        <w:tc>
          <w:tcPr>
            <w:tcW w:w="200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2"/>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0"/>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130,082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120,542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293,411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227,406</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2"/>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(losses) gains, net of tax</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27"/>
        </w:trPr>
        <w:tc>
          <w:tcPr>
            <w:tcW w:w="6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(losses) gains on equity investee activity, net of tax</w:t>
            </w:r>
          </w:p>
        </w:tc>
        <w:tc>
          <w:tcPr>
            <w:tcW w:w="12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13,790</w:t>
            </w:r>
          </w:p>
        </w:tc>
      </w:tr>
      <w:tr>
        <w:trPr>
          <w:trHeight w:val="32"/>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122,640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124,909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271,788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240,251</w:t>
            </w:r>
          </w:p>
        </w:tc>
      </w:tr>
      <w:tr>
        <w:trPr>
          <w:trHeight w:val="207"/>
        </w:trPr>
        <w:tc>
          <w:tcPr>
            <w:tcW w:w="6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1,993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32"/>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69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Comprehensive income attributable to MasTec,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121,154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125,033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269,795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240,563</w:t>
            </w:r>
          </w:p>
        </w:tc>
      </w:tr>
      <w:tr>
        <w:trPr>
          <w:trHeight w:val="20"/>
        </w:trPr>
        <w:tc>
          <w:tcPr>
            <w:tcW w:w="6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511"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 information)</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43,095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27,422</w:t>
            </w:r>
          </w:p>
        </w:tc>
      </w:tr>
      <w:tr>
        <w:trPr>
          <w:trHeight w:val="227"/>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Accounts receivable, net </w:t>
            </w:r>
            <w:r>
              <w:rPr>
                <w:rFonts w:ascii="Times New Roman" w:cs="Times New Roman" w:eastAsia="Times New Roman" w:hAnsi="Times New Roman"/>
                <w:sz w:val="13"/>
                <w:szCs w:val="13"/>
                <w:color w:val="auto"/>
              </w:rPr>
              <w:t>(Note 5)</w:t>
            </w:r>
          </w:p>
        </w:tc>
        <w:tc>
          <w:tcPr>
            <w:tcW w:w="20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1,953,340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1,923,970</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106,690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113,709</w:t>
            </w:r>
          </w:p>
        </w:tc>
      </w:tr>
      <w:tr>
        <w:trPr>
          <w:trHeight w:val="227"/>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56,558</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55,069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47,330</w:t>
            </w:r>
          </w:p>
        </w:tc>
      </w:tr>
      <w:tr>
        <w:trPr>
          <w:trHeight w:val="20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2,198,696</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2,168,989</w:t>
            </w:r>
          </w:p>
        </w:tc>
      </w:tr>
      <w:tr>
        <w:trPr>
          <w:trHeight w:val="32"/>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862,923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747,808</w:t>
            </w:r>
          </w:p>
        </w:tc>
      </w:tr>
      <w:tr>
        <w:trPr>
          <w:trHeight w:val="227"/>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assets</w:t>
            </w:r>
          </w:p>
        </w:tc>
        <w:tc>
          <w:tcPr>
            <w:tcW w:w="20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233,423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 net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1,140,874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1,100,350</w:t>
            </w:r>
          </w:p>
        </w:tc>
      </w:tr>
      <w:tr>
        <w:trPr>
          <w:trHeight w:val="227"/>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184,938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169,370</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237,798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253,436</w:t>
            </w:r>
          </w:p>
        </w:tc>
      </w:tr>
      <w:tr>
        <w:trPr>
          <w:trHeight w:val="20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4,858,652</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4,439,953</w:t>
            </w:r>
          </w:p>
        </w:tc>
      </w:tr>
      <w:tr>
        <w:trPr>
          <w:trHeight w:val="32"/>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equity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 including finance leases</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99,513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82,655</w:t>
            </w:r>
          </w:p>
        </w:tc>
      </w:tr>
      <w:tr>
        <w:trPr>
          <w:trHeight w:val="227"/>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0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79,150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625,008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669,712</w:t>
            </w:r>
          </w:p>
        </w:tc>
      </w:tr>
      <w:tr>
        <w:trPr>
          <w:trHeight w:val="227"/>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20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133,482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90,218</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accrued expenses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139,883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133,033</w:t>
            </w:r>
          </w:p>
        </w:tc>
      </w:tr>
      <w:tr>
        <w:trPr>
          <w:trHeight w:val="227"/>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Billings in excess of costs and earnings</w:t>
            </w:r>
          </w:p>
        </w:tc>
        <w:tc>
          <w:tcPr>
            <w:tcW w:w="20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156,929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227,056</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100,541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80,937</w:t>
            </w:r>
          </w:p>
        </w:tc>
      </w:tr>
      <w:tr>
        <w:trPr>
          <w:trHeight w:val="20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1,334,506</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1,283,611</w:t>
            </w:r>
          </w:p>
        </w:tc>
      </w:tr>
      <w:tr>
        <w:trPr>
          <w:trHeight w:val="32"/>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1,221,127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1,324,223</w:t>
            </w:r>
          </w:p>
        </w:tc>
      </w:tr>
      <w:tr>
        <w:trPr>
          <w:trHeight w:val="227"/>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0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159,283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277,439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263,687</w:t>
            </w:r>
          </w:p>
        </w:tc>
      </w:tr>
      <w:tr>
        <w:trPr>
          <w:trHeight w:val="227"/>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186,993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176,408</w:t>
            </w:r>
          </w:p>
        </w:tc>
      </w:tr>
      <w:tr>
        <w:trPr>
          <w:trHeight w:val="32"/>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3,179,348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3,047,929</w:t>
            </w:r>
          </w:p>
        </w:tc>
      </w:tr>
      <w:tr>
        <w:trPr>
          <w:trHeight w:val="20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Commitments and contingencies </w:t>
            </w:r>
            <w:r>
              <w:rPr>
                <w:rFonts w:ascii="Times New Roman" w:cs="Times New Roman" w:eastAsia="Times New Roman" w:hAnsi="Times New Roman"/>
                <w:sz w:val="13"/>
                <w:szCs w:val="13"/>
                <w:color w:val="auto"/>
              </w:rPr>
              <w:t>(Note 14)</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7"/>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 $1.00 par value: authorized shares - 5,000,000; issued and outstanding shares – none</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7"/>
              </w:rPr>
              <w:t>Common stock, $0.10 par value: authorized shares - 145,000,000; issued shares - 91,654,158 and 91,327,009 (including 1,148,043</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2"/>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and 1,251,533 of unvested stock awards) as of September 30, 2019 and December 31, 2018,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9,165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9,133</w:t>
            </w:r>
          </w:p>
        </w:tc>
      </w:tr>
      <w:tr>
        <w:trPr>
          <w:trHeight w:val="227"/>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 surplus</w:t>
            </w:r>
          </w:p>
        </w:tc>
        <w:tc>
          <w:tcPr>
            <w:tcW w:w="20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804,487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789,009</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1,409,793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1,118,375</w:t>
            </w:r>
          </w:p>
        </w:tc>
      </w:tr>
      <w:tr>
        <w:trPr>
          <w:trHeight w:val="227"/>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(60,494)</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Treasury stock, at cost: 15,344,917 and 15,329,817 shares as of September 30, 2019 and December 31, 2018,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(466,125)</w:t>
            </w:r>
          </w:p>
        </w:tc>
      </w:tr>
      <w:tr>
        <w:trPr>
          <w:trHeight w:val="20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MasTec, Inc. shareholders’ equity</w:t>
            </w: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1,674,601</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1,389,898</w:t>
            </w:r>
          </w:p>
        </w:tc>
      </w:tr>
      <w:tr>
        <w:trPr>
          <w:trHeight w:val="32"/>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4,703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2,126</w:t>
            </w:r>
          </w:p>
        </w:tc>
      </w:tr>
      <w:tr>
        <w:trPr>
          <w:trHeight w:val="20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1,679,304</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1,392,024</w:t>
            </w:r>
          </w:p>
        </w:tc>
      </w:tr>
      <w:tr>
        <w:trPr>
          <w:trHeight w:val="32"/>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4,858,652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4,439,953</w:t>
            </w:r>
          </w:p>
        </w:tc>
      </w:tr>
      <w:tr>
        <w:trPr>
          <w:trHeight w:val="20"/>
        </w:trPr>
        <w:tc>
          <w:tcPr>
            <w:tcW w:w="8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511"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ind w:left="3960"/>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 information)</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20" w:type="dxa"/>
            <w:vAlign w:val="bottom"/>
          </w:tcPr>
          <w:p>
            <w:pPr>
              <w:spacing w:after="0"/>
              <w:rPr>
                <w:sz w:val="16"/>
                <w:szCs w:val="16"/>
                <w:color w:val="auto"/>
              </w:rPr>
            </w:pPr>
          </w:p>
        </w:tc>
        <w:tc>
          <w:tcPr>
            <w:tcW w:w="1680" w:type="dxa"/>
            <w:vAlign w:val="bottom"/>
            <w:gridSpan w:val="5"/>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4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20" w:type="dxa"/>
            <w:vAlign w:val="bottom"/>
          </w:tcPr>
          <w:p>
            <w:pPr>
              <w:spacing w:after="0"/>
              <w:rPr>
                <w:sz w:val="17"/>
                <w:szCs w:val="17"/>
                <w:color w:val="auto"/>
              </w:rPr>
            </w:pPr>
          </w:p>
        </w:tc>
        <w:tc>
          <w:tcPr>
            <w:tcW w:w="1680" w:type="dxa"/>
            <w:vAlign w:val="bottom"/>
            <w:gridSpan w:val="5"/>
            <w:vMerge w:val="continue"/>
          </w:tcPr>
          <w:p>
            <w:pPr>
              <w:spacing w:after="0"/>
              <w:rPr>
                <w:sz w:val="17"/>
                <w:szCs w:val="17"/>
                <w:color w:val="auto"/>
              </w:rPr>
            </w:pPr>
          </w:p>
        </w:tc>
        <w:tc>
          <w:tcPr>
            <w:tcW w:w="1840" w:type="dxa"/>
            <w:vAlign w:val="bottom"/>
            <w:gridSpan w:val="4"/>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2"/>
              </w:rPr>
              <w:t>Other</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MasTec, Inc.</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4"/>
                <w:szCs w:val="14"/>
                <w:color w:val="auto"/>
              </w:rPr>
            </w:pPr>
          </w:p>
        </w:tc>
        <w:tc>
          <w:tcPr>
            <w:tcW w:w="80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6"/>
                <w:szCs w:val="16"/>
                <w:b w:val="1"/>
                <w:bCs w:val="1"/>
                <w:color w:val="auto"/>
                <w:w w:val="91"/>
              </w:rPr>
              <w:t>Retained</w:t>
            </w:r>
          </w:p>
        </w:tc>
        <w:tc>
          <w:tcPr>
            <w:tcW w:w="116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tcPr>
          <w:p>
            <w:pPr>
              <w:ind w:left="40"/>
              <w:spacing w:after="0" w:line="171"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62"/>
              <w:spacing w:after="0" w:line="171"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222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Interests</w:t>
            </w:r>
          </w:p>
        </w:tc>
        <w:tc>
          <w:tcPr>
            <w:tcW w:w="8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2019</w:t>
            </w:r>
          </w:p>
        </w:tc>
        <w:tc>
          <w:tcPr>
            <w:tcW w:w="8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7"/>
              </w:rPr>
              <w:t>91,626,986</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9,163</w:t>
            </w:r>
          </w:p>
        </w:tc>
        <w:tc>
          <w:tcPr>
            <w:tcW w:w="12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(15,344,917)</w:t>
            </w:r>
          </w:p>
        </w:tc>
        <w:tc>
          <w:tcPr>
            <w:tcW w:w="100" w:type="dxa"/>
            <w:vAlign w:val="bottom"/>
          </w:tcPr>
          <w:p>
            <w:pPr>
              <w:spacing w:after="0"/>
              <w:rPr>
                <w:sz w:val="22"/>
                <w:szCs w:val="2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$(466,727)</w:t>
            </w:r>
          </w:p>
        </w:tc>
        <w:tc>
          <w:tcPr>
            <w:tcW w:w="100" w:type="dxa"/>
            <w:vAlign w:val="bottom"/>
          </w:tcPr>
          <w:p>
            <w:pPr>
              <w:spacing w:after="0"/>
              <w:rPr>
                <w:sz w:val="22"/>
                <w:szCs w:val="22"/>
                <w:color w:val="auto"/>
              </w:rPr>
            </w:pPr>
          </w:p>
        </w:tc>
        <w:tc>
          <w:tcPr>
            <w:tcW w:w="6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6"/>
              </w:rPr>
              <w:t>$799,162</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1,281,198</w:t>
            </w:r>
          </w:p>
        </w:tc>
        <w:tc>
          <w:tcPr>
            <w:tcW w:w="120" w:type="dxa"/>
            <w:vAlign w:val="bottom"/>
          </w:tcPr>
          <w:p>
            <w:pPr>
              <w:spacing w:after="0"/>
              <w:rPr>
                <w:sz w:val="22"/>
                <w:szCs w:val="22"/>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(74,675)</w:t>
            </w:r>
          </w:p>
        </w:tc>
        <w:tc>
          <w:tcPr>
            <w:tcW w:w="100" w:type="dxa"/>
            <w:vAlign w:val="bottom"/>
          </w:tcPr>
          <w:p>
            <w:pPr>
              <w:spacing w:after="0"/>
              <w:rPr>
                <w:sz w:val="22"/>
                <w:szCs w:val="22"/>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1,548,121</w:t>
            </w:r>
          </w:p>
        </w:tc>
        <w:tc>
          <w:tcPr>
            <w:tcW w:w="100" w:type="dxa"/>
            <w:vAlign w:val="bottom"/>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3,217</w:t>
            </w:r>
          </w:p>
        </w:tc>
        <w:tc>
          <w:tcPr>
            <w:tcW w:w="100" w:type="dxa"/>
            <w:vAlign w:val="bottom"/>
          </w:tcPr>
          <w:p>
            <w:pPr>
              <w:spacing w:after="0"/>
              <w:rPr>
                <w:sz w:val="22"/>
                <w:szCs w:val="22"/>
                <w:color w:val="auto"/>
              </w:rPr>
            </w:pPr>
          </w:p>
        </w:tc>
        <w:tc>
          <w:tcPr>
            <w:tcW w:w="8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7"/>
              </w:rPr>
              <w:t>$1,551,338</w:t>
            </w:r>
          </w:p>
        </w:tc>
        <w:tc>
          <w:tcPr>
            <w:tcW w:w="0" w:type="dxa"/>
            <w:vAlign w:val="bottom"/>
          </w:tcPr>
          <w:p>
            <w:pPr>
              <w:spacing w:after="0"/>
              <w:rPr>
                <w:sz w:val="1"/>
                <w:szCs w:val="1"/>
                <w:color w:val="auto"/>
              </w:rPr>
            </w:pPr>
          </w:p>
        </w:tc>
      </w:tr>
      <w:tr>
        <w:trPr>
          <w:trHeight w:val="44"/>
        </w:trPr>
        <w:tc>
          <w:tcPr>
            <w:tcW w:w="22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128,596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130,082</w:t>
            </w:r>
          </w:p>
        </w:tc>
        <w:tc>
          <w:tcPr>
            <w:tcW w:w="0" w:type="dxa"/>
            <w:vAlign w:val="bottom"/>
          </w:tcPr>
          <w:p>
            <w:pPr>
              <w:spacing w:after="0"/>
              <w:rPr>
                <w:sz w:val="1"/>
                <w:szCs w:val="1"/>
                <w:color w:val="auto"/>
              </w:rPr>
            </w:pPr>
          </w:p>
        </w:tc>
      </w:tr>
      <w:tr>
        <w:trPr>
          <w:trHeight w:val="227"/>
        </w:trPr>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(7,442)</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4,192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4,192</w:t>
            </w:r>
          </w:p>
        </w:tc>
        <w:tc>
          <w:tcPr>
            <w:tcW w:w="0" w:type="dxa"/>
            <w:vAlign w:val="bottom"/>
          </w:tcPr>
          <w:p>
            <w:pPr>
              <w:spacing w:after="0"/>
              <w:rPr>
                <w:sz w:val="1"/>
                <w:szCs w:val="1"/>
                <w:color w:val="auto"/>
              </w:rPr>
            </w:pPr>
          </w:p>
        </w:tc>
      </w:tr>
      <w:tr>
        <w:trPr>
          <w:trHeight w:val="208"/>
        </w:trPr>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Forfeiture of restricted shares,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stock issuances, net of</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28,092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259"/>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Balance as of September 30, 2019</w:t>
            </w:r>
          </w:p>
        </w:tc>
        <w:tc>
          <w:tcPr>
            <w:tcW w:w="8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7"/>
              </w:rPr>
              <w:t>91,654,158</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9,165</w:t>
            </w:r>
          </w:p>
        </w:tc>
        <w:tc>
          <w:tcPr>
            <w:tcW w:w="12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(15,344,917)</w:t>
            </w:r>
          </w:p>
        </w:tc>
        <w:tc>
          <w:tcPr>
            <w:tcW w:w="100" w:type="dxa"/>
            <w:vAlign w:val="bottom"/>
          </w:tcPr>
          <w:p>
            <w:pPr>
              <w:spacing w:after="0"/>
              <w:rPr>
                <w:sz w:val="22"/>
                <w:szCs w:val="2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$(466,727)</w:t>
            </w:r>
          </w:p>
        </w:tc>
        <w:tc>
          <w:tcPr>
            <w:tcW w:w="100" w:type="dxa"/>
            <w:vAlign w:val="bottom"/>
          </w:tcPr>
          <w:p>
            <w:pPr>
              <w:spacing w:after="0"/>
              <w:rPr>
                <w:sz w:val="22"/>
                <w:szCs w:val="22"/>
                <w:color w:val="auto"/>
              </w:rPr>
            </w:pPr>
          </w:p>
        </w:tc>
        <w:tc>
          <w:tcPr>
            <w:tcW w:w="6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6"/>
              </w:rPr>
              <w:t>$804,487</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1,409,793</w:t>
            </w:r>
          </w:p>
        </w:tc>
        <w:tc>
          <w:tcPr>
            <w:tcW w:w="120" w:type="dxa"/>
            <w:vAlign w:val="bottom"/>
          </w:tcPr>
          <w:p>
            <w:pPr>
              <w:spacing w:after="0"/>
              <w:rPr>
                <w:sz w:val="22"/>
                <w:szCs w:val="22"/>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(82,117)</w:t>
            </w:r>
          </w:p>
        </w:tc>
        <w:tc>
          <w:tcPr>
            <w:tcW w:w="100" w:type="dxa"/>
            <w:vAlign w:val="bottom"/>
          </w:tcPr>
          <w:p>
            <w:pPr>
              <w:spacing w:after="0"/>
              <w:rPr>
                <w:sz w:val="22"/>
                <w:szCs w:val="22"/>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1,674,601</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4,703</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7"/>
              </w:rPr>
              <w:t>$1,679,304</w:t>
            </w:r>
          </w:p>
        </w:tc>
        <w:tc>
          <w:tcPr>
            <w:tcW w:w="0" w:type="dxa"/>
            <w:vAlign w:val="bottom"/>
          </w:tcPr>
          <w:p>
            <w:pPr>
              <w:spacing w:after="0"/>
              <w:rPr>
                <w:sz w:val="1"/>
                <w:szCs w:val="1"/>
                <w:color w:val="auto"/>
              </w:rPr>
            </w:pPr>
          </w:p>
        </w:tc>
      </w:tr>
      <w:tr>
        <w:trPr>
          <w:trHeight w:val="44"/>
        </w:trPr>
        <w:tc>
          <w:tcPr>
            <w:tcW w:w="22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2018</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7"/>
              </w:rPr>
              <w:t>91,080,280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9,108</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(10,835,749)</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$(275,435)</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6"/>
              </w:rPr>
              <w:t>$783,825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965,768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1,428,032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7"/>
              </w:rPr>
              <w:t>$1,430,398</w:t>
            </w:r>
          </w:p>
        </w:tc>
        <w:tc>
          <w:tcPr>
            <w:tcW w:w="0" w:type="dxa"/>
            <w:vAlign w:val="bottom"/>
          </w:tcPr>
          <w:p>
            <w:pPr>
              <w:spacing w:after="0"/>
              <w:rPr>
                <w:sz w:val="1"/>
                <w:szCs w:val="1"/>
                <w:color w:val="auto"/>
              </w:rPr>
            </w:pPr>
          </w:p>
        </w:tc>
      </w:tr>
      <w:tr>
        <w:trPr>
          <w:trHeight w:val="220"/>
        </w:trPr>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120,666</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120,666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120,542</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4,367</w:t>
            </w:r>
          </w:p>
        </w:tc>
        <w:tc>
          <w:tcPr>
            <w:tcW w:w="0" w:type="dxa"/>
            <w:vAlign w:val="bottom"/>
          </w:tcPr>
          <w:p>
            <w:pPr>
              <w:spacing w:after="0"/>
              <w:rPr>
                <w:sz w:val="1"/>
                <w:szCs w:val="1"/>
                <w:color w:val="auto"/>
              </w:rPr>
            </w:pPr>
          </w:p>
        </w:tc>
      </w:tr>
      <w:tr>
        <w:trPr>
          <w:trHeight w:val="208"/>
        </w:trPr>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3,515</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Forfeiture of restricted shares,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stock issuances, net of</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Acquisition of treasury stock, at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(1,604,359)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(70,137)</w:t>
            </w:r>
          </w:p>
        </w:tc>
        <w:tc>
          <w:tcPr>
            <w:tcW w:w="0" w:type="dxa"/>
            <w:vAlign w:val="bottom"/>
          </w:tcPr>
          <w:p>
            <w:pPr>
              <w:spacing w:after="0"/>
              <w:rPr>
                <w:sz w:val="1"/>
                <w:szCs w:val="1"/>
                <w:color w:val="auto"/>
              </w:rPr>
            </w:pPr>
          </w:p>
        </w:tc>
      </w:tr>
      <w:tr>
        <w:trPr>
          <w:trHeight w:val="259"/>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Balance as of September 30, 2018</w:t>
            </w:r>
          </w:p>
        </w:tc>
        <w:tc>
          <w:tcPr>
            <w:tcW w:w="8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7"/>
              </w:rPr>
              <w:t>91,104,071</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9,110</w:t>
            </w:r>
          </w:p>
        </w:tc>
        <w:tc>
          <w:tcPr>
            <w:tcW w:w="12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(12,440,108)</w:t>
            </w:r>
          </w:p>
        </w:tc>
        <w:tc>
          <w:tcPr>
            <w:tcW w:w="100" w:type="dxa"/>
            <w:vAlign w:val="bottom"/>
          </w:tcPr>
          <w:p>
            <w:pPr>
              <w:spacing w:after="0"/>
              <w:rPr>
                <w:sz w:val="22"/>
                <w:szCs w:val="2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$(345,572)</w:t>
            </w:r>
          </w:p>
        </w:tc>
        <w:tc>
          <w:tcPr>
            <w:tcW w:w="100" w:type="dxa"/>
            <w:vAlign w:val="bottom"/>
          </w:tcPr>
          <w:p>
            <w:pPr>
              <w:spacing w:after="0"/>
              <w:rPr>
                <w:sz w:val="22"/>
                <w:szCs w:val="22"/>
                <w:color w:val="auto"/>
              </w:rPr>
            </w:pPr>
          </w:p>
        </w:tc>
        <w:tc>
          <w:tcPr>
            <w:tcW w:w="6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6"/>
              </w:rPr>
              <w:t>$788,473</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1,086,434</w:t>
            </w:r>
          </w:p>
        </w:tc>
        <w:tc>
          <w:tcPr>
            <w:tcW w:w="120" w:type="dxa"/>
            <w:vAlign w:val="bottom"/>
          </w:tcPr>
          <w:p>
            <w:pPr>
              <w:spacing w:after="0"/>
              <w:rPr>
                <w:sz w:val="22"/>
                <w:szCs w:val="22"/>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(50,867)</w:t>
            </w:r>
          </w:p>
        </w:tc>
        <w:tc>
          <w:tcPr>
            <w:tcW w:w="100" w:type="dxa"/>
            <w:vAlign w:val="bottom"/>
          </w:tcPr>
          <w:p>
            <w:pPr>
              <w:spacing w:after="0"/>
              <w:rPr>
                <w:sz w:val="22"/>
                <w:szCs w:val="22"/>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1,487,578</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7"/>
              </w:rPr>
              <w:t>$1,489,820</w:t>
            </w:r>
          </w:p>
        </w:tc>
        <w:tc>
          <w:tcPr>
            <w:tcW w:w="0" w:type="dxa"/>
            <w:vAlign w:val="bottom"/>
          </w:tcPr>
          <w:p>
            <w:pPr>
              <w:spacing w:after="0"/>
              <w:rPr>
                <w:sz w:val="1"/>
                <w:szCs w:val="1"/>
                <w:color w:val="auto"/>
              </w:rPr>
            </w:pPr>
          </w:p>
        </w:tc>
      </w:tr>
      <w:tr>
        <w:trPr>
          <w:trHeight w:val="44"/>
        </w:trPr>
        <w:tc>
          <w:tcPr>
            <w:tcW w:w="22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511"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ind w:left="3960"/>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 information)</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20" w:type="dxa"/>
            <w:vAlign w:val="bottom"/>
          </w:tcPr>
          <w:p>
            <w:pPr>
              <w:spacing w:after="0"/>
              <w:rPr>
                <w:sz w:val="16"/>
                <w:szCs w:val="16"/>
                <w:color w:val="auto"/>
              </w:rPr>
            </w:pPr>
          </w:p>
        </w:tc>
        <w:tc>
          <w:tcPr>
            <w:tcW w:w="1640" w:type="dxa"/>
            <w:vAlign w:val="bottom"/>
            <w:gridSpan w:val="5"/>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20" w:type="dxa"/>
            <w:vAlign w:val="bottom"/>
          </w:tcPr>
          <w:p>
            <w:pPr>
              <w:spacing w:after="0"/>
              <w:rPr>
                <w:sz w:val="17"/>
                <w:szCs w:val="17"/>
                <w:color w:val="auto"/>
              </w:rPr>
            </w:pPr>
          </w:p>
        </w:tc>
        <w:tc>
          <w:tcPr>
            <w:tcW w:w="1640" w:type="dxa"/>
            <w:vAlign w:val="bottom"/>
            <w:gridSpan w:val="5"/>
            <w:vMerge w:val="continue"/>
          </w:tcPr>
          <w:p>
            <w:pPr>
              <w:spacing w:after="0"/>
              <w:rPr>
                <w:sz w:val="17"/>
                <w:szCs w:val="17"/>
                <w:color w:val="auto"/>
              </w:rPr>
            </w:pPr>
          </w:p>
        </w:tc>
        <w:tc>
          <w:tcPr>
            <w:tcW w:w="1860" w:type="dxa"/>
            <w:vAlign w:val="bottom"/>
            <w:gridSpan w:val="4"/>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2"/>
              </w:rPr>
              <w:t>Other</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MasTec, Inc.</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4"/>
                <w:szCs w:val="14"/>
                <w:color w:val="auto"/>
              </w:rPr>
            </w:pPr>
          </w:p>
        </w:tc>
        <w:tc>
          <w:tcPr>
            <w:tcW w:w="80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6"/>
                <w:szCs w:val="16"/>
                <w:b w:val="1"/>
                <w:bCs w:val="1"/>
                <w:color w:val="auto"/>
                <w:w w:val="91"/>
              </w:rPr>
              <w:t>Retained</w:t>
            </w:r>
          </w:p>
        </w:tc>
        <w:tc>
          <w:tcPr>
            <w:tcW w:w="116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tcPr>
          <w:p>
            <w:pPr>
              <w:ind w:left="40"/>
              <w:spacing w:after="0" w:line="171"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62"/>
              <w:spacing w:after="0" w:line="171"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222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Interests</w:t>
            </w:r>
          </w:p>
        </w:tc>
        <w:tc>
          <w:tcPr>
            <w:tcW w:w="8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2018</w:t>
            </w:r>
          </w:p>
        </w:tc>
        <w:tc>
          <w:tcPr>
            <w:tcW w:w="8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7"/>
              </w:rPr>
              <w:t>91,327,009</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9,133</w:t>
            </w:r>
          </w:p>
        </w:tc>
        <w:tc>
          <w:tcPr>
            <w:tcW w:w="10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(15,329,817)</w:t>
            </w:r>
          </w:p>
        </w:tc>
        <w:tc>
          <w:tcPr>
            <w:tcW w:w="100" w:type="dxa"/>
            <w:vAlign w:val="bottom"/>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$(466,125)</w:t>
            </w:r>
          </w:p>
        </w:tc>
        <w:tc>
          <w:tcPr>
            <w:tcW w:w="100" w:type="dxa"/>
            <w:vAlign w:val="bottom"/>
          </w:tcPr>
          <w:p>
            <w:pPr>
              <w:spacing w:after="0"/>
              <w:rPr>
                <w:sz w:val="22"/>
                <w:szCs w:val="22"/>
                <w:color w:val="auto"/>
              </w:rPr>
            </w:pPr>
          </w:p>
        </w:tc>
        <w:tc>
          <w:tcPr>
            <w:tcW w:w="7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6"/>
              </w:rPr>
              <w:t>$789,009</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1,118,375</w:t>
            </w:r>
          </w:p>
        </w:tc>
        <w:tc>
          <w:tcPr>
            <w:tcW w:w="120" w:type="dxa"/>
            <w:vAlign w:val="bottom"/>
          </w:tcPr>
          <w:p>
            <w:pPr>
              <w:spacing w:after="0"/>
              <w:rPr>
                <w:sz w:val="22"/>
                <w:szCs w:val="22"/>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(60,494)</w:t>
            </w:r>
          </w:p>
        </w:tc>
        <w:tc>
          <w:tcPr>
            <w:tcW w:w="100" w:type="dxa"/>
            <w:vAlign w:val="bottom"/>
          </w:tcPr>
          <w:p>
            <w:pPr>
              <w:spacing w:after="0"/>
              <w:rPr>
                <w:sz w:val="22"/>
                <w:szCs w:val="22"/>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1,389,898</w:t>
            </w:r>
          </w:p>
        </w:tc>
        <w:tc>
          <w:tcPr>
            <w:tcW w:w="100" w:type="dxa"/>
            <w:vAlign w:val="bottom"/>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2,126</w:t>
            </w:r>
          </w:p>
        </w:tc>
        <w:tc>
          <w:tcPr>
            <w:tcW w:w="100" w:type="dxa"/>
            <w:vAlign w:val="bottom"/>
          </w:tcPr>
          <w:p>
            <w:pPr>
              <w:spacing w:after="0"/>
              <w:rPr>
                <w:sz w:val="22"/>
                <w:szCs w:val="22"/>
                <w:color w:val="auto"/>
              </w:rPr>
            </w:pPr>
          </w:p>
        </w:tc>
        <w:tc>
          <w:tcPr>
            <w:tcW w:w="8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7"/>
              </w:rPr>
              <w:t>$1,392,024</w:t>
            </w:r>
          </w:p>
        </w:tc>
        <w:tc>
          <w:tcPr>
            <w:tcW w:w="0" w:type="dxa"/>
            <w:vAlign w:val="bottom"/>
          </w:tcPr>
          <w:p>
            <w:pPr>
              <w:spacing w:after="0"/>
              <w:rPr>
                <w:sz w:val="1"/>
                <w:szCs w:val="1"/>
                <w:color w:val="auto"/>
              </w:rPr>
            </w:pPr>
          </w:p>
        </w:tc>
      </w:tr>
      <w:tr>
        <w:trPr>
          <w:trHeight w:val="44"/>
        </w:trPr>
        <w:tc>
          <w:tcPr>
            <w:tcW w:w="22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291,418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1,993</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293,411</w:t>
            </w:r>
          </w:p>
        </w:tc>
        <w:tc>
          <w:tcPr>
            <w:tcW w:w="0" w:type="dxa"/>
            <w:vAlign w:val="bottom"/>
          </w:tcPr>
          <w:p>
            <w:pPr>
              <w:spacing w:after="0"/>
              <w:rPr>
                <w:sz w:val="1"/>
                <w:szCs w:val="1"/>
                <w:color w:val="auto"/>
              </w:rPr>
            </w:pPr>
          </w:p>
        </w:tc>
      </w:tr>
      <w:tr>
        <w:trPr>
          <w:trHeight w:val="227"/>
        </w:trPr>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(21,623)</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stock-based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12,132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12,132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12,132</w:t>
            </w:r>
          </w:p>
        </w:tc>
        <w:tc>
          <w:tcPr>
            <w:tcW w:w="0" w:type="dxa"/>
            <w:vAlign w:val="bottom"/>
          </w:tcPr>
          <w:p>
            <w:pPr>
              <w:spacing w:after="0"/>
              <w:rPr>
                <w:sz w:val="1"/>
                <w:szCs w:val="1"/>
                <w:color w:val="auto"/>
              </w:rPr>
            </w:pPr>
          </w:p>
        </w:tc>
      </w:tr>
      <w:tr>
        <w:trPr>
          <w:trHeight w:val="227"/>
        </w:trPr>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restricted shares, net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232,499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stock issuances, net of</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94,650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3,369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3,378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3,378</w:t>
            </w:r>
          </w:p>
        </w:tc>
        <w:tc>
          <w:tcPr>
            <w:tcW w:w="0" w:type="dxa"/>
            <w:vAlign w:val="bottom"/>
          </w:tcPr>
          <w:p>
            <w:pPr>
              <w:spacing w:after="0"/>
              <w:rPr>
                <w:sz w:val="1"/>
                <w:szCs w:val="1"/>
                <w:color w:val="auto"/>
              </w:rPr>
            </w:pPr>
          </w:p>
        </w:tc>
      </w:tr>
      <w:tr>
        <w:trPr>
          <w:trHeight w:val="208"/>
        </w:trPr>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of treasury stock, at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Contributions from non-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controlling interests</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59"/>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Balance as of September 30, 2019</w:t>
            </w:r>
          </w:p>
        </w:tc>
        <w:tc>
          <w:tcPr>
            <w:tcW w:w="8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7"/>
              </w:rPr>
              <w:t>91,654,158</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9,165</w:t>
            </w:r>
          </w:p>
        </w:tc>
        <w:tc>
          <w:tcPr>
            <w:tcW w:w="10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(15,344,917)</w:t>
            </w:r>
          </w:p>
        </w:tc>
        <w:tc>
          <w:tcPr>
            <w:tcW w:w="100" w:type="dxa"/>
            <w:vAlign w:val="bottom"/>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$(466,727)</w:t>
            </w:r>
          </w:p>
        </w:tc>
        <w:tc>
          <w:tcPr>
            <w:tcW w:w="100" w:type="dxa"/>
            <w:vAlign w:val="bottom"/>
          </w:tcPr>
          <w:p>
            <w:pPr>
              <w:spacing w:after="0"/>
              <w:rPr>
                <w:sz w:val="22"/>
                <w:szCs w:val="22"/>
                <w:color w:val="auto"/>
              </w:rPr>
            </w:pPr>
          </w:p>
        </w:tc>
        <w:tc>
          <w:tcPr>
            <w:tcW w:w="7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6"/>
              </w:rPr>
              <w:t>$804,487</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1,409,793</w:t>
            </w:r>
          </w:p>
        </w:tc>
        <w:tc>
          <w:tcPr>
            <w:tcW w:w="120" w:type="dxa"/>
            <w:vAlign w:val="bottom"/>
          </w:tcPr>
          <w:p>
            <w:pPr>
              <w:spacing w:after="0"/>
              <w:rPr>
                <w:sz w:val="22"/>
                <w:szCs w:val="22"/>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(82,117)</w:t>
            </w:r>
          </w:p>
        </w:tc>
        <w:tc>
          <w:tcPr>
            <w:tcW w:w="100" w:type="dxa"/>
            <w:vAlign w:val="bottom"/>
          </w:tcPr>
          <w:p>
            <w:pPr>
              <w:spacing w:after="0"/>
              <w:rPr>
                <w:sz w:val="22"/>
                <w:szCs w:val="22"/>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1,674,601</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4,703</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7"/>
              </w:rPr>
              <w:t>$1,679,304</w:t>
            </w:r>
          </w:p>
        </w:tc>
        <w:tc>
          <w:tcPr>
            <w:tcW w:w="0" w:type="dxa"/>
            <w:vAlign w:val="bottom"/>
          </w:tcPr>
          <w:p>
            <w:pPr>
              <w:spacing w:after="0"/>
              <w:rPr>
                <w:sz w:val="1"/>
                <w:szCs w:val="1"/>
                <w:color w:val="auto"/>
              </w:rPr>
            </w:pPr>
          </w:p>
        </w:tc>
      </w:tr>
      <w:tr>
        <w:trPr>
          <w:trHeight w:val="44"/>
        </w:trPr>
        <w:tc>
          <w:tcPr>
            <w:tcW w:w="22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2017</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7"/>
              </w:rPr>
              <w:t>90,935,584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9,094</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(8,132,811)</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$(147,124)</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6"/>
              </w:rPr>
              <w:t>$775,387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857,154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1,430,799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7"/>
              </w:rPr>
              <w:t>$1,433,353</w:t>
            </w:r>
          </w:p>
        </w:tc>
        <w:tc>
          <w:tcPr>
            <w:tcW w:w="0" w:type="dxa"/>
            <w:vAlign w:val="bottom"/>
          </w:tcPr>
          <w:p>
            <w:pPr>
              <w:spacing w:after="0"/>
              <w:rPr>
                <w:sz w:val="1"/>
                <w:szCs w:val="1"/>
                <w:color w:val="auto"/>
              </w:rPr>
            </w:pPr>
          </w:p>
        </w:tc>
      </w:tr>
      <w:tr>
        <w:trPr>
          <w:trHeight w:val="188"/>
        </w:trPr>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Cumulative effect of adoption,</w:t>
            </w: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Topic 606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1,562</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227,718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227,406</w:t>
            </w:r>
          </w:p>
        </w:tc>
        <w:tc>
          <w:tcPr>
            <w:tcW w:w="0" w:type="dxa"/>
            <w:vAlign w:val="bottom"/>
          </w:tcPr>
          <w:p>
            <w:pPr>
              <w:spacing w:after="0"/>
              <w:rPr>
                <w:sz w:val="1"/>
                <w:szCs w:val="1"/>
                <w:color w:val="auto"/>
              </w:rPr>
            </w:pPr>
          </w:p>
        </w:tc>
      </w:tr>
      <w:tr>
        <w:trPr>
          <w:trHeight w:val="227"/>
        </w:trPr>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12,845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12,845</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stock-based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10,086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10,086</w:t>
            </w:r>
          </w:p>
        </w:tc>
        <w:tc>
          <w:tcPr>
            <w:tcW w:w="0" w:type="dxa"/>
            <w:vAlign w:val="bottom"/>
          </w:tcPr>
          <w:p>
            <w:pPr>
              <w:spacing w:after="0"/>
              <w:rPr>
                <w:sz w:val="1"/>
                <w:szCs w:val="1"/>
                <w:color w:val="auto"/>
              </w:rPr>
            </w:pPr>
          </w:p>
        </w:tc>
      </w:tr>
      <w:tr>
        <w:trPr>
          <w:trHeight w:val="227"/>
        </w:trPr>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restricted shares, net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90,807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stock issuances, net of</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77,680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3,016</w:t>
            </w:r>
          </w:p>
        </w:tc>
        <w:tc>
          <w:tcPr>
            <w:tcW w:w="0" w:type="dxa"/>
            <w:vAlign w:val="bottom"/>
          </w:tcPr>
          <w:p>
            <w:pPr>
              <w:spacing w:after="0"/>
              <w:rPr>
                <w:sz w:val="1"/>
                <w:szCs w:val="1"/>
                <w:color w:val="auto"/>
              </w:rPr>
            </w:pPr>
          </w:p>
        </w:tc>
      </w:tr>
      <w:tr>
        <w:trPr>
          <w:trHeight w:val="208"/>
        </w:trPr>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of treasury stock, at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(4,307,297)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(198,448)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(198,448)</w:t>
            </w:r>
          </w:p>
        </w:tc>
        <w:tc>
          <w:tcPr>
            <w:tcW w:w="0" w:type="dxa"/>
            <w:vAlign w:val="bottom"/>
          </w:tcPr>
          <w:p>
            <w:pPr>
              <w:spacing w:after="0"/>
              <w:rPr>
                <w:sz w:val="1"/>
                <w:szCs w:val="1"/>
                <w:color w:val="auto"/>
              </w:rPr>
            </w:pPr>
          </w:p>
        </w:tc>
      </w:tr>
      <w:tr>
        <w:trPr>
          <w:trHeight w:val="32"/>
        </w:trPr>
        <w:tc>
          <w:tcPr>
            <w:tcW w:w="2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Balance as of September 30, 2018</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7"/>
              </w:rPr>
              <w:t>91,104,071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9,110</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(12,440,108)</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$(345,572)</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6"/>
              </w:rPr>
              <w:t>$788,473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1,086,434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(50,867)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1,487,578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7"/>
              </w:rPr>
              <w:t>$1,489,820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511"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6"/>
              </w:rPr>
              <w:t>For the Nine Months Ended September 30,</w:t>
            </w:r>
          </w:p>
        </w:tc>
      </w:tr>
      <w:tr>
        <w:trPr>
          <w:trHeight w:val="32"/>
        </w:trPr>
        <w:tc>
          <w:tcPr>
            <w:tcW w:w="8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8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293,411</w:t>
            </w:r>
          </w:p>
        </w:tc>
        <w:tc>
          <w:tcPr>
            <w:tcW w:w="12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227,406</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9"/>
                <w:szCs w:val="19"/>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174,171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156,478</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Non-cash interest expense, net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1,836</w:t>
            </w: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20" w:type="dxa"/>
            <w:vAlign w:val="bottom"/>
          </w:tcPr>
          <w:p>
            <w:pPr>
              <w:spacing w:after="0"/>
              <w:rPr>
                <w:sz w:val="19"/>
                <w:szCs w:val="19"/>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12,132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10,086</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for deferred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8,546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51,405</w:t>
            </w: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(19,080)</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Gains on sales of assets, net, including fixed assets held-for-sale</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(12,021)</w:t>
            </w: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non-cash items, net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5,055</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9"/>
                <w:szCs w:val="19"/>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(763,893)</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21,293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(37,025)</w:t>
            </w: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assets, current and long-term portion</w:t>
            </w:r>
          </w:p>
        </w:tc>
        <w:tc>
          <w:tcPr>
            <w:tcW w:w="120" w:type="dxa"/>
            <w:vAlign w:val="bottom"/>
          </w:tcPr>
          <w:p>
            <w:pPr>
              <w:spacing w:after="0"/>
              <w:rPr>
                <w:sz w:val="19"/>
                <w:szCs w:val="19"/>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16,641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34,495</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367,938</w:t>
            </w: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Billings in excess of costs and earnings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(9,432)</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liabilities, current and long-term portion</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47,570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13,522</w:t>
            </w:r>
          </w:p>
        </w:tc>
      </w:tr>
      <w:tr>
        <w:trPr>
          <w:trHeight w:val="20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441,394</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26,770</w:t>
            </w:r>
          </w:p>
        </w:tc>
      </w:tr>
      <w:tr>
        <w:trPr>
          <w:trHeight w:val="32"/>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(6,684)</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(134,214)</w:t>
            </w: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20" w:type="dxa"/>
            <w:vAlign w:val="bottom"/>
          </w:tcPr>
          <w:p>
            <w:pPr>
              <w:spacing w:after="0"/>
              <w:rPr>
                <w:sz w:val="19"/>
                <w:szCs w:val="19"/>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27,102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29,676</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(36,330)</w:t>
            </w: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120" w:type="dxa"/>
            <w:vAlign w:val="bottom"/>
          </w:tcPr>
          <w:p>
            <w:pPr>
              <w:spacing w:after="0"/>
              <w:rPr>
                <w:sz w:val="19"/>
                <w:szCs w:val="19"/>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14,705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5,415</w:t>
            </w:r>
          </w:p>
        </w:tc>
      </w:tr>
      <w:tr>
        <w:trPr>
          <w:trHeight w:val="32"/>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(142,137)</w:t>
            </w:r>
          </w:p>
        </w:tc>
      </w:tr>
      <w:tr>
        <w:trPr>
          <w:trHeight w:val="220"/>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credit facilities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2,185,714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2,422,556</w:t>
            </w: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Repayments of credit facilities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(2,371,965)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(1,997,392)</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Repayments of other borrowings, net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(15,830)</w:t>
            </w: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(54,560)</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(15,929)</w:t>
            </w: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(distributions to) non-controlling interests</w:t>
            </w:r>
          </w:p>
        </w:tc>
        <w:tc>
          <w:tcPr>
            <w:tcW w:w="120" w:type="dxa"/>
            <w:vAlign w:val="bottom"/>
          </w:tcPr>
          <w:p>
            <w:pPr>
              <w:spacing w:after="0"/>
              <w:rPr>
                <w:sz w:val="19"/>
                <w:szCs w:val="19"/>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stock-based awards, net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3,380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3,086</w:t>
            </w: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(198,448)</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(282,043)</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142,924</w:t>
            </w:r>
          </w:p>
        </w:tc>
      </w:tr>
      <w:tr>
        <w:trPr>
          <w:trHeight w:val="32"/>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601</w:t>
            </w: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15,673</w:t>
            </w:r>
          </w:p>
        </w:tc>
        <w:tc>
          <w:tcPr>
            <w:tcW w:w="12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28,158</w:t>
            </w:r>
          </w:p>
        </w:tc>
      </w:tr>
      <w:tr>
        <w:trPr>
          <w:trHeight w:val="32"/>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27,422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40,326</w:t>
            </w:r>
          </w:p>
        </w:tc>
      </w:tr>
      <w:tr>
        <w:trPr>
          <w:trHeight w:val="20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43,095</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68,484</w:t>
            </w:r>
          </w:p>
        </w:tc>
      </w:tr>
      <w:tr>
        <w:trPr>
          <w:trHeight w:val="32"/>
        </w:trPr>
        <w:tc>
          <w:tcPr>
            <w:tcW w:w="8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2"/>
        </w:trPr>
        <w:tc>
          <w:tcPr>
            <w:tcW w:w="8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51"/>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7"/>
        </w:trPr>
        <w:tc>
          <w:tcPr>
            <w:tcW w:w="8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73,570</w:t>
            </w:r>
          </w:p>
        </w:tc>
        <w:tc>
          <w:tcPr>
            <w:tcW w:w="12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65,788</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payments (refunds),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73,502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(12,736)</w:t>
            </w: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information:</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7"/>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Additions to property and equipment from finance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163,458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48,498</w:t>
            </w:r>
          </w:p>
        </w:tc>
      </w:tr>
      <w:tr>
        <w:trPr>
          <w:trHeight w:val="32"/>
        </w:trPr>
        <w:tc>
          <w:tcPr>
            <w:tcW w:w="8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420"/>
          </w:cols>
          <w:pgMar w:left="240" w:top="511"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420"/>
          </w:cols>
          <w:pgMar w:left="240" w:top="511" w:right="2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Basis of Presentation and Significant Accounting Policies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Nature of the Business</w:t>
      </w:r>
    </w:p>
    <w:p>
      <w:pPr>
        <w:spacing w:after="0" w:line="104"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renewables; heavy civil; and industrial infrastructure. MasTec’s customers are primarily in these industries. MasTec reports its results under five reportable segments: (1) Communications; (2) Oil and Gas; (3) Electrical Transmission; (4) Power Generation and Industrial; and (5) Other.</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04" w:lineRule="exact"/>
        <w:rPr>
          <w:sz w:val="20"/>
          <w:szCs w:val="20"/>
          <w:color w:val="auto"/>
        </w:rPr>
      </w:pPr>
    </w:p>
    <w:p>
      <w:pPr>
        <w:jc w:val="both"/>
        <w:ind w:firstLine="620"/>
        <w:spacing w:after="0" w:line="238" w:lineRule="auto"/>
        <w:rPr>
          <w:sz w:val="20"/>
          <w:szCs w:val="20"/>
          <w:color w:val="auto"/>
        </w:rPr>
      </w:pPr>
      <w:r>
        <w:rPr>
          <w:rFonts w:ascii="Times New Roman" w:cs="Times New Roman" w:eastAsia="Times New Roman" w:hAnsi="Times New Roman"/>
          <w:sz w:val="16"/>
          <w:szCs w:val="16"/>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2018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2018 contained in the Company’s 2018 Annual Report on Form 10-K (the “2018 Form 10-K”). In management’s opinion, all normal and recurring adjustments considered necessary for a fair presentation of the financial position, results of operations and cash flows for the periods presented have been included. When necessary,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04"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The Company’s investments in entities for which the Company does not have a controlling interest, but over which it has the ability to exert significant influence, are accounted for using the equity method of accounting.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Translation of Foreign Currencies</w:t>
      </w:r>
    </w:p>
    <w:p>
      <w:pPr>
        <w:spacing w:after="0" w:line="104"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consolidated financial statements, “$” means U.S. dollars unless otherwise noted.</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Management Estimates</w:t>
      </w:r>
    </w:p>
    <w:p>
      <w:pPr>
        <w:spacing w:after="0" w:line="104" w:lineRule="exact"/>
        <w:rPr>
          <w:sz w:val="20"/>
          <w:szCs w:val="20"/>
          <w:color w:val="auto"/>
        </w:rPr>
      </w:pPr>
    </w:p>
    <w:p>
      <w:pPr>
        <w:jc w:val="both"/>
        <w:ind w:firstLine="620"/>
        <w:spacing w:after="0" w:line="238"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the results of which form the basis of making judgments about the Company’s operating results and the carrying values of assets and liabilities that are not readily apparent from other sources. 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and intangible assets, acquisition-related contingent consideration and equity investments; allowances for doubtful accounts; asset lives used in computing depreciation and amortization; fair values of financial instruments; self-insurance liabilities; other accruals and allowances; income taxes; and the estimated effects of litigation and other contingencies.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0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The Company recognizes revenue from contracts with customers under Accounting Standards Codification (“ASC”) Topic 606 (“Topic 606”). Under Topic 606, revenue is recognized when, or as, control of promised goods and services is transferred to customers, and the amount of revenue recognized reflects the consideration to which an entity expects to be entitled in exchange for the goods and services transferred. Revenue is primarily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511" w:right="239" w:bottom="1440" w:gutter="0" w:footer="0" w:header="0"/>
        </w:sectPr>
      </w:pPr>
    </w:p>
    <w:bookmarkStart w:id="9" w:name="page10"/>
    <w:bookmarkEnd w:id="9"/>
    <w:p>
      <w:pPr>
        <w:jc w:val="both"/>
        <w:spacing w:after="0" w:line="257" w:lineRule="auto"/>
        <w:rPr>
          <w:sz w:val="20"/>
          <w:szCs w:val="20"/>
          <w:color w:val="auto"/>
        </w:rPr>
      </w:pPr>
      <w:r>
        <w:rPr>
          <w:rFonts w:ascii="Times New Roman" w:cs="Times New Roman" w:eastAsia="Times New Roman" w:hAnsi="Times New Roman"/>
          <w:sz w:val="16"/>
          <w:szCs w:val="16"/>
          <w:color w:val="auto"/>
        </w:rPr>
        <w:t>recognized by the Company over time utilizing the cost-to-cost measure of progress, which best depicts the continuous transfer of control of goods or services to the customer, and correspondingly, when performance obligations are satisfied for the related contracts.</w:t>
      </w:r>
    </w:p>
    <w:p>
      <w:pPr>
        <w:spacing w:after="0" w:line="67"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The Company derives revenue primarily from construction projects performed under: (i) master and other service agreements, which provide a menu of available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32% of consolidated revenue for both the three month periods ended September 30, 2019 and 2018, and totaled 35% and 36% for the nine month periods ended September 30, 2019 and 2018, respectively.</w:t>
      </w:r>
    </w:p>
    <w:p>
      <w:pPr>
        <w:spacing w:after="0" w:line="84"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For certain master service and other service agreements under which the Company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4% and 6% of consolidated revenue for the three month periods ended September 30, 2019 and 2018, respectively, and accounted for approximately 5% and 7% for the nine month periods ended September 30, 2019 and 2018, respectively. Substantially all of the Company’s other revenue is recognized over time.</w:t>
      </w:r>
    </w:p>
    <w:p>
      <w:pPr>
        <w:spacing w:after="0" w:line="84" w:lineRule="exact"/>
        <w:rPr>
          <w:sz w:val="20"/>
          <w:szCs w:val="20"/>
          <w:color w:val="auto"/>
        </w:rPr>
      </w:pPr>
    </w:p>
    <w:p>
      <w:pPr>
        <w:jc w:val="both"/>
        <w:ind w:firstLine="620"/>
        <w:spacing w:after="0" w:line="277" w:lineRule="auto"/>
        <w:rPr>
          <w:sz w:val="20"/>
          <w:szCs w:val="20"/>
          <w:color w:val="auto"/>
        </w:rPr>
      </w:pPr>
      <w:r>
        <w:rPr>
          <w:rFonts w:ascii="Times New Roman" w:cs="Times New Roman" w:eastAsia="Times New Roman" w:hAnsi="Times New Roman"/>
          <w:sz w:val="14"/>
          <w:szCs w:val="14"/>
          <w:color w:val="auto"/>
        </w:rPr>
        <w:t>The cost estimation process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nine month periods ended September 30, 2019 and 2018, project profit was affected by less than 5% as a result of changes in contract estimates included in projects that were in process as of December 31, 2018 and 2017. Revenue recognized for the three month periods ended September 30, 2019 and 2018 as a result of changes in revenue estimates, including from variable consideration, from performance obligations satisfied or partially satisfied in prior periods totaled approximately $13.3 million and $72.7 million, respectively, and totaled $52.2 million and $55.6 million for the nine month periods ended September 30, 2019 and 2018, respectively.</w:t>
      </w:r>
    </w:p>
    <w:p>
      <w:pPr>
        <w:spacing w:after="0" w:line="245"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The Company may incur certain costs that can be capitalized, such as initial set-up or mobilization costs. Such costs, which are amortized over the life of the respective projects, were not material for the three or nine month periods ended September 30, 2019 and 2018.</w:t>
      </w:r>
    </w:p>
    <w:p>
      <w:pPr>
        <w:spacing w:after="0" w:line="67"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and is the unit of account under Topic 606.</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transaction price of a contract is allocated to each distinct performance obligation and recognized as revenue when or as the performance obligation is satisfied. The vast majority of the Company’s performance obligations are completed within one year.</w:t>
      </w:r>
    </w:p>
    <w:p>
      <w:pPr>
        <w:spacing w:after="0" w:line="77"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September 30, 2019, the amount of the Company’s remaining performance obligations was $6.0 billion. The Company expects to recognize approximately $1.3 billion of its remaining performance obligations as revenue during 2019, with the majority of the remaining balance to be recognized in 2020.</w:t>
      </w:r>
    </w:p>
    <w:p>
      <w:pPr>
        <w:spacing w:after="0" w:line="81"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the Company’s contracts may include variable consideration, which comprises items such as change orders, claims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86"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color w:val="auto"/>
        </w:rPr>
        <w:t>As of September 30, 2019 and December 31, 2018, the Company included approximately $26 million and $56 million, respectively, of change orders and/or claims in transaction prices for certain contracts that were in the process of being resolved in the ordinary course of business, including through negotiation, arbitration and other proceedings. These transaction price adjustments are included within costs and earnings in excess of billings or accounts receivable, net of allowance, as appropriate. As of both September 30, 2019 and December 31, 2018, these change orders and/or claims were primarily related to certain projects in the Company’s Oil and Gas segment. The Company actively engages with its customers to complete the final approval process, and generally expects these processes to be completed within one year. Amounts ultimately realized upon final acceptance by customers could be higher or lower than such estimated amounts.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0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See the recent accounting pronouncements discussion below for information pertaining to the effects of recently adopted and other recent accounting pronouncements, as updated from the discussion in the Company’s 2018 Form 10-K.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Adopted in 2019</w:t>
      </w:r>
    </w:p>
    <w:p>
      <w:pPr>
        <w:spacing w:after="0" w:line="100"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i w:val="1"/>
          <w:iCs w:val="1"/>
          <w:color w:val="auto"/>
        </w:rPr>
        <w:t xml:space="preserve">Leases. </w:t>
      </w:r>
      <w:r>
        <w:rPr>
          <w:rFonts w:ascii="Times New Roman" w:cs="Times New Roman" w:eastAsia="Times New Roman" w:hAnsi="Times New Roman"/>
          <w:sz w:val="16"/>
          <w:szCs w:val="16"/>
          <w:color w:val="auto"/>
        </w:rPr>
        <w:t>I</w:t>
      </w:r>
      <w:r>
        <w:rPr>
          <w:rFonts w:ascii="Times New Roman" w:cs="Times New Roman" w:eastAsia="Times New Roman" w:hAnsi="Times New Roman"/>
          <w:sz w:val="16"/>
          <w:szCs w:val="16"/>
          <w:color w:val="252525"/>
        </w:rPr>
        <w:t>n February 2016,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Accounting Standards Board (“FASB”)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252525"/>
        </w:rPr>
        <w:t>issued Accounting Standard Update (“ASU”) 2016-02,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color w:val="252525"/>
        </w:rPr>
        <w:t>Leases (Topic 842)</w:t>
      </w:r>
      <w:r>
        <w:rPr>
          <w:rFonts w:ascii="Times New Roman" w:cs="Times New Roman" w:eastAsia="Times New Roman" w:hAnsi="Times New Roman"/>
          <w:sz w:val="16"/>
          <w:szCs w:val="16"/>
          <w:color w:val="252525"/>
        </w:rPr>
        <w:t>, which, together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252525"/>
        </w:rPr>
        <w:t>with its related clarifying ASUs (collectively, “ASU 2016-02”), provided revised guidance for lease accounting and related disclosure requirements, including a requirement for lessees to recognize right-of-use assets and lease liabilities on the balance sheet for leases with durations greater than twelve months. Under ASU 2016-02, leases are classified by lessees as either finance or operating leases. Lease expense is recognized based on an effective interest method for finance leases, and on a straight-line basis over the term of the lease for operating leases.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420"/>
          </w:cols>
          <w:pgMar w:left="240" w:top="618" w:right="239" w:bottom="1440" w:gutter="0" w:footer="0" w:header="0"/>
        </w:sectPr>
      </w:pPr>
    </w:p>
    <w:bookmarkStart w:id="10" w:name="page11"/>
    <w:bookmarkEnd w:id="10"/>
    <w:p>
      <w:pPr>
        <w:jc w:val="both"/>
        <w:ind w:firstLine="620"/>
        <w:spacing w:after="0" w:line="239" w:lineRule="auto"/>
        <w:rPr>
          <w:sz w:val="20"/>
          <w:szCs w:val="20"/>
          <w:color w:val="auto"/>
        </w:rPr>
      </w:pPr>
      <w:r>
        <w:rPr>
          <w:rFonts w:ascii="Times New Roman" w:cs="Times New Roman" w:eastAsia="Times New Roman" w:hAnsi="Times New Roman"/>
          <w:sz w:val="16"/>
          <w:szCs w:val="16"/>
          <w:color w:val="252525"/>
        </w:rPr>
        <w:t xml:space="preserve">The Company adopted ASU 2016-02 using the modified retrospective method during the first quarter of 2019, without adjusting comparative periods in the financial statements. The most significant effect of the new guidance was the recognition of operating lease right-of-use assets and a liability for operating leases. The accounting for finance leases (or, under previous guidance, capital leases) was substantially unchanged. The Company elected to utilize the package of practical expedients that allowed entities to: (1) not reassess whether any expired or existing contracts were or contained leases; (2) retain the existing classification of lease contracts as of the date of adoption; (3) not reassess initial direct costs for any existing leases; and (4) not separate non-lease components for all classes of leased assets. The Company recognized approximately </w:t>
      </w:r>
      <w:r>
        <w:rPr>
          <w:rFonts w:ascii="Times New Roman" w:cs="Times New Roman" w:eastAsia="Times New Roman" w:hAnsi="Times New Roman"/>
          <w:sz w:val="16"/>
          <w:szCs w:val="16"/>
          <w:color w:val="000000"/>
        </w:rPr>
        <w:t>$230 million</w:t>
      </w:r>
      <w:r>
        <w:rPr>
          <w:rFonts w:ascii="Times New Roman" w:cs="Times New Roman" w:eastAsia="Times New Roman" w:hAnsi="Times New Roman"/>
          <w:sz w:val="16"/>
          <w:szCs w:val="16"/>
          <w:color w:val="252525"/>
        </w:rPr>
        <w:t xml:space="preserve"> of </w:t>
      </w:r>
      <w:r>
        <w:rPr>
          <w:rFonts w:ascii="Times New Roman" w:cs="Times New Roman" w:eastAsia="Times New Roman" w:hAnsi="Times New Roman"/>
          <w:sz w:val="16"/>
          <w:szCs w:val="16"/>
          <w:color w:val="000000"/>
        </w:rPr>
        <w:t>lease assets and</w:t>
      </w:r>
      <w:r>
        <w:rPr>
          <w:rFonts w:ascii="Times New Roman" w:cs="Times New Roman" w:eastAsia="Times New Roman" w:hAnsi="Times New Roman"/>
          <w:sz w:val="16"/>
          <w:szCs w:val="16"/>
          <w:color w:val="252525"/>
        </w:rPr>
        <w:t xml:space="preserve"> </w:t>
      </w:r>
      <w:r>
        <w:rPr>
          <w:rFonts w:ascii="Times New Roman" w:cs="Times New Roman" w:eastAsia="Times New Roman" w:hAnsi="Times New Roman"/>
          <w:sz w:val="16"/>
          <w:szCs w:val="16"/>
          <w:color w:val="000000"/>
        </w:rPr>
        <w:t xml:space="preserve">liabilities for operating leases upon adoption of ASU 2016-02. </w:t>
      </w:r>
      <w:r>
        <w:rPr>
          <w:rFonts w:ascii="Times New Roman" w:cs="Times New Roman" w:eastAsia="Times New Roman" w:hAnsi="Times New Roman"/>
          <w:sz w:val="16"/>
          <w:szCs w:val="16"/>
          <w:color w:val="252525"/>
        </w:rPr>
        <w:t>The adoption of Topic 842 did not have a material effect on the Company's results of operations or cash flows. For</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52525"/>
        </w:rPr>
        <w:t>additional information about the Company’s leases, see Note 8 - Lease Obligations.</w:t>
      </w:r>
    </w:p>
    <w:p>
      <w:pPr>
        <w:spacing w:after="0" w:line="186"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i w:val="1"/>
          <w:iCs w:val="1"/>
          <w:color w:val="252525"/>
        </w:rPr>
        <w:t xml:space="preserve">Reclassification of Tax Effects from Other Comprehensive Income. </w:t>
      </w:r>
      <w:r>
        <w:rPr>
          <w:rFonts w:ascii="Times New Roman" w:cs="Times New Roman" w:eastAsia="Times New Roman" w:hAnsi="Times New Roman"/>
          <w:sz w:val="16"/>
          <w:szCs w:val="16"/>
          <w:color w:val="252525"/>
        </w:rPr>
        <w:t>In February 2018, the FASB issued ASU 2018-02,</w:t>
      </w:r>
      <w:r>
        <w:rPr>
          <w:rFonts w:ascii="Times New Roman" w:cs="Times New Roman" w:eastAsia="Times New Roman" w:hAnsi="Times New Roman"/>
          <w:sz w:val="16"/>
          <w:szCs w:val="16"/>
          <w:i w:val="1"/>
          <w:iCs w:val="1"/>
          <w:color w:val="252525"/>
        </w:rPr>
        <w:t xml:space="preserve"> Income Statement - Reporting Comprehensive Income (Topic </w:t>
      </w:r>
      <w:r>
        <w:rPr>
          <w:rFonts w:ascii="Times New Roman" w:cs="Times New Roman" w:eastAsia="Times New Roman" w:hAnsi="Times New Roman"/>
          <w:sz w:val="16"/>
          <w:szCs w:val="16"/>
          <w:color w:val="252525"/>
        </w:rPr>
        <w:t>220):</w:t>
      </w:r>
      <w:r>
        <w:rPr>
          <w:rFonts w:ascii="Times New Roman" w:cs="Times New Roman" w:eastAsia="Times New Roman" w:hAnsi="Times New Roman"/>
          <w:sz w:val="16"/>
          <w:szCs w:val="16"/>
          <w:i w:val="1"/>
          <w:iCs w:val="1"/>
          <w:color w:val="252525"/>
        </w:rPr>
        <w:t xml:space="preserve"> Reclassification of Certain Tax Effects from Accumulated Other Comprehensive Income </w:t>
      </w:r>
      <w:r>
        <w:rPr>
          <w:rFonts w:ascii="Times New Roman" w:cs="Times New Roman" w:eastAsia="Times New Roman" w:hAnsi="Times New Roman"/>
          <w:sz w:val="16"/>
          <w:szCs w:val="16"/>
          <w:color w:val="252525"/>
        </w:rPr>
        <w:t>(“ASU 2018-02”)</w:t>
      </w:r>
      <w:r>
        <w:rPr>
          <w:rFonts w:ascii="Times New Roman" w:cs="Times New Roman" w:eastAsia="Times New Roman" w:hAnsi="Times New Roman"/>
          <w:sz w:val="16"/>
          <w:szCs w:val="16"/>
          <w:i w:val="1"/>
          <w:iCs w:val="1"/>
          <w:color w:val="252525"/>
        </w:rPr>
        <w:t xml:space="preserve">. </w:t>
      </w:r>
      <w:r>
        <w:rPr>
          <w:rFonts w:ascii="Times New Roman" w:cs="Times New Roman" w:eastAsia="Times New Roman" w:hAnsi="Times New Roman"/>
          <w:sz w:val="16"/>
          <w:szCs w:val="16"/>
          <w:color w:val="252525"/>
        </w:rPr>
        <w:t>ASU 2018-02, which the Company adopted during the first</w:t>
      </w:r>
      <w:r>
        <w:rPr>
          <w:rFonts w:ascii="Times New Roman" w:cs="Times New Roman" w:eastAsia="Times New Roman" w:hAnsi="Times New Roman"/>
          <w:sz w:val="16"/>
          <w:szCs w:val="16"/>
          <w:i w:val="1"/>
          <w:iCs w:val="1"/>
          <w:color w:val="252525"/>
        </w:rPr>
        <w:t xml:space="preserve"> </w:t>
      </w:r>
      <w:r>
        <w:rPr>
          <w:rFonts w:ascii="Times New Roman" w:cs="Times New Roman" w:eastAsia="Times New Roman" w:hAnsi="Times New Roman"/>
          <w:sz w:val="16"/>
          <w:szCs w:val="16"/>
          <w:color w:val="252525"/>
        </w:rPr>
        <w:t>quarter of 2019, permitted entities to reclassify the tax effects related to the change in the federal tax rate as a result of the Tax Cuts and Jobs Act of 2017 (the “2017 Tax Act”) from accumulated other comprehensive income to retained earnings. The Company elected not to reclassify these tax effects, therefore, this ASU had no effect on its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52525"/>
        </w:rPr>
        <w:t xml:space="preserve">Other Recent </w:t>
      </w:r>
      <w:r>
        <w:rPr>
          <w:rFonts w:ascii="Times New Roman" w:cs="Times New Roman" w:eastAsia="Times New Roman" w:hAnsi="Times New Roman"/>
          <w:sz w:val="16"/>
          <w:szCs w:val="16"/>
          <w:b w:val="1"/>
          <w:bCs w:val="1"/>
          <w:i w:val="1"/>
          <w:iCs w:val="1"/>
          <w:color w:val="000000"/>
        </w:rPr>
        <w:t>Accounting Pronouncements</w:t>
      </w:r>
    </w:p>
    <w:p>
      <w:pPr>
        <w:spacing w:after="0" w:line="100" w:lineRule="exact"/>
        <w:rPr>
          <w:sz w:val="20"/>
          <w:szCs w:val="20"/>
          <w:color w:val="auto"/>
        </w:rPr>
      </w:pPr>
    </w:p>
    <w:p>
      <w:pPr>
        <w:jc w:val="both"/>
        <w:ind w:firstLine="620"/>
        <w:spacing w:after="0" w:line="278" w:lineRule="auto"/>
        <w:rPr>
          <w:sz w:val="20"/>
          <w:szCs w:val="20"/>
          <w:color w:val="auto"/>
        </w:rPr>
      </w:pPr>
      <w:r>
        <w:rPr>
          <w:rFonts w:ascii="Times New Roman" w:cs="Times New Roman" w:eastAsia="Times New Roman" w:hAnsi="Times New Roman"/>
          <w:sz w:val="14"/>
          <w:szCs w:val="14"/>
          <w:color w:val="auto"/>
        </w:rPr>
        <w:t xml:space="preserve">In June 2016, the FASB issued ASU 2016-13, </w:t>
      </w:r>
      <w:r>
        <w:rPr>
          <w:rFonts w:ascii="Times New Roman" w:cs="Times New Roman" w:eastAsia="Times New Roman" w:hAnsi="Times New Roman"/>
          <w:sz w:val="14"/>
          <w:szCs w:val="14"/>
          <w:i w:val="1"/>
          <w:iCs w:val="1"/>
          <w:color w:val="auto"/>
        </w:rPr>
        <w:t>Financial Instruments - Credit Losses (Topic 326), Measurement of Credit Losses on Financial Instruments</w:t>
      </w:r>
      <w:r>
        <w:rPr>
          <w:rFonts w:ascii="Times New Roman" w:cs="Times New Roman" w:eastAsia="Times New Roman" w:hAnsi="Times New Roman"/>
          <w:sz w:val="14"/>
          <w:szCs w:val="14"/>
          <w:color w:val="252525"/>
        </w:rPr>
        <w:t>. This ASU,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52525"/>
        </w:rPr>
        <w:t>together with its related clarifying ASUs (collectively, “ASU 2016-13”), introduced an expected credit loss methodology for the measurement and recognition of credit losses on most financial assets, including trade and financing receivables. The current expected credit loss methodology, which is based on historical experience, current conditions and reasonable and supportable forecasts, replaces the probable/incurred loss model for measuring and recognizing expected losses under current GAAP, and could result in earlier recognition of credit losses. ASU 2016-13 also requires enhanced disclosures pertaining to significant estimates and judgments used in estimating credit losses under the current expected credit loss methodology. ASU 2016-13 is effective for fiscal years, and for interim periods within those fiscal years, beginning after December 15, 2019, with the cumulative effect of adoption recorded as an adjustment to retained earnings, if applicable. ASU 2016-13, which the Company will adopt in the first quarter of 2020, is not expected to have a material effect on the Company’s consolidated financial statements. The Company is currently evaluating updates to its processes and controls in preparation for adoption of this ASU.</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Earnings Per Share</w:t>
      </w:r>
    </w:p>
    <w:p>
      <w:pPr>
        <w:spacing w:after="0" w:line="208"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Basic earnings or loss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provides details underlying the Company’s earnings per share calculations for the periods indicated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For the Three Months Ended</w:t>
            </w:r>
          </w:p>
        </w:tc>
        <w:tc>
          <w:tcPr>
            <w:tcW w:w="140" w:type="dxa"/>
            <w:vAlign w:val="bottom"/>
          </w:tcPr>
          <w:p>
            <w:pPr>
              <w:spacing w:after="0"/>
              <w:rPr>
                <w:sz w:val="16"/>
                <w:szCs w:val="16"/>
                <w:color w:val="auto"/>
              </w:rPr>
            </w:pPr>
          </w:p>
        </w:tc>
        <w:tc>
          <w:tcPr>
            <w:tcW w:w="2000" w:type="dxa"/>
            <w:vAlign w:val="bottom"/>
            <w:gridSpan w:val="4"/>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7"/>
              </w:rPr>
              <w:t>For the Nine Months Ended</w:t>
            </w:r>
          </w:p>
        </w:tc>
      </w:tr>
      <w:tr>
        <w:trPr>
          <w:trHeight w:val="204"/>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40" w:type="dxa"/>
            <w:vAlign w:val="bottom"/>
          </w:tcPr>
          <w:p>
            <w:pPr>
              <w:spacing w:after="0"/>
              <w:rPr>
                <w:sz w:val="17"/>
                <w:szCs w:val="17"/>
                <w:color w:val="auto"/>
              </w:rPr>
            </w:pPr>
          </w:p>
        </w:tc>
        <w:tc>
          <w:tcPr>
            <w:tcW w:w="200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2"/>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0"/>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MasTec:</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58"/>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Net income - basic and diluted </w:t>
            </w:r>
            <w:r>
              <w:rPr>
                <w:rFonts w:ascii="Times New Roman" w:cs="Times New Roman" w:eastAsia="Times New Roman" w:hAnsi="Times New Roman"/>
                <w:sz w:val="20"/>
                <w:szCs w:val="20"/>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128,596</w:t>
            </w:r>
          </w:p>
        </w:tc>
        <w:tc>
          <w:tcPr>
            <w:tcW w:w="120" w:type="dxa"/>
            <w:vAlign w:val="bottom"/>
          </w:tcPr>
          <w:p>
            <w:pPr>
              <w:spacing w:after="0"/>
              <w:rPr>
                <w:sz w:val="22"/>
                <w:szCs w:val="22"/>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120,666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291,418</w:t>
            </w:r>
          </w:p>
        </w:tc>
        <w:tc>
          <w:tcPr>
            <w:tcW w:w="100" w:type="dxa"/>
            <w:vAlign w:val="bottom"/>
          </w:tcPr>
          <w:p>
            <w:pPr>
              <w:spacing w:after="0"/>
              <w:rPr>
                <w:sz w:val="22"/>
                <w:szCs w:val="22"/>
                <w:color w:val="auto"/>
              </w:rPr>
            </w:pP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227,718</w:t>
            </w:r>
          </w:p>
        </w:tc>
      </w:tr>
      <w:tr>
        <w:trPr>
          <w:trHeight w:val="23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27"/>
        </w:trPr>
        <w:tc>
          <w:tcPr>
            <w:tcW w:w="6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75,217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78,096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75,131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79,399</w:t>
            </w:r>
          </w:p>
        </w:tc>
      </w:tr>
      <w:tr>
        <w:trPr>
          <w:trHeight w:val="32"/>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8"/>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Dilutive common stock equivalents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1,085</w:t>
            </w:r>
          </w:p>
        </w:tc>
      </w:tr>
      <w:tr>
        <w:trPr>
          <w:trHeight w:val="207"/>
        </w:trPr>
        <w:tc>
          <w:tcPr>
            <w:tcW w:w="6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75,934</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79,201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75,760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80,484</w:t>
            </w:r>
          </w:p>
        </w:tc>
      </w:tr>
      <w:tr>
        <w:trPr>
          <w:trHeight w:val="32"/>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left="320" w:hanging="317"/>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total net income less amounts attributable to non-controlling interests.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See Note 11 - Equity for details pertaining to share repurchase activity under the Company’s share repurchase programs.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Goodwill and Other Intangible Assets</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provides balances for goodwill by reportable segment as of September 30, 2019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Power</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55"/>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5"/>
                <w:szCs w:val="15"/>
                <w:b w:val="1"/>
                <w:bCs w:val="1"/>
                <w:color w:val="auto"/>
                <w:w w:val="97"/>
              </w:rPr>
              <w:t>Electrical</w:t>
            </w:r>
          </w:p>
        </w:tc>
        <w:tc>
          <w:tcPr>
            <w:tcW w:w="124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w w:val="97"/>
              </w:rPr>
              <w:t>Generation and</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6"/>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Communications</w:t>
            </w:r>
          </w:p>
        </w:tc>
        <w:tc>
          <w:tcPr>
            <w:tcW w:w="16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Oil and Gas</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Transmission</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6"/>
              </w:rPr>
              <w:t>Industrial</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w w:val="97"/>
              </w:rPr>
              <w:t>Total Goodwill</w:t>
            </w:r>
          </w:p>
        </w:tc>
      </w:tr>
      <w:tr>
        <w:trPr>
          <w:trHeight w:val="24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gross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472.6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494.6</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149.9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143.1</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1,260.2</w:t>
            </w:r>
          </w:p>
        </w:tc>
      </w:tr>
      <w:tr>
        <w:trPr>
          <w:trHeight w:val="235"/>
        </w:trPr>
        <w:tc>
          <w:tcPr>
            <w:tcW w:w="5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impairment loss</w:t>
            </w:r>
          </w:p>
        </w:tc>
        <w:tc>
          <w:tcPr>
            <w:tcW w:w="1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(119.3)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(119.3)</w:t>
            </w:r>
          </w:p>
        </w:tc>
      </w:tr>
      <w:tr>
        <w:trPr>
          <w:trHeight w:val="23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472.6</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375.3</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149.9</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143.1</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1,140.9</w:t>
            </w:r>
          </w:p>
        </w:tc>
      </w:tr>
    </w:tbl>
    <w:p>
      <w:pPr>
        <w:spacing w:after="0" w:line="200" w:lineRule="exact"/>
        <w:rPr>
          <w:sz w:val="20"/>
          <w:szCs w:val="20"/>
          <w:color w:val="auto"/>
        </w:rPr>
      </w:pPr>
    </w:p>
    <w:p>
      <w:pPr>
        <w:spacing w:after="0" w:line="2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For the nine month period ended September 30, 2019, goodwill included additions of $40.3 million from new business combinations and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420"/>
          </w:cols>
          <w:pgMar w:left="240" w:top="618" w:right="239" w:bottom="1440" w:gutter="0" w:footer="0" w:header="0"/>
        </w:sectPr>
      </w:pPr>
    </w:p>
    <w:bookmarkStart w:id="11" w:name="page12"/>
    <w:bookmarkEnd w:id="11"/>
    <w:p>
      <w:pPr>
        <w:spacing w:after="0" w:line="257" w:lineRule="auto"/>
        <w:rPr>
          <w:sz w:val="20"/>
          <w:szCs w:val="20"/>
          <w:color w:val="auto"/>
        </w:rPr>
      </w:pPr>
      <w:r>
        <w:rPr>
          <w:rFonts w:ascii="Times New Roman" w:cs="Times New Roman" w:eastAsia="Times New Roman" w:hAnsi="Times New Roman"/>
          <w:sz w:val="16"/>
          <w:szCs w:val="16"/>
          <w:color w:val="auto"/>
        </w:rPr>
        <w:t>net decrease of $0.2 million from measurement period adjustments. For the nine month period ended September 30, 2019, currency translation effects related to goodwill and accumulated impairment losses totaled approximately $3.7 million of gains and $3.3 million of losses, respectively.</w:t>
      </w:r>
    </w:p>
    <w:p>
      <w:pPr>
        <w:spacing w:after="0" w:line="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other intangible assets, net, for the period indicated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5"/>
                <w:szCs w:val="15"/>
                <w:b w:val="1"/>
                <w:bCs w:val="1"/>
                <w:color w:val="auto"/>
              </w:rPr>
              <w:t>Other Intangible Assets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Non-Amortizing</w:t>
            </w:r>
          </w:p>
        </w:tc>
        <w:tc>
          <w:tcPr>
            <w:tcW w:w="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Amortizing</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5"/>
                <w:szCs w:val="15"/>
                <w:b w:val="1"/>
                <w:bCs w:val="1"/>
                <w:color w:val="auto"/>
                <w:w w:val="97"/>
              </w:rPr>
              <w:t>Customer</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5"/>
                <w:szCs w:val="15"/>
                <w:b w:val="1"/>
                <w:bCs w:val="1"/>
                <w:color w:val="auto"/>
                <w:w w:val="97"/>
              </w:rPr>
              <w:t>Relationships and</w:t>
            </w:r>
          </w:p>
        </w:tc>
        <w:tc>
          <w:tcPr>
            <w:tcW w:w="2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Other </w:t>
            </w:r>
            <w:r>
              <w:rPr>
                <w:rFonts w:ascii="Times New Roman" w:cs="Times New Roman" w:eastAsia="Times New Roman" w:hAnsi="Times New Roman"/>
                <w:sz w:val="24"/>
                <w:szCs w:val="24"/>
                <w:b w:val="1"/>
                <w:bCs w:val="1"/>
                <w:color w:val="auto"/>
                <w:vertAlign w:val="superscript"/>
              </w:rPr>
              <w:t>(a)</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Trade Names</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Pre-Qualifications</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6"/>
              </w:rPr>
              <w:t>Backlog</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67"/>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38"/>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gross, as of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ind w:right="547"/>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74.0</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224.4</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21.1</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354.0</w:t>
            </w: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(170.0)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(184.6)</w:t>
            </w:r>
          </w:p>
        </w:tc>
        <w:tc>
          <w:tcPr>
            <w:tcW w:w="0" w:type="dxa"/>
            <w:vAlign w:val="bottom"/>
          </w:tcPr>
          <w:p>
            <w:pPr>
              <w:spacing w:after="0"/>
              <w:rPr>
                <w:sz w:val="1"/>
                <w:szCs w:val="1"/>
                <w:color w:val="auto"/>
              </w:rPr>
            </w:pP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47"/>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74.0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54.4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169.4</w:t>
            </w:r>
          </w:p>
        </w:tc>
        <w:tc>
          <w:tcPr>
            <w:tcW w:w="0" w:type="dxa"/>
            <w:vAlign w:val="bottom"/>
          </w:tcPr>
          <w:p>
            <w:pPr>
              <w:spacing w:after="0"/>
              <w:rPr>
                <w:sz w:val="1"/>
                <w:szCs w:val="1"/>
                <w:color w:val="auto"/>
              </w:rPr>
            </w:pPr>
          </w:p>
        </w:tc>
      </w:tr>
      <w:tr>
        <w:trPr>
          <w:trHeight w:val="235"/>
        </w:trPr>
        <w:tc>
          <w:tcPr>
            <w:tcW w:w="5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28.6</w:t>
            </w:r>
          </w:p>
        </w:tc>
        <w:tc>
          <w:tcPr>
            <w:tcW w:w="0" w:type="dxa"/>
            <w:vAlign w:val="bottom"/>
          </w:tcPr>
          <w:p>
            <w:pPr>
              <w:spacing w:after="0"/>
              <w:rPr>
                <w:sz w:val="1"/>
                <w:szCs w:val="1"/>
                <w:color w:val="auto"/>
              </w:rPr>
            </w:pP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0"/>
                <w:szCs w:val="20"/>
                <w:color w:val="auto"/>
                <w:vertAlign w:val="superscript"/>
              </w:rPr>
              <w:t>(b)</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expense</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0" w:type="dxa"/>
            <w:vAlign w:val="bottom"/>
          </w:tcPr>
          <w:p>
            <w:pPr>
              <w:spacing w:after="0"/>
              <w:rPr>
                <w:sz w:val="1"/>
                <w:szCs w:val="1"/>
                <w:color w:val="auto"/>
              </w:rPr>
            </w:pP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35"/>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September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547"/>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75.3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68.3</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184.9</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20" w:hanging="317"/>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trade names and non-compete agreements.</w:t>
      </w:r>
    </w:p>
    <w:p>
      <w:pPr>
        <w:spacing w:after="0" w:line="8"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to preliminary estimates of fair value within the measurement period of up to one year from the date of acquisition.</w:t>
      </w:r>
    </w:p>
    <w:p>
      <w:pPr>
        <w:spacing w:after="0" w:line="92"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Amortization expense associated with intangible assets for the three month periods ended September 30, 2019 and 2018 totaled $4.7 million and $5.2 million, respectively, and for the nine month periods ended September 30, 2019 and 2018, totaled $14.2 million and $15.4 million, respectively.</w:t>
      </w:r>
    </w:p>
    <w:p>
      <w:pPr>
        <w:spacing w:after="0" w:line="67"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2019 Acquisitions. </w:t>
      </w:r>
      <w:r>
        <w:rPr>
          <w:rFonts w:ascii="Times New Roman" w:cs="Times New Roman" w:eastAsia="Times New Roman" w:hAnsi="Times New Roman"/>
          <w:sz w:val="16"/>
          <w:szCs w:val="16"/>
          <w:color w:val="auto"/>
        </w:rPr>
        <w:t>For the nine month period ended September 30, 2019, MasTec completed three acquisitions, one of which is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26282A"/>
        </w:rPr>
        <w:t>Company’s Oil and Gas segment,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two o</w:t>
      </w:r>
      <w:r>
        <w:rPr>
          <w:rFonts w:ascii="Times New Roman" w:cs="Times New Roman" w:eastAsia="Times New Roman" w:hAnsi="Times New Roman"/>
          <w:sz w:val="16"/>
          <w:szCs w:val="16"/>
          <w:color w:val="26282A"/>
        </w:rPr>
        <w:t>f which are</w:t>
      </w:r>
      <w:r>
        <w:rPr>
          <w:rFonts w:ascii="Times New Roman" w:cs="Times New Roman" w:eastAsia="Times New Roman" w:hAnsi="Times New Roman"/>
          <w:sz w:val="16"/>
          <w:szCs w:val="16"/>
          <w:color w:val="auto"/>
        </w:rPr>
        <w:t xml:space="preserve"> included within the Company’s Communications segment</w:t>
      </w:r>
      <w:r>
        <w:rPr>
          <w:rFonts w:ascii="Times New Roman" w:cs="Times New Roman" w:eastAsia="Times New Roman" w:hAnsi="Times New Roman"/>
          <w:sz w:val="16"/>
          <w:szCs w:val="16"/>
          <w:color w:val="26282A"/>
        </w:rPr>
        <w:t>.</w:t>
      </w:r>
      <w:r>
        <w:rPr>
          <w:rFonts w:ascii="Times New Roman" w:cs="Times New Roman" w:eastAsia="Times New Roman" w:hAnsi="Times New Roman"/>
          <w:sz w:val="16"/>
          <w:szCs w:val="16"/>
          <w:color w:val="auto"/>
        </w:rPr>
        <w:t xml:space="preserve"> The aggregate purchase price for these entities was composed of approximately $89 million in cash, net of cash acquired, plus earn-out liabilities valued at approximately $16 million as of September 30, 2019, for which the earn-out periods range from three to five years. As of September 30, 2019, the range of remaining potential undiscounted earn-out liabilities for the 2019 acquisitions was estimated to be up to $40 million; however, there is no maximum payment amount. Determination of the estimated fair values of the net assets acquired and the estimated earn-out liabilities for these acquisitions was preliminary as of September 30, 2019; as a result, further adjustments to these estimates may occur.</w:t>
      </w:r>
    </w:p>
    <w:p>
      <w:pPr>
        <w:spacing w:after="0" w:line="80" w:lineRule="exact"/>
        <w:rPr>
          <w:sz w:val="20"/>
          <w:szCs w:val="20"/>
          <w:color w:val="auto"/>
        </w:rPr>
      </w:pPr>
    </w:p>
    <w:p>
      <w:pPr>
        <w:jc w:val="both"/>
        <w:ind w:firstLine="62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 xml:space="preserve">2018 Acquisitions. </w:t>
      </w:r>
      <w:r>
        <w:rPr>
          <w:rFonts w:ascii="Times New Roman" w:cs="Times New Roman" w:eastAsia="Times New Roman" w:hAnsi="Times New Roman"/>
          <w:sz w:val="14"/>
          <w:szCs w:val="14"/>
          <w:color w:val="auto"/>
        </w:rPr>
        <w:t>In 2018, MasTec acquired all of the equity interests in a construction management firm specializing in steel building systems and acquired a wind turbine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services company, both of which are included in the Company’s Power Generation and Industrial segment. The aggregate purchase price for these entities was composed of approximately $5.1 million in cash, net of cash acquired, and estimated earn-out liabilities, net, totaling $1.5 million as of September 30, 2019. As of September 30, 2019, the range of remaining potential undiscounted earn-out liabilities, net, for the 2018 acquisitions was estimated to be up to $5 million; however, there is no maximum payment amount.</w:t>
      </w:r>
    </w:p>
    <w:p>
      <w:pPr>
        <w:spacing w:after="0" w:line="46"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 Forma Financial Information and Acquisition Results. </w:t>
      </w:r>
      <w:r>
        <w:rPr>
          <w:rFonts w:ascii="Times New Roman" w:cs="Times New Roman" w:eastAsia="Times New Roman" w:hAnsi="Times New Roman"/>
          <w:sz w:val="16"/>
          <w:szCs w:val="16"/>
          <w:color w:val="auto"/>
        </w:rPr>
        <w:t>For the three month periods ended September 30, 2019 and 2018, unaudited supplemental pro forma revenue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totaled approximately $2,015.3 million and $2,030.3 million, respectively, and unaudited supplemental pro forma net income totaled approximately $127.8 million and $122.9 million, respectively. For the nine month periods ended September 30, 2019 and 2018, unaudited supplemental pro forma revenue totaled approximately $5,474.0 million and $5,139.6 million, respectively, and unaudited supplemental pro forma net income totaled approximately $293.7 million and $235.7 million, respectively.</w:t>
      </w:r>
    </w:p>
    <w:p>
      <w:pPr>
        <w:spacing w:after="0" w:line="83" w:lineRule="exact"/>
        <w:rPr>
          <w:sz w:val="20"/>
          <w:szCs w:val="20"/>
          <w:color w:val="auto"/>
        </w:rPr>
      </w:pPr>
    </w:p>
    <w:p>
      <w:pPr>
        <w:jc w:val="both"/>
        <w:ind w:firstLine="620"/>
        <w:spacing w:after="0" w:line="279" w:lineRule="auto"/>
        <w:rPr>
          <w:sz w:val="20"/>
          <w:szCs w:val="20"/>
          <w:color w:val="auto"/>
        </w:rPr>
      </w:pPr>
      <w:r>
        <w:rPr>
          <w:rFonts w:ascii="Times New Roman" w:cs="Times New Roman" w:eastAsia="Times New Roman" w:hAnsi="Times New Roman"/>
          <w:sz w:val="14"/>
          <w:szCs w:val="14"/>
          <w:color w:val="auto"/>
        </w:rPr>
        <w:t>These unaudited pro forma financial results include the results of operations of acquired companies as if those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adding the unaudited historical results of acquired businesses to the historical results of MasTec, and then adjusting those combined results for (i) acquisition costs; (ii) amortization expense from acquired intangible assets; (iii) interest expense from cash consideration paid; (iv) interest expense from debt repaid upon acquisition; and (iv) other purchase accounting related adjustments. These unaudited pro forma financial results do not include adjustments to reflect other cost savings or synergies that may have resulted from these acquisitions. Future results may vary significantly due to future events and other factors, many of which are beyond the Company’s control.</w:t>
      </w:r>
    </w:p>
    <w:p>
      <w:pPr>
        <w:spacing w:after="0" w:line="60"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4"/>
          <w:szCs w:val="14"/>
          <w:color w:val="auto"/>
        </w:rPr>
        <w:t>For the three and nine month periods ended September 30, 2019, the Company’s consolidated results of operations included acquisition-related revenue of approximately $41.7 million and $116.9 million, respectively. For the three month period ended September 30, 2019, acquisition-related net income totaled approximately $1.5 million, and for the nine month period ended September 30, 2019, acquisition-related net loss totaled approximately $5.9 million, respectively, based on the Company’s consolidated effective tax rates. For the three and nine month periods ended September 30, 2018, the Company’s consolidated results of operations included acquisition-related revenue of approximately $18.4 million and $141.0 million, respectively. For the three month period ended September 30, 2018, acquisition-related net loss totaled approximately $0.9 million, and for the nine month period ended September 30, 2018, acquisition-related net income totaled $1.9 million, based on the Company’s consolidated effective tax rates.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Fair Value of Financial Instruments</w:t>
      </w:r>
    </w:p>
    <w:p>
      <w:pPr>
        <w:spacing w:after="0" w:line="208"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The Company’s financial instruments include cash and cash equivalents, accounts and notes receivable, cash collateral deposited with insurance carriers, life insurance assets, equity investments, deferred compensation plan assets and liabilities, accounts payable and other current liabilities,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420"/>
          </w:cols>
          <w:pgMar w:left="240" w:top="67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acquisition-related contingent consideration and debt obligations.</w:t>
      </w:r>
    </w:p>
    <w:p>
      <w:pPr>
        <w:spacing w:after="0" w:line="100" w:lineRule="exact"/>
        <w:rPr>
          <w:sz w:val="20"/>
          <w:szCs w:val="20"/>
          <w:color w:val="auto"/>
        </w:rPr>
      </w:pPr>
    </w:p>
    <w:p>
      <w:pPr>
        <w:jc w:val="both"/>
        <w:ind w:firstLine="620"/>
        <w:spacing w:after="0" w:line="277" w:lineRule="auto"/>
        <w:rPr>
          <w:sz w:val="20"/>
          <w:szCs w:val="20"/>
          <w:color w:val="auto"/>
        </w:rPr>
      </w:pPr>
      <w:r>
        <w:rPr>
          <w:rFonts w:ascii="Times New Roman" w:cs="Times New Roman" w:eastAsia="Times New Roman" w:hAnsi="Times New Roman"/>
          <w:sz w:val="14"/>
          <w:szCs w:val="14"/>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w:t>
      </w:r>
    </w:p>
    <w:p>
      <w:pPr>
        <w:spacing w:after="0" w:line="1" w:lineRule="exact"/>
        <w:rPr>
          <w:sz w:val="20"/>
          <w:szCs w:val="20"/>
          <w:color w:val="auto"/>
        </w:rPr>
      </w:pPr>
    </w:p>
    <w:p>
      <w:pPr>
        <w:ind w:firstLine="3"/>
        <w:spacing w:after="0" w:line="238" w:lineRule="auto"/>
        <w:tabs>
          <w:tab w:leader="none" w:pos="24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Contingent Consideration</w:t>
      </w:r>
    </w:p>
    <w:p>
      <w:pPr>
        <w:spacing w:after="0" w:line="104"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Acquisition-related contingent consideration, or “earn-outs,” represent the estimated fair value of future amounts payable for acquisitions of businesses and other interests. Acquisition-related contingent consideration amounts are based on Level 3 inputs, including management’s estimates and entity-specific assumptions, and are evaluated on an ongoing basis. As of September 30, 2019 and December 31, 2018, the estimated fair value of the Company’s earn-out liabilities totaled $151.9 million and $118.1 million, respectively, of which $57.5 million and $29.6 million, respectively, was included within other current liabilities. The fair value of the Company’s earn-out liabilities is estimated using income approaches such as discounted cash flows or option pricing models, which incorporate significant inputs not observable in the market. Key assumptions include the discount rate and probability-weighted projections of earnings before interest, taxes, depreciation and amortization (“EBITDA”). Significant changes in any of these assumptions could result in significantly higher or lower potential earn-out liabilities. As of September 30, 2019, the range of potential undiscounted earn-out liabilities was estimated to be between $48 million and $225 million; however, there is no maximum payment amount.</w:t>
      </w:r>
    </w:p>
    <w:p>
      <w:pPr>
        <w:spacing w:after="0" w:line="85"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4"/>
          <w:szCs w:val="14"/>
          <w:color w:val="auto"/>
        </w:rPr>
        <w:t>Acquisition-related contingent consideration activity consists primarily of additions from new business combinations; changes in the expected fair value of future earn-out obligations; and payments. Measurement period adjustments for earn-out liabilities, which are fair value adjustments relating to new information obtained about the facts and circumstances existing as of the date of acquisition for a period of up to one year, are recorded to goodwill. Other revisions to the expected fair values of future earn-out liabilities are reflected as income or expense, as appropriate. Payments of acquisition-related contingent consideration, to the extent they relate to estimated liabilities as of the date of acquisition, are reflected within financing activities in the consolidated statements of cash flows. Payments in excess of acquisition date liabilities are classified within operating activities.</w:t>
      </w:r>
    </w:p>
    <w:p>
      <w:pPr>
        <w:spacing w:after="0" w:line="55" w:lineRule="exact"/>
        <w:rPr>
          <w:sz w:val="20"/>
          <w:szCs w:val="20"/>
          <w:color w:val="auto"/>
        </w:rPr>
      </w:pPr>
    </w:p>
    <w:p>
      <w:pPr>
        <w:jc w:val="both"/>
        <w:ind w:firstLine="620"/>
        <w:spacing w:after="0" w:line="238" w:lineRule="auto"/>
        <w:rPr>
          <w:sz w:val="20"/>
          <w:szCs w:val="20"/>
          <w:color w:val="auto"/>
        </w:rPr>
      </w:pPr>
      <w:r>
        <w:rPr>
          <w:rFonts w:ascii="Times New Roman" w:cs="Times New Roman" w:eastAsia="Times New Roman" w:hAnsi="Times New Roman"/>
          <w:sz w:val="16"/>
          <w:szCs w:val="16"/>
          <w:color w:val="auto"/>
        </w:rPr>
        <w:t>There were no additions from new business combinations for the three month periods ended September 30, 2019 or 2018, and for the nine month periods ended September 30, 2019 and 2018, additions totaled $16.2 million and $1.5 million, respectively. Fair value adjustments related to acquisition-related contingent consideration totaled net increases of approximately $11.2 million and $47.6 million, respectively, for the three and nine month periods ended September 30, 2019, and related primarily to businesses in the Company’s Oil and Gas and Communications segments. Fair value adjustments, including those related to finalization of completed earn-out arrangements, totaled net increases of approximately $5.9 million and $10.3 million for the three and nine month periods ended September 30, 2018, respectively, and related primarily to businesses in the Company’s Oil and Gas and Communications segments. For the three and nine month periods ended September 30, 2018, measurement period adjustments totaled increases of approximately $2.2 million and $4.2 million, net, respectively, and related primarily to businesses in the Company’s Oil and Gas and Power Generation and Industrial segments. There were no payments of acquisition-related contingent consideration in either of the three month periods ended September 30, 2019 or 2018. Payments of acquisition-related contingent consideration totaled $30.0 million and $23.1 million for the nine month periods ended September 30, 2019 and 2018, respectively.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04"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The Company’s equity investments as of September 30, 2019 include: (i) the Company’s 33% equity interests in Trans-Pecos Pipeline, LLC (“TPP”) and Comanche Trail Pipeline, LLC (“CTP,” and together with TPP, the “Waha JVs”), which are accounted for as equity method investments; (ii) a $15 million investment in Cross Country Infrastructure Services, Inc. (“CCI”); (iii) the Company’s interests in certain proportionately consolidated non-controlled contractual joint ventures; (iv) the Company’s equity interests in Pensare Acquisition Corp. (“Pensare”); and (v) certain other equity investments. See Note 15 - Related Party Transactions for additional information related to certain of the Company’s equity investments.</w:t>
      </w:r>
    </w:p>
    <w:p>
      <w:pPr>
        <w:spacing w:after="0" w:line="80" w:lineRule="exact"/>
        <w:rPr>
          <w:sz w:val="20"/>
          <w:szCs w:val="20"/>
          <w:color w:val="auto"/>
        </w:rPr>
      </w:pPr>
    </w:p>
    <w:p>
      <w:pPr>
        <w:jc w:val="both"/>
        <w:ind w:firstLine="620"/>
        <w:spacing w:after="0" w:line="291" w:lineRule="auto"/>
        <w:rPr>
          <w:sz w:val="20"/>
          <w:szCs w:val="20"/>
          <w:color w:val="auto"/>
        </w:rPr>
      </w:pPr>
      <w:r>
        <w:rPr>
          <w:rFonts w:ascii="Times New Roman" w:cs="Times New Roman" w:eastAsia="Times New Roman" w:hAnsi="Times New Roman"/>
          <w:sz w:val="14"/>
          <w:szCs w:val="14"/>
          <w:i w:val="1"/>
          <w:iCs w:val="1"/>
          <w:color w:val="auto"/>
        </w:rPr>
        <w:t>Investment Arrangements</w:t>
      </w:r>
      <w:r>
        <w:rPr>
          <w:rFonts w:ascii="Times New Roman" w:cs="Times New Roman" w:eastAsia="Times New Roman" w:hAnsi="Times New Roman"/>
          <w:sz w:val="14"/>
          <w:szCs w:val="14"/>
          <w:color w:val="auto"/>
        </w:rPr>
        <w:t>. From time to time, the Company may participate in selected investment or strategic arrangements, including equity interests in various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entities and participation in contractual joint ventures, some of which may involve the extension of loans or other types of financing arrangements. As of September 30, 2019, the Company determined that certain of its investment arrangements were variable interest entities (“VIEs”). The Company does not, however, have the power to direct the primary activities that most significantly impact the economic performance of these VIEs and the Company is not the primary beneficiary; accordingly, it has not consolidated these VIEs.</w:t>
      </w:r>
    </w:p>
    <w:p>
      <w:pPr>
        <w:spacing w:after="0" w:line="50"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4"/>
          <w:szCs w:val="14"/>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less impairment (“adjusted cost basis”). As of September 30, 2019 and December 31, 2018, the aggregate carrying value of the Company’s equity investments totaled approximately $184 million and $197 million, respectively, including approximately $18 million of equity investments measured on an adjusted cost basis as of both September 30, 2019 and December 31, 2018. There were no impairments of, or material changes in the fair value of these investments during either of the nine month periods ended September 30, 2019 or 2018.</w:t>
      </w:r>
    </w:p>
    <w:p>
      <w:pPr>
        <w:spacing w:after="0" w:line="51" w:lineRule="exact"/>
        <w:rPr>
          <w:sz w:val="20"/>
          <w:szCs w:val="20"/>
          <w:color w:val="auto"/>
        </w:rPr>
      </w:pPr>
    </w:p>
    <w:p>
      <w:pPr>
        <w:jc w:val="both"/>
        <w:ind w:firstLine="698"/>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The Waha JVs. </w:t>
      </w:r>
      <w:r>
        <w:rPr>
          <w:rFonts w:ascii="Times New Roman" w:cs="Times New Roman" w:eastAsia="Times New Roman" w:hAnsi="Times New Roman"/>
          <w:sz w:val="16"/>
          <w:szCs w:val="16"/>
          <w:color w:val="auto"/>
        </w:rPr>
        <w:t>The Waha JVs own and operate two pipelines and a header system that transport natural gas to the Mexican border for export. For both the three month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periods ended September 30, 2019 and 2018, the Company made no equity contributions to the Waha JVs, and for the nine month periods ended September 30, 2019 and 2018, the Company made equity contributions totaling $1.3 million and $24.5 million, respectively.</w:t>
      </w:r>
    </w:p>
    <w:p>
      <w:pPr>
        <w:spacing w:after="0" w:line="77"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color w:val="auto"/>
        </w:rPr>
        <w:t>Equity in earnings related to the Company’s proportionate share of income from the Waha JVs, which is included within the Company’s Other segment, totaled approximately $6.9 million and $7.7 million for the three month periods ended September 30, 2019 and 2018, respectively, and totaled $19.8 million and $19.1 million for the nine month periods ended September 30, 2019 and 2018, respectively. Cumulative undistributed earnings from the Waha JVs, which represents cumulative equity in earnings for the Waha JVs less distributions of earnings, totaled $42.2 million as of September 30,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420"/>
          </w:cols>
          <w:pgMar w:left="240" w:top="618" w:right="239" w:bottom="1440" w:gutter="0" w:footer="0" w:header="0"/>
        </w:sectPr>
      </w:pPr>
    </w:p>
    <w:bookmarkStart w:id="13" w:name="page14"/>
    <w:bookmarkEnd w:id="13"/>
    <w:p>
      <w:pPr>
        <w:jc w:val="both"/>
        <w:spacing w:after="0" w:line="242" w:lineRule="auto"/>
        <w:rPr>
          <w:sz w:val="20"/>
          <w:szCs w:val="20"/>
          <w:color w:val="auto"/>
        </w:rPr>
      </w:pPr>
      <w:r>
        <w:rPr>
          <w:rFonts w:ascii="Times New Roman" w:cs="Times New Roman" w:eastAsia="Times New Roman" w:hAnsi="Times New Roman"/>
          <w:sz w:val="16"/>
          <w:szCs w:val="16"/>
          <w:color w:val="auto"/>
        </w:rPr>
        <w:t>2019. Distributions of earnings from the Waha JVs, which are included within operating cash flows, totaled $1.5 million and $3.2 million for the three month periods ended September 30, 2019 and 2018, respectively, and totaled $7.5 million and $10.9 million for the nine month periods ended September 30, 2019 and 2018, respectively. The Company’s net investment in the Waha JVs, which differs from its proportionate share of the net assets of the Waha JVs due primarily to capitalized investment costs, totaled approximately $162 million and $168 million as of September 30, 2019 and December 31, 2018, respectively.</w:t>
      </w:r>
    </w:p>
    <w:p>
      <w:pPr>
        <w:spacing w:after="0" w:line="85"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and nine month periods ended September 30, 2019, the Company’s proportionate share of unrecognized unrealized activity on these interest rate swaps totaled losses of approximately $9.4 million and $28.2 million, respectively, or $7.1 million and $21.3 million, net of tax, respectively. For the three and nine month periods ended September 30, 2018, the Company’s proportionate share of unrecognized unrealized activity on these interest rate swaps totaled gains of approximately $4.1 million and $18.1 million, respectively, or $3.1 million and $13.8 million, net of tax, respectively.</w:t>
      </w:r>
    </w:p>
    <w:p>
      <w:pPr>
        <w:spacing w:after="0" w:line="83" w:lineRule="exact"/>
        <w:rPr>
          <w:sz w:val="20"/>
          <w:szCs w:val="20"/>
          <w:color w:val="auto"/>
        </w:rPr>
      </w:pPr>
    </w:p>
    <w:p>
      <w:pPr>
        <w:jc w:val="both"/>
        <w:ind w:firstLine="698"/>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Other Investments. </w:t>
      </w:r>
      <w:r>
        <w:rPr>
          <w:rFonts w:ascii="Times New Roman" w:cs="Times New Roman" w:eastAsia="Times New Roman" w:hAnsi="Times New Roman"/>
          <w:sz w:val="14"/>
          <w:szCs w:val="14"/>
          <w:color w:val="auto"/>
        </w:rPr>
        <w:t>During the third quarter of 2017, the Company paid $2.0 million for approximately 4% of the common stock of Pensare and warrants to purchase 2.0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shares of Pensare common stock, which is a special purpose acquisition company focusing on transactions in the telecommunications industry. José R. Mas, MasTec’s Chief Executive Officer, is a director of Pensare. The shares of common stock purchased by MasTec are not transferable or salable until one year after Pensare successfully completes a business combination transaction, with limited exceptions, as specified in the agreement. The warrants are exercisable at a purchase price of $11.50 per share after Pensare successfully completes a business combination transaction. Both the warrants and the shares contain an expiration and/or forfeiture clause without the successful completion of a business combination transaction, for which the completion date was extended from August 1, 2019 to December 1, 2019 in the third quarter of 2019. On July 25, 2019, Pensare entered into a business combination agreement with Stratos Management Systems, Inc. and its operating companies, which do business as Computex Technology Solutions (collectively, “Computex”), an information technology service provider, the completion of which is pending shareholder approval. Pensare also announced that it has entered into a non-binding letter of intent to acquire a separate company that provides information technology services. During the nine month period ended September 30, 2019, certain holders of Pensare’s redeemable common stock elected to redeem their shares, the effect of which was to increase the Company’s ownership interest in Pensare to approximately 21%. The Company does not have the ability to exert significant influence over the operating and financial policies of Pensare, therefore, the shares are measured on an adjusted cost basis.</w:t>
      </w:r>
    </w:p>
    <w:p>
      <w:pPr>
        <w:spacing w:after="0" w:line="246" w:lineRule="exact"/>
        <w:rPr>
          <w:sz w:val="20"/>
          <w:szCs w:val="20"/>
          <w:color w:val="auto"/>
        </w:rPr>
      </w:pPr>
    </w:p>
    <w:p>
      <w:pPr>
        <w:jc w:val="both"/>
        <w:ind w:firstLine="698"/>
        <w:spacing w:after="0" w:line="242" w:lineRule="auto"/>
        <w:rPr>
          <w:sz w:val="20"/>
          <w:szCs w:val="20"/>
          <w:color w:val="auto"/>
        </w:rPr>
      </w:pPr>
      <w:r>
        <w:rPr>
          <w:rFonts w:ascii="Times New Roman" w:cs="Times New Roman" w:eastAsia="Times New Roman" w:hAnsi="Times New Roman"/>
          <w:sz w:val="16"/>
          <w:szCs w:val="16"/>
          <w:color w:val="auto"/>
        </w:rPr>
        <w:t>The warrants, which are derivative financial instruments, and the shares, are both included within other long-term assets in the Company’s consolidated financial statements as of September 30, 2019. Due to the nature of the restrictions, the fair value of the shares is not readily determinable. The fair value of the warrants is determined based on observable and unobservable Level 3 inputs, including market volatility and the rights and obligations of the warrants. For both the three and nine month periods ended September 30, 2019 and 2018, there were no material changes in the fair value of the Company’s investment in Pensare.</w:t>
      </w:r>
    </w:p>
    <w:p>
      <w:pPr>
        <w:spacing w:after="0" w:line="85"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During the second quarter of 2018, the Company invested $10.0 million for an equity interest of approximately 40% in LifeShield, LLC (“LifeShield”), a home security company, which was measured under the fair value option. As of December 31, 2018, the fair value of this investment was determined to approximate its purchase price. In February 2019, the Company sold its equity interest in LifeShield for approximately $11 million, subject to customary escrow arrangements.</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0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As of both September 30, 2019 and December 31, 2018, the gross carrying amount of the Company’s 4.875% senior notes due March 15, 2023 (the “4.875% Senior Notes”), which are measured at fair value on a non-recurring basis, totaled $400 million. As of September 30, 2019 and December 31, 2018, the estimated fair value of the 4.875% Senior Notes, based on Level 1 inputs, totaled $407.5 million and $392.0 million,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Net of Allowance, and Contract Assets and Liabilities</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following table provides details of accounts receivable, net of allowance and contract assets (together, “accounts receivable, net”) as of the dates indicated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billings</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745.5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687.6</w:t>
            </w: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allowance for doubtful accounts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32"/>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731.2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671.3</w:t>
            </w:r>
          </w:p>
        </w:tc>
      </w:tr>
      <w:tr>
        <w:trPr>
          <w:trHeight w:val="20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Retainage</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372.3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230.2</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earnings in excess of billings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849.8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1,022.5</w:t>
            </w:r>
          </w:p>
        </w:tc>
      </w:tr>
      <w:tr>
        <w:trPr>
          <w:trHeight w:val="207"/>
        </w:trPr>
        <w:tc>
          <w:tcPr>
            <w:tcW w:w="8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Retainage and costs and earnings in excess of billings (together, “contract assets”)</w:t>
            </w: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1,222.1</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1,252.7</w:t>
            </w:r>
          </w:p>
        </w:tc>
      </w:tr>
      <w:tr>
        <w:trPr>
          <w:trHeight w:val="32"/>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1,953.3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1,924.0</w:t>
            </w:r>
          </w:p>
        </w:tc>
      </w:tr>
      <w:tr>
        <w:trPr>
          <w:trHeight w:val="20"/>
        </w:trPr>
        <w:tc>
          <w:tcPr>
            <w:tcW w:w="8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98"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Contract billings represent the amount of performance obligations that have been billed but not yet collected. Contract assets consist of costs and earnings in excess of billings (“CIEB”) and retainage. CIEB, which is also referred to as work in process, represents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Retainage is not considered to be a significant financing component because the intent is to protect the customer. CIEB and retainage amounts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420"/>
          </w:cols>
          <w:pgMar w:left="240" w:top="618" w:right="239" w:bottom="1440" w:gutter="0" w:footer="0" w:header="0"/>
        </w:sectPr>
      </w:pPr>
    </w:p>
    <w:bookmarkStart w:id="14" w:name="page15"/>
    <w:bookmarkEnd w:id="14"/>
    <w:p>
      <w:pPr>
        <w:jc w:val="both"/>
        <w:spacing w:after="0" w:line="241" w:lineRule="auto"/>
        <w:rPr>
          <w:sz w:val="20"/>
          <w:szCs w:val="20"/>
          <w:color w:val="auto"/>
        </w:rPr>
      </w:pPr>
      <w:r>
        <w:rPr>
          <w:rFonts w:ascii="Times New Roman" w:cs="Times New Roman" w:eastAsia="Times New Roman" w:hAnsi="Times New Roman"/>
          <w:sz w:val="16"/>
          <w:szCs w:val="16"/>
          <w:color w:val="auto"/>
        </w:rPr>
        <w:t>are generally classified as current assets within the Company’s consolidated balance sheets. The decrease in the CIEB balance for the nine month period ended September 30, 2019 was driven largely by timing of billings and collections for long-haul project activity in the Company’s Oil and Gas segment. Retainage that has been billed, but is not due until completion of performance and acceptance by customers, is generally expected to be collected within one year. Accounts receivable balances expected to be collected beyond one year are recorded within other long-term assets. Provisions for doubtful accounts for the nine month periods ended September 30, 2019 and 2018 totaled $1.3 million and $3.5 million, respectively, and impairment losses on contract assets were not material.</w:t>
      </w:r>
    </w:p>
    <w:p>
      <w:pPr>
        <w:spacing w:after="0" w:line="84" w:lineRule="exact"/>
        <w:rPr>
          <w:sz w:val="20"/>
          <w:szCs w:val="20"/>
          <w:color w:val="auto"/>
        </w:rPr>
      </w:pPr>
    </w:p>
    <w:p>
      <w:pPr>
        <w:jc w:val="both"/>
        <w:ind w:firstLine="620"/>
        <w:spacing w:after="0" w:line="276" w:lineRule="auto"/>
        <w:rPr>
          <w:sz w:val="20"/>
          <w:szCs w:val="20"/>
          <w:color w:val="auto"/>
        </w:rPr>
      </w:pPr>
      <w:r>
        <w:rPr>
          <w:rFonts w:ascii="Times New Roman" w:cs="Times New Roman" w:eastAsia="Times New Roman" w:hAnsi="Times New Roman"/>
          <w:sz w:val="14"/>
          <w:szCs w:val="14"/>
          <w:color w:val="auto"/>
        </w:rPr>
        <w:t>Under certain contracts, the Company may be entitled to invoice the customer and receive payments in advance of performing the related contract work. In those instances, the Company recognizes a liability for advance billings in excess of revenue recognized, which is referred to as billings in excess of costs and earnings (“BIEC”). BIEC is not considered to be a significant financing component because it is generally used to meet working capital demands that can be higher in the early stages of a contract. Contract liabilities consist primarily of such BIEC, which is generally classified within current liabilities on the Company’s consolidated balance sheets. BIEC totaled approximately $156.9 million and $227.1 million as of September 30, 2019 and December 31, 2018, respectively. For the three and nine month periods ended September 30, 2019, the Company recognized revenue of approximately $24.1 million and $189.0 million, respectively, related to amounts that were included in BIEC as of December 31, 2018, resulting primarily from the advancement of physical progress on the respective projects during the period, and for the three and nine month periods ended September 30, 2018, the Company recognized revenue of approximately $25.4 million and $125.6 million, respectively, related to amounts that were included in BIEC as of December 31, 2017. Contract liabilities also include the amount of any accrued project losses, which are classified within other current liabilities on the Company’s consolidated balance sheets. Total contract liabilities, including accrued project losses, totaled approximately $183.5 million and $231.6 million as of September 30, 2019 and December 31, 2018, respectively.</w:t>
      </w:r>
    </w:p>
    <w:p>
      <w:pPr>
        <w:spacing w:after="0" w:line="246"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The Company is party to non-recourse financing arrangements in the ordinary course of business, under which certain receivables are settled with the customer’s bank in return for a nominal fee. These arrangements, under which amounts can vary based on levels of activity, interest rates and changes in customer payment terms, improve the collection cycle time of the related receivables. Cash collected from these arrangements is reflected within cash provided by operating activities in the consolidated statements of cash flows. The discount charge, which is included within interest expense, net, totaled approximately $2.4 million and $3.2 million for the three month periods ended September 30, 2019 and 2018, respectively, and totaled $8.1 million and $8.2 million for the nine month periods ended September 30, 2019 and 2018,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Property and Equipment, Net</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provides details of property and equipment, net, including property and equipment held under finance leases as of the dates indicated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4.6</w:t>
            </w: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0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30.3</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1,584.7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1,391.8</w:t>
            </w: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200" w:type="dxa"/>
            <w:vAlign w:val="bottom"/>
          </w:tcPr>
          <w:p>
            <w:pPr>
              <w:spacing w:after="0"/>
              <w:rPr>
                <w:sz w:val="19"/>
                <w:szCs w:val="19"/>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166.7</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20.1</w:t>
            </w:r>
          </w:p>
        </w:tc>
      </w:tr>
      <w:tr>
        <w:trPr>
          <w:trHeight w:val="20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1,836.8</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1,613.5</w:t>
            </w:r>
          </w:p>
        </w:tc>
      </w:tr>
      <w:tr>
        <w:trPr>
          <w:trHeight w:val="32"/>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(865.7)</w:t>
            </w:r>
          </w:p>
        </w:tc>
      </w:tr>
      <w:tr>
        <w:trPr>
          <w:trHeight w:val="20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862.9</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747.8</w:t>
            </w:r>
          </w:p>
        </w:tc>
      </w:tr>
      <w:tr>
        <w:trPr>
          <w:trHeight w:val="32"/>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color w:val="auto"/>
        </w:rPr>
        <w:t>The gross amount of capitalized internal-use software, which is included within office furniture and equipment, totaled $126.9 million and $122.0 million as of September 30, 2019 and December 31, 2018, respectively. Capitalized internal-use software, net of accumulated amortization, totaled $25.1 million and $26.5 million as of September 30, 2019 and December 31, 2018, respectively. Depreciation and amortization expense associated with property and equipment for the three month periods ended September 30, 2019 and 2018 totaled $50.5 million and $49.7 million, respectively, and totaled $160.0 million and $141.0 million for the nine month periods ended September 30, 2019 and 2018, respectively. Accrued capital expenditures, the effects of which are excluded from capital expenditures in the Company’s consolidated statements of cash flows given their non-cash nature, totaled $8.0 million and $4.0 million as of September 30, 2019 and December 31, 2018, respectively.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420"/>
          </w:cols>
          <w:pgMar w:left="240" w:top="61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7 – Debt</w:t>
            </w: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88"/>
        </w:trPr>
        <w:tc>
          <w:tcPr>
            <w:tcW w:w="8940" w:type="dxa"/>
            <w:vAlign w:val="bottom"/>
            <w:gridSpan w:val="5"/>
          </w:tcPr>
          <w:p>
            <w:pPr>
              <w:ind w:left="620"/>
              <w:spacing w:after="0"/>
              <w:rPr>
                <w:sz w:val="20"/>
                <w:szCs w:val="20"/>
                <w:color w:val="auto"/>
              </w:rPr>
            </w:pPr>
            <w:r>
              <w:rPr>
                <w:rFonts w:ascii="Times New Roman" w:cs="Times New Roman" w:eastAsia="Times New Roman" w:hAnsi="Times New Roman"/>
                <w:sz w:val="16"/>
                <w:szCs w:val="16"/>
                <w:color w:val="auto"/>
              </w:rPr>
              <w:t>The following table provides details of the carrying values of debt as of the dates indicated (in millions):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7"/>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24"/>
                <w:szCs w:val="24"/>
                <w:color w:val="auto"/>
              </w:rPr>
            </w:pP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14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19, 2024</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7"/>
        </w:trPr>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Revolving loans</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456.9</w:t>
            </w:r>
          </w:p>
        </w:tc>
      </w:tr>
      <w:tr>
        <w:trPr>
          <w:trHeight w:val="32"/>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Term loan</w:t>
            </w:r>
          </w:p>
        </w:tc>
        <w:tc>
          <w:tcPr>
            <w:tcW w:w="3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376.9</w:t>
            </w:r>
          </w:p>
        </w:tc>
      </w:tr>
      <w:tr>
        <w:trPr>
          <w:trHeight w:val="227"/>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4.875% Senior Notes</w:t>
            </w:r>
          </w:p>
        </w:tc>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March 15, 2023</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400.0</w:t>
            </w:r>
          </w:p>
        </w:tc>
      </w:tr>
      <w:tr>
        <w:trPr>
          <w:trHeight w:val="32"/>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3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183.2</w:t>
            </w:r>
          </w:p>
        </w:tc>
      </w:tr>
      <w:tr>
        <w:trPr>
          <w:trHeight w:val="207"/>
        </w:trPr>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Total long-term debt obligations</w:t>
            </w:r>
          </w:p>
        </w:tc>
        <w:tc>
          <w:tcPr>
            <w:tcW w:w="3560" w:type="dxa"/>
            <w:vAlign w:val="bottom"/>
            <w:gridSpan w:val="2"/>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1,333.7</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1,417.0</w:t>
            </w:r>
          </w:p>
        </w:tc>
      </w:tr>
      <w:tr>
        <w:trPr>
          <w:trHeight w:val="32"/>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8"/>
        </w:trPr>
        <w:tc>
          <w:tcPr>
            <w:tcW w:w="52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Less unamortized deferred financing costs</w:t>
            </w:r>
          </w:p>
        </w:tc>
        <w:tc>
          <w:tcPr>
            <w:tcW w:w="3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7"/>
        </w:trPr>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Total debt, net of deferred financing costs</w:t>
            </w:r>
          </w:p>
        </w:tc>
        <w:tc>
          <w:tcPr>
            <w:tcW w:w="3560" w:type="dxa"/>
            <w:vAlign w:val="bottom"/>
            <w:gridSpan w:val="2"/>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1,320.6</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1,406.9</w:t>
            </w:r>
          </w:p>
        </w:tc>
      </w:tr>
      <w:tr>
        <w:trPr>
          <w:trHeight w:val="32"/>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8"/>
        </w:trPr>
        <w:tc>
          <w:tcPr>
            <w:tcW w:w="52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82.7</w:t>
            </w:r>
          </w:p>
        </w:tc>
      </w:tr>
      <w:tr>
        <w:trPr>
          <w:trHeight w:val="207"/>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Long-term debt</w:t>
            </w:r>
          </w:p>
        </w:tc>
        <w:tc>
          <w:tcPr>
            <w:tcW w:w="3560" w:type="dxa"/>
            <w:vAlign w:val="bottom"/>
            <w:gridSpan w:val="2"/>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1,221.1</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1,324.2</w:t>
            </w:r>
          </w:p>
        </w:tc>
      </w:tr>
      <w:tr>
        <w:trPr>
          <w:trHeight w:val="32"/>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Senior Secured Credit Facility</w:t>
      </w:r>
    </w:p>
    <w:p>
      <w:pPr>
        <w:spacing w:after="0" w:line="10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The Company has a senior secured credit facility (the “Credit Facility”), which was amended and restated on September 19, 2019 (the “amended Credit Facility”). The amended Credit Facility, which has a maturity date of September 19, 2024, increased the Company’s aggregate borrowing commitments from approximately $1.5 billion to $1.75 billion as of September 30, 2019, which amount is composed of $1.35 billion of revolving commitments and a term loan in the aggregate principal amount of $400 million. As of September 30, 2019, term loans in the aggregate principal amount of $400 million were drawn under the amended Credit Facility. The term loan is subject to amortization in quarterly principal installments of $2.5 million commencing in December 2020, which amount will increase to $5.0 million commencing in December 2021. Quarterly principal installments on the term loan are subject to adjustment, if applicable, for certain prepayments.</w:t>
      </w:r>
    </w:p>
    <w:p>
      <w:pPr>
        <w:spacing w:after="0" w:line="83" w:lineRule="exact"/>
        <w:rPr>
          <w:sz w:val="20"/>
          <w:szCs w:val="20"/>
          <w:color w:val="auto"/>
        </w:rPr>
      </w:pPr>
    </w:p>
    <w:p>
      <w:pPr>
        <w:jc w:val="both"/>
        <w:ind w:firstLine="620"/>
        <w:spacing w:after="0" w:line="277" w:lineRule="auto"/>
        <w:rPr>
          <w:sz w:val="20"/>
          <w:szCs w:val="20"/>
          <w:color w:val="auto"/>
        </w:rPr>
      </w:pPr>
      <w:r>
        <w:rPr>
          <w:rFonts w:ascii="Times New Roman" w:cs="Times New Roman" w:eastAsia="Times New Roman" w:hAnsi="Times New Roman"/>
          <w:sz w:val="14"/>
          <w:szCs w:val="14"/>
          <w:color w:val="auto"/>
        </w:rPr>
        <w:t>The amended Credit Facility allows the Company to borrow either in Canadian dollars and/or Mexican pesos, up to an aggregate equivalent amount of $300 million. The maximum amount available for letters of credit under the amended Credit Facility is $650 million, of which up to $200 million can be denominated in either Canadian dollars and/or Mexican pesos. The amended Credit Facility also provides for swing line loans of up to $125 million, and, subject to certain conditions, the Company has the option to increase revolving commitments and/or establish additional term loan tranches equal to the Incremental Facilities Limit (as defined in the amended Credit Facility). Subject to the terms and conditions described in the amended Credit Facility, these additional term loan tranches may rank equal or junior in respect of right of payment and/or collateral to the amended Credit Facility, and may, subject to certain limitations in the amended Credit Facility, have terms that differ from the amended Credit Facility. Borrowings under the amended Credit Facility are used for working capital requirements, capital expenditures and other corporate purposes, including equity investments, potential acquisitions or other strategic arrangements, the repurchase or prepayment of indebtedness, share repurchases and repayment of the term loan under the Company’s previous Credit Facility.</w:t>
      </w:r>
    </w:p>
    <w:p>
      <w:pPr>
        <w:spacing w:after="0" w:line="64" w:lineRule="exact"/>
        <w:rPr>
          <w:sz w:val="20"/>
          <w:szCs w:val="20"/>
          <w:color w:val="auto"/>
        </w:rPr>
      </w:pPr>
    </w:p>
    <w:p>
      <w:pPr>
        <w:jc w:val="both"/>
        <w:ind w:firstLine="620"/>
        <w:spacing w:after="0" w:line="277" w:lineRule="auto"/>
        <w:rPr>
          <w:sz w:val="20"/>
          <w:szCs w:val="20"/>
          <w:color w:val="auto"/>
        </w:rPr>
      </w:pPr>
      <w:r>
        <w:rPr>
          <w:rFonts w:ascii="Times New Roman" w:cs="Times New Roman" w:eastAsia="Times New Roman" w:hAnsi="Times New Roman"/>
          <w:sz w:val="14"/>
          <w:szCs w:val="14"/>
          <w:color w:val="auto"/>
        </w:rPr>
        <w:t>Outstanding revolving loans and the term loan under the amended Credit Facility bear interest, at the Company’s option, at a rate equal to either (a) a Eurocurrency Rate, as defined in the amended Credit Facility, plus a margin of 1.25% to 1.75% (under the previous Credit Facility, the margin was from 1.25% to 2.00%), or (b) a Base Rate, as defined in the amended Credit Facility, plus a margin of 0.25% to 0.75% (under the previous Credit Facility the margin was 0.25% to 1.00%). The Base Rate equals the highest of (i) the Federal Funds Rate, as defined in the amended Credit Facility, plus 0.50%, (ii) Bank of America’s prime rate, and (iii) the Eurocurrency Rate plus 1.00%. Financial standby letters of credit and commercial letters of credit issued under the amended Credit Facility are subject to a letter of credit fee of 1.25% to 1.75% (under the previous Credit Facility, the letter of credit fee was from 1.25% to 2.00%), and performance standby letters of credit issued under the amended Credit Facility are subject to a letter of credit fee of 0.375% to 0.75% (under the previous Credit Facility, the letter of credit fee was from 0.50% to 1.00%). The Company must also pay a commitment fee to the lenders of 0.20% to 0.30% on any unused availability under the amended Credit Facility (under the previous Credit Facility, the fee was from 0.20% to 0.40%). In each of the foregoing cases, the applicable margin or fee is based on the Company’s Consolidated Leverage Ratio, as defined in the amended Credit Facility, as of the then most recent fiscal quarter.</w:t>
      </w:r>
    </w:p>
    <w:p>
      <w:pPr>
        <w:spacing w:after="0" w:line="245" w:lineRule="exact"/>
        <w:rPr>
          <w:sz w:val="20"/>
          <w:szCs w:val="20"/>
          <w:color w:val="auto"/>
        </w:rPr>
      </w:pPr>
    </w:p>
    <w:p>
      <w:pPr>
        <w:jc w:val="both"/>
        <w:ind w:firstLine="620"/>
        <w:spacing w:after="0" w:line="238" w:lineRule="auto"/>
        <w:rPr>
          <w:sz w:val="20"/>
          <w:szCs w:val="20"/>
          <w:color w:val="auto"/>
        </w:rPr>
      </w:pPr>
      <w:r>
        <w:rPr>
          <w:rFonts w:ascii="Times New Roman" w:cs="Times New Roman" w:eastAsia="Times New Roman" w:hAnsi="Times New Roman"/>
          <w:sz w:val="16"/>
          <w:szCs w:val="16"/>
          <w:color w:val="auto"/>
        </w:rPr>
        <w:t>As of September 30, 2019 and December 31, 2018, outstanding revolving loans, which included $116 million and $128 million, respectively, of borrowings denominated in foreign currencies, accrued interest at weighted average rates of approximately 3.417% and 4.234% per annum, respectively. The term loan accrued interest at a rate of 3.419% and 4.272% as of September 30, 2019 and December 31, 2018, respectively. Letters of credit of approximately $102.2 million and $88.2 million were issued as of September 30, 2019 and December 31, 2018, respectively. As of September 30, 2019 and December 31, 2018, letter of credit fees accrued at 0.500% and 0.875% per annum, respectively, for performance standby letters of credit, and at 1.375% and 1.750% per annum, respectively, for financial standby letters of credit. Outstanding letters of credit mature at various dates and most have automatic renewal provisions, subject to prior notice of cancellation. As of September 30, 2019 and December 31, 2018, availability for revolving loans totaled $996.7 million and $554.9 million, respectively, or up to $547.8 million and $554.9 million, respectively, for new letters of credit. Revolving loan borrowing capacity included $183.9 million and $91.9 million of availability in either Canadian dollars or Mexican pesos as of September 30, 2019 and December 31, 2018, respectively. The unused facility fee as of September 30, 2019 and December 31, 2018 accrued at a rate of 0.225% and 0.350%, respectively.</w:t>
      </w:r>
    </w:p>
    <w:p>
      <w:pPr>
        <w:spacing w:after="0" w:line="89"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The amended Credit Facility is guaranteed by certain subsidiaries of the Company (the “Guarantor Subsidiaries”) and the obligations under the amended Credit Facility are secured by substantially all of the Company’s and the Guarantor Subsidiaries’ respective assets, subject to certain exceptions. Under the amended Credit Facility, if the Loan Party EBITDA, as defined, as of the last four consecutive fiscal quarters does not represent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420"/>
          </w:cols>
          <w:pgMar w:left="240" w:top="769" w:right="239" w:bottom="1440" w:gutter="0" w:footer="0" w:header="0"/>
        </w:sectPr>
      </w:pPr>
    </w:p>
    <w:bookmarkStart w:id="16" w:name="page17"/>
    <w:bookmarkEnd w:id="16"/>
    <w:p>
      <w:pPr>
        <w:jc w:val="both"/>
        <w:spacing w:after="0" w:line="246" w:lineRule="auto"/>
        <w:rPr>
          <w:sz w:val="20"/>
          <w:szCs w:val="20"/>
          <w:color w:val="auto"/>
        </w:rPr>
      </w:pPr>
      <w:r>
        <w:rPr>
          <w:rFonts w:ascii="Times New Roman" w:cs="Times New Roman" w:eastAsia="Times New Roman" w:hAnsi="Times New Roman"/>
          <w:sz w:val="16"/>
          <w:szCs w:val="16"/>
          <w:color w:val="auto"/>
        </w:rPr>
        <w:t>at least 80% of the Adjusted Consolidated EBITDA, as defined in the amended Credit Facility, for such period, then the Company must designate additional subsidiaries as Guarantor Subsidiaries, and cause them to join the applicable guaranty and security agreements to the amended Credit Facility. Additionally, any domestic subsidiary with consolidated EBITDA of at least 15% of the Adjusted Consolidated EBITDA must become a Guarantor Subsidiary and join the applicable guaranty and security agreements.</w:t>
      </w:r>
    </w:p>
    <w:p>
      <w:pPr>
        <w:spacing w:after="0" w:line="80" w:lineRule="exact"/>
        <w:rPr>
          <w:sz w:val="20"/>
          <w:szCs w:val="20"/>
          <w:color w:val="auto"/>
        </w:rPr>
      </w:pPr>
    </w:p>
    <w:p>
      <w:pPr>
        <w:jc w:val="both"/>
        <w:ind w:firstLine="620"/>
        <w:spacing w:after="0" w:line="275" w:lineRule="auto"/>
        <w:rPr>
          <w:sz w:val="20"/>
          <w:szCs w:val="20"/>
          <w:color w:val="auto"/>
        </w:rPr>
      </w:pPr>
      <w:r>
        <w:rPr>
          <w:rFonts w:ascii="Times New Roman" w:cs="Times New Roman" w:eastAsia="Times New Roman" w:hAnsi="Times New Roman"/>
          <w:sz w:val="14"/>
          <w:szCs w:val="14"/>
          <w:color w:val="auto"/>
        </w:rPr>
        <w:t>The amended Credit Facility requires that the Company maintain a maximum Consolidated Leverage Ratio, as defined in the amended Credit Facility, of 3.50 times (subject to the Acquisition Adjustment described below). The amended Credit Facility also requires that the Company maintain a minimum Consolidated Interest Coverage Ratio, as defined in the amended Credit Facility, of 3.00 times. The amended Credit Facility provides that, for purposes of calculating the Consolidated Leverage Ratio, funded indebtedness excludes undrawn standby performance letters of credit and is further reduced by unrestricted cash over certain thresholds. Additionally, notwithstanding the terms discussed above, subject to certain conditions, if a Permitted Acquisition, as defined in the Credit Facility, or series of Permitted Acquisitions having consideration exceeding $100 million occurs during a fiscal quarter, the maximum Consolidated Leverage Ratio may be temporarily increased to up to 4.00 times during such fiscal quarter and the subsequent four fiscal quarters (the “Acquisition Adjustment”). Such right may be exercised no more than two times during the term of the amended Credit Facility. Subject to customary exceptions, the amended Credit Facility limits the Borrowers’ (as defined in the Credit Facility) and the Guarantor Subsidiaries’ ability to engage in certain activities, including acquisitions, mergers and consolidations, debt incurrence, investments, asset sales, debt prepayments, lien incurrence and the making of cash distributions or repurchases of the Company’s common stock. However, distributions payable solely in common stock are not restricted. The amended Credit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 with respect to the collateral securing the amended Credit Facility obligations.</w:t>
      </w:r>
    </w:p>
    <w:p>
      <w:pPr>
        <w:spacing w:after="0" w:line="241" w:lineRule="exact"/>
        <w:rPr>
          <w:sz w:val="20"/>
          <w:szCs w:val="20"/>
          <w:color w:val="auto"/>
        </w:rPr>
      </w:pPr>
    </w:p>
    <w:p>
      <w:pPr>
        <w:jc w:val="both"/>
        <w:ind w:firstLine="62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Other Credit Facilities</w:t>
      </w:r>
      <w:r>
        <w:rPr>
          <w:rFonts w:ascii="Times New Roman" w:cs="Times New Roman" w:eastAsia="Times New Roman" w:hAnsi="Times New Roman"/>
          <w:sz w:val="14"/>
          <w:szCs w:val="14"/>
          <w:color w:val="auto"/>
        </w:rPr>
        <w:t>. The Company has other credit facilities that support: (i) the working capital requirements of its foreign operations, and (ii) certain letter of credit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issuances. As of both September 30, 2019 and December 31, 2018, there were no borrowings under the Company’s other credit facilities. Additionally, the Company has a credit facility under which it may issue up to $50.0 million of performance standby letters of credit. As of both September 30, 2019 and December 31, 2018, letters of credit issued under this facility totaled $40.2 million, and accrued fees at 0.50% and 0.75%, respectively, per annum. The Company’s other credit facilities are subject to customary provisions and covenants.</w:t>
      </w:r>
    </w:p>
    <w:p>
      <w:pPr>
        <w:spacing w:after="0" w:line="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Debt Guarantees and Covenants</w:t>
      </w:r>
    </w:p>
    <w:p>
      <w:pPr>
        <w:spacing w:after="0" w:line="104"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color w:val="auto"/>
        </w:rPr>
        <w:t>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Credit Facility or other outstanding indebtedness. See Note 16 - Supplemental Guarantor Condensed Consolidating Financial Information.</w:t>
      </w:r>
    </w:p>
    <w:p>
      <w:pPr>
        <w:spacing w:after="0" w:line="85" w:lineRule="exact"/>
        <w:rPr>
          <w:sz w:val="20"/>
          <w:szCs w:val="20"/>
          <w:color w:val="auto"/>
        </w:rPr>
      </w:pPr>
    </w:p>
    <w:p>
      <w:pPr>
        <w:ind w:left="320" w:right="1600" w:firstLine="310"/>
        <w:spacing w:after="0" w:line="370" w:lineRule="auto"/>
        <w:rPr>
          <w:sz w:val="20"/>
          <w:szCs w:val="20"/>
          <w:color w:val="auto"/>
        </w:rPr>
      </w:pPr>
      <w:r>
        <w:rPr>
          <w:rFonts w:ascii="Times New Roman" w:cs="Times New Roman" w:eastAsia="Times New Roman" w:hAnsi="Times New Roman"/>
          <w:sz w:val="16"/>
          <w:szCs w:val="16"/>
          <w:color w:val="auto"/>
        </w:rPr>
        <w:t xml:space="preserve">MasTec was in compliance with the provisions and covenants of its outstanding debt instruments as of September 30, 2019 and December 31, 2018. </w:t>
      </w:r>
      <w:r>
        <w:rPr>
          <w:rFonts w:ascii="Times New Roman" w:cs="Times New Roman" w:eastAsia="Times New Roman" w:hAnsi="Times New Roman"/>
          <w:sz w:val="16"/>
          <w:szCs w:val="16"/>
          <w:b w:val="1"/>
          <w:bCs w:val="1"/>
          <w:i w:val="1"/>
          <w:iCs w:val="1"/>
          <w:color w:val="auto"/>
        </w:rPr>
        <w:t>Additional Information</w:t>
      </w:r>
    </w:p>
    <w:p>
      <w:pPr>
        <w:spacing w:after="0" w:line="1"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As of September 30, 2019 and December 31, 2018, accrued interest payable, which is recorded within other accrued expenses in the consolidated balance sheets, totaled $1.6 million and $7.4 million, respectively. For additional information pertaining to the Company’s debt instruments, including its 4.875% Senior Notes, see Note 7 - Debt in the Company’s 2018 Form 10-K.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Lease Obligations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See Note 1 - Business, Basis of Presentation and Significant Accounting Policies for information pertaining to the Company’s adoption of ASU 2016-02, </w:t>
      </w:r>
      <w:r>
        <w:rPr>
          <w:rFonts w:ascii="Times New Roman" w:cs="Times New Roman" w:eastAsia="Times New Roman" w:hAnsi="Times New Roman"/>
          <w:sz w:val="14"/>
          <w:szCs w:val="14"/>
          <w:i w:val="1"/>
          <w:iCs w:val="1"/>
          <w:color w:val="auto"/>
        </w:rPr>
        <w:t>Leases (Topic 842).</w:t>
      </w:r>
    </w:p>
    <w:p>
      <w:pPr>
        <w:spacing w:after="0" w:line="127"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agreements that provide financing for machinery and equipment and for other of its facility, vehicle and equipment needs, including related party leases. The Company reviews all agreements to determine if a leasing arrangement exists. When a leasing arrangement is identified, a determination is made at inception as to whether the lease is an operating or a finance lease. A lease exists when a contract conveys the right to control the use of an identified asset for a period of time in exchange for consideration. In determining whether a lease exists, the Company considers whether a contract provides both the right to obtain substantially all of the economic benefits from the use of an asset and the right to direct the use of the asset. Right-of-use assets and lease liabilities are recognized at the lease commencement date based on the present value of the minimum future lease payments over the expected term of the lease. The Company’s lease assets are primarily concentrated in vehicles, machinery and equipment.</w:t>
      </w:r>
    </w:p>
    <w:p>
      <w:pPr>
        <w:spacing w:after="0" w:line="190"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4"/>
          <w:szCs w:val="14"/>
          <w:color w:val="auto"/>
        </w:rPr>
        <w:t>Leases with an initial term of twelve months or less are classified as short-term leases and are not recognized in the consolidated balance sheets unless the lease contains a purchase option that is reasonably certain to be exercised, or unless it is reasonably certain that the equipment will be leased for greater than twelve months. Lease payments for short-term leases are recognized on a straight-line basis over the lease term. About half of the Company’s short-term leases relate to equipment used on construction projects, for which the rentals are based on daily, weekly or monthly rental rates for an unspecified duration, and typically contain termination for convenience provisions. Lease determinations are reassessed in the event of a change in lease terms. The Company has a limited number of sublease arrangements, which are not considered material to the consolidated financial statements.</w:t>
      </w:r>
    </w:p>
    <w:p>
      <w:pPr>
        <w:spacing w:after="0" w:line="159"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As of September 30, 2019, the Company’s leases have remaining lease terms of up to ten years. Lease agreements may contain renewal clauses, which, if elected, generally extend the term of the lease for one year for equipment leases, and from one to five years for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 elected the practical expedient to account for non-lease components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420"/>
          </w:cols>
          <w:pgMar w:left="240" w:top="618" w:right="239" w:bottom="1440" w:gutter="0" w:footer="0" w:header="0"/>
        </w:sectPr>
      </w:pPr>
    </w:p>
    <w:bookmarkStart w:id="17" w:name="page18"/>
    <w:bookmarkEnd w:id="17"/>
    <w:p>
      <w:pPr>
        <w:jc w:val="both"/>
        <w:spacing w:after="0" w:line="257" w:lineRule="auto"/>
        <w:rPr>
          <w:sz w:val="20"/>
          <w:szCs w:val="20"/>
          <w:color w:val="auto"/>
        </w:rPr>
      </w:pPr>
      <w:r>
        <w:rPr>
          <w:rFonts w:ascii="Times New Roman" w:cs="Times New Roman" w:eastAsia="Times New Roman" w:hAnsi="Times New Roman"/>
          <w:sz w:val="16"/>
          <w:szCs w:val="16"/>
          <w:color w:val="auto"/>
        </w:rPr>
        <w:t>together with the related lease components for all classes of leased assets. The Company’s lease agreements do not contain significant residual value guarantees or material restrictive covenants.</w:t>
      </w:r>
    </w:p>
    <w:p>
      <w:pPr>
        <w:spacing w:after="0" w:line="17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color w:val="auto"/>
        </w:rPr>
        <w:t>Lease term, discount rate, variable lease costs and future minimum lease payment determinations require the use of judgment, and are based on the facts and circumstances of each lease. Economic incentives, intent, past history and business need are among the factors considered to determine if renewal and/or purchase options are reasonably certain to be exercised. The majority of the Company’s lease agreements do not explicitly state the discount rate implicit in the lease, therefore, the Company generally uses an incremental borrowing rate to determine the value of its lease obligations. The incremental borrowing rate represents the rate of interest that would be paid to borrow on a collateralized basis over a similar term. The Company determines its incremental borrowing rate using a portfolio approach based on information available as of the lease commencement date, including applicable lease terms and the current economic environment.</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04"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Finance lease assets are recorded within property and equipment, with a corresponding amount recorded within the Company’s debt obligations. Finance lease expense is composed of depreciation expense on the leased asset and interest on the lease liability. Additions to finance leases are included within the supplemental disclosures of non-cash information in the consolidated statements of cash flows. Many of the Company’s finance leases contain purchase options, which the Company frequently exercises, given that the purchase option prices are typically below the estimated fair market values of the related assets. The gross amount of assets held under finance leases as of September 30, 2019 and December 31, 2018 totaled $415.5 million and $337.6 million, respectively. Assets held under finance leases, net of accumulated depreciation, totaled $340.4 million and $246.8 million as of September 30, 2019 and December 31, 2018, respectively. Depreciation expense associated with finance leases totaled $13.1 million and $34.2 million for the three and nine month periods ended September 30, 2019, respectively.</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04"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4"/>
          <w:szCs w:val="14"/>
          <w:color w:val="auto"/>
        </w:rPr>
        <w:t>Operating lease right-of-use assets and liabilities are recognized on the consolidated balance sheets, with the related lease expense recognized over the term of the lease on a straight-line basis. Operating lease expense is recorded as rent expense, primarily within costs of revenue, excluding depreciation and amortization. Fixed costs for operating leases are composed of initial base rent amounts plus any fixed annual increases. Variable costs for operating leases consist primarily of common area maintenance expenses and taxes for facility leases. Certain of the Company’s operating leases contain purchase options, for which the purchase option price is generally considered to be at fair market value. From time to time, the Company may terminate a lease before the end of the lease term. Payments related to such early lease terminations are generally recorded within rent expense.</w:t>
      </w:r>
    </w:p>
    <w:p>
      <w:pPr>
        <w:spacing w:after="0" w:line="55"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Operating lease additions for the three and nine month periods ended September 30, 2019, excluding the effect of adoption of approximately $230 million, totaled $20 million and $86 million, respectively. For the three and nine month periods ended September 30, 2019, rent expense for leases that have terms in excess of one year totaled approximately $29.5 million and $84.8 million, respectively, of which $3.1 million and $7.5 million, respectively, represented variable lease costs. The Company also incurred rent expense for leases with terms of one year or less totaling approximately $144.0 million and $352.4 million for the three and nine month periods ended September 30, 2019, respectively. For the three and nine month periods ended September 30, 2018, rent and related expense for operating leases that have non-cancelable terms in excess of one year totaled approximately $33.1 million and $85.4 million, respectively, and rent and related expense for operating leases having original terms of one year or less totaled approximately $142.7 million and $339.4 million, respectively. Rent expense for operating leases is generally consistent with the amount of the related payments, and is included within operating activities in the consolidated statements of cash flows.</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Additional Lease Information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Future minimum lease commitments as of September 30, 2019 were as follows (in millions):</w:t>
            </w: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29"/>
        </w:trPr>
        <w:tc>
          <w:tcPr>
            <w:tcW w:w="8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4"/>
        </w:trPr>
        <w:tc>
          <w:tcPr>
            <w:tcW w:w="8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2"/>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 remaining three months</w:t>
            </w: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24.3</w:t>
            </w:r>
          </w:p>
        </w:tc>
      </w:tr>
      <w:tr>
        <w:trPr>
          <w:trHeight w:val="22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112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107.4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82.7</w:t>
            </w:r>
          </w:p>
        </w:tc>
      </w:tr>
      <w:tr>
        <w:trPr>
          <w:trHeight w:val="32"/>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8"/>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59.9</w:t>
            </w:r>
          </w:p>
        </w:tc>
      </w:tr>
      <w:tr>
        <w:trPr>
          <w:trHeight w:val="22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112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36.4</w:t>
            </w:r>
          </w:p>
        </w:tc>
      </w:tr>
      <w:tr>
        <w:trPr>
          <w:trHeight w:val="32"/>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8"/>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19.7</w:t>
            </w: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12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40.9</w:t>
            </w:r>
          </w:p>
        </w:tc>
      </w:tr>
      <w:tr>
        <w:trPr>
          <w:trHeight w:val="32"/>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8"/>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300.5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263.9</w:t>
            </w:r>
          </w:p>
        </w:tc>
      </w:tr>
      <w:tr>
        <w:trPr>
          <w:trHeight w:val="207"/>
        </w:trPr>
        <w:tc>
          <w:tcPr>
            <w:tcW w:w="8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1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32"/>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lease obligations, net of interest</w:t>
            </w: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282.2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238.4</w:t>
            </w:r>
          </w:p>
        </w:tc>
      </w:tr>
      <w:tr>
        <w:trPr>
          <w:trHeight w:val="227"/>
        </w:trPr>
        <w:tc>
          <w:tcPr>
            <w:tcW w:w="8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Less current portion</w:t>
            </w:r>
          </w:p>
        </w:tc>
        <w:tc>
          <w:tcPr>
            <w:tcW w:w="1120" w:type="dxa"/>
            <w:vAlign w:val="bottom"/>
          </w:tcPr>
          <w:p>
            <w:pPr>
              <w:spacing w:after="0"/>
              <w:rPr>
                <w:sz w:val="19"/>
                <w:szCs w:val="19"/>
                <w:color w:val="auto"/>
              </w:rPr>
            </w:pP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79.2</w:t>
            </w:r>
          </w:p>
        </w:tc>
      </w:tr>
      <w:tr>
        <w:trPr>
          <w:trHeight w:val="32"/>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Long-term portion of lease obligations, net of interest</w:t>
            </w: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182.9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159.3</w:t>
            </w:r>
          </w:p>
        </w:tc>
      </w:tr>
      <w:tr>
        <w:trPr>
          <w:trHeight w:val="20"/>
        </w:trPr>
        <w:tc>
          <w:tcPr>
            <w:tcW w:w="8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98"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As of September 30, 2019, finance leases had a weighted average remaining lease term of 3.0 years and a weighted average discount rate of 4.1%. Non-cancelable operating leases had a weighted average remaining lease term of 4.3 years and a weighted average discount rate of 4.2% as of September 30, 2019. As of September 30, 2019, future lease obligations for leases that had not yet commenced totaled approximately $18 million. These leases commence in 2019 with lease terms of one to five years.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420"/>
          </w:cols>
          <w:pgMar w:left="240" w:top="618"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Note 9 – Stock-Based Compensation and Other Employee Benefit Plans</w:t>
      </w:r>
    </w:p>
    <w:p>
      <w:pPr>
        <w:spacing w:after="0" w:line="208"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The Company has stock-based compensation plans, under which shares of the Company’s common stock are reserved for issuance. Under all stock-based compensation plans in effect as of September 30, 2019, including employee stock purchase plans, there were approximately 4,118,000 shares available for future grant.</w:t>
      </w:r>
    </w:p>
    <w:p>
      <w:pPr>
        <w:spacing w:after="0" w:line="71"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Non-cash stock-based compensation expense under all plans totaled $4.2 million and $3.5 million for the three month periods ended September 30, 2019 and 2018, respectively, and totaled $12.1 million and $10.1 million for the nine month periods ended September 30, 2019 and 2018, respectively. Income tax benefits associated with stock-based compensation arrangements totaled $1.0 million and $0.9 million for the three month periods ended September 30, 2019 and 2018, respectively. For the nine month periods ended September 30, 2019 and 2018 income tax benefits totaled $5.3 million and $2.7 million, respectively, including net tax benefits from the vesting of share-based payment awards of $2.3 million and $0.3 million, respectively.</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Shares</w:t>
      </w:r>
    </w:p>
    <w:p>
      <w:pPr>
        <w:spacing w:after="0" w:line="10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September 30, 2019, total unearned compensation related to restricted shares was approximately $23.6 million, which is expected to be recognized over a weighted average period of approximately 2.0 years. The intrinsic value of restricted shares that vested, which is based on the market price on the date of vesting, totaled $0.2 million and $0.6 million for the three month periods ended September 30, 2019 and 2018, respectively, and totaled $14.1 million and $2.3 million for the nine month periods ended September 30, 2019 and 2018,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Per Share Weighted</w:t>
            </w:r>
          </w:p>
        </w:tc>
      </w:tr>
      <w:tr>
        <w:trPr>
          <w:trHeight w:val="194"/>
        </w:trPr>
        <w:tc>
          <w:tcPr>
            <w:tcW w:w="8340" w:type="dxa"/>
            <w:vAlign w:val="bottom"/>
          </w:tcPr>
          <w:p>
            <w:pPr>
              <w:spacing w:after="0"/>
              <w:rPr>
                <w:sz w:val="16"/>
                <w:szCs w:val="16"/>
                <w:color w:val="auto"/>
              </w:rPr>
            </w:pP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Average Grant Date</w:t>
            </w:r>
          </w:p>
        </w:tc>
      </w:tr>
      <w:tr>
        <w:trPr>
          <w:trHeight w:val="236"/>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Activity, restricted shares: </w:t>
            </w:r>
            <w:r>
              <w:rPr>
                <w:rFonts w:ascii="Times New Roman" w:cs="Times New Roman" w:eastAsia="Times New Roman" w:hAnsi="Times New Roman"/>
                <w:sz w:val="20"/>
                <w:szCs w:val="20"/>
                <w:color w:val="auto"/>
                <w:vertAlign w:val="superscript"/>
              </w:rPr>
              <w:t>(a)</w:t>
            </w: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20"/>
                <w:szCs w:val="20"/>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38"/>
        </w:trPr>
        <w:tc>
          <w:tcPr>
            <w:tcW w:w="8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December 31, 2018</w:t>
            </w:r>
          </w:p>
        </w:tc>
        <w:tc>
          <w:tcPr>
            <w:tcW w:w="15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1,270,233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31.80</w:t>
            </w:r>
          </w:p>
        </w:tc>
      </w:tr>
      <w:tr>
        <w:trPr>
          <w:trHeight w:val="20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Granted</w:t>
            </w:r>
          </w:p>
        </w:tc>
        <w:tc>
          <w:tcPr>
            <w:tcW w:w="15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226,999</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47.03</w:t>
            </w:r>
          </w:p>
        </w:tc>
      </w:tr>
      <w:tr>
        <w:trPr>
          <w:trHeight w:val="32"/>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14.10</w:t>
            </w:r>
          </w:p>
        </w:tc>
      </w:tr>
      <w:tr>
        <w:trPr>
          <w:trHeight w:val="22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Canceled/forfeited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33.87</w:t>
            </w:r>
          </w:p>
        </w:tc>
      </w:tr>
      <w:tr>
        <w:trPr>
          <w:trHeight w:val="32"/>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September 30, 2019</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1,150,443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39.95</w:t>
            </w: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21" w:lineRule="exact"/>
        <w:rPr>
          <w:sz w:val="20"/>
          <w:szCs w:val="20"/>
          <w:color w:val="auto"/>
        </w:rPr>
      </w:pPr>
    </w:p>
    <w:p>
      <w:pPr>
        <w:ind w:left="320" w:hanging="317"/>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2,400 and 18,700 restricted stock units as of September 30, 2019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4"/>
          <w:szCs w:val="14"/>
          <w:color w:val="auto"/>
        </w:rPr>
        <w:t xml:space="preserve"> December 31, 2018, respectively.</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Employee Stock Purchase Plans</w:t>
      </w:r>
    </w:p>
    <w:p>
      <w:pPr>
        <w:spacing w:after="0" w:line="10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The Company has certain employee stock purchase plans (collectively, “ESPPs”) under which shares of the Company's common stock are available for purchase by eligible employees. The following table provides details pertaining to the Company’s ESPPs for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40" w:type="dxa"/>
            <w:vAlign w:val="bottom"/>
          </w:tcPr>
          <w:p>
            <w:pPr>
              <w:spacing w:after="0"/>
              <w:rPr>
                <w:sz w:val="17"/>
                <w:szCs w:val="17"/>
                <w:color w:val="auto"/>
              </w:rPr>
            </w:pPr>
          </w:p>
        </w:tc>
        <w:tc>
          <w:tcPr>
            <w:tcW w:w="3080" w:type="dxa"/>
            <w:vAlign w:val="bottom"/>
            <w:gridSpan w:val="5"/>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32"/>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8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Cash proceeds </w:t>
            </w:r>
            <w:r>
              <w:rPr>
                <w:rFonts w:ascii="Times New Roman" w:cs="Times New Roman" w:eastAsia="Times New Roman" w:hAnsi="Times New Roman"/>
                <w:sz w:val="14"/>
                <w:szCs w:val="14"/>
                <w:color w:val="auto"/>
              </w:rPr>
              <w:t>(in millions)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w:t>
            </w: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shares issued</w:t>
            </w:r>
          </w:p>
        </w:tc>
        <w:tc>
          <w:tcPr>
            <w:tcW w:w="940" w:type="dxa"/>
            <w:vAlign w:val="bottom"/>
          </w:tcPr>
          <w:p>
            <w:pPr>
              <w:spacing w:after="0"/>
              <w:rPr>
                <w:sz w:val="19"/>
                <w:szCs w:val="19"/>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87,014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79,459</w:t>
            </w:r>
          </w:p>
        </w:tc>
      </w:tr>
      <w:tr>
        <w:trPr>
          <w:trHeight w:val="32"/>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price per share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39.23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39.36</w:t>
            </w: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per share grant date fair value</w:t>
            </w:r>
          </w:p>
        </w:tc>
        <w:tc>
          <w:tcPr>
            <w:tcW w:w="94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9.97</w:t>
            </w:r>
          </w:p>
        </w:tc>
        <w:tc>
          <w:tcPr>
            <w:tcW w:w="12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9.62</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Other Retirement Plans</w:t>
      </w:r>
    </w:p>
    <w:p>
      <w:pPr>
        <w:spacing w:after="0" w:line="100"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Multiemployer Plans. </w:t>
      </w:r>
      <w:r>
        <w:rPr>
          <w:rFonts w:ascii="Times New Roman" w:cs="Times New Roman" w:eastAsia="Times New Roman" w:hAnsi="Times New Roman"/>
          <w:sz w:val="16"/>
          <w:szCs w:val="16"/>
          <w:color w:val="auto"/>
        </w:rPr>
        <w:t>Certain of MasTec’s subsidiaries, including certain subsidiaries in Canada, contribute amounts to multiemployer pension and other multiemployer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benefit plans and trusts (“MEPPs”), which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including with respect to the Company’s Canadian operations, for the periods indicated were as follows: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420"/>
          </w:cols>
          <w:pgMar w:left="240" w:top="77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Multiemployer Plans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5020" w:type="dxa"/>
            <w:vAlign w:val="bottom"/>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020" w:type="dxa"/>
            <w:vAlign w:val="bottom"/>
          </w:tcPr>
          <w:p>
            <w:pPr>
              <w:spacing w:after="0"/>
              <w:rPr>
                <w:sz w:val="19"/>
                <w:szCs w:val="19"/>
                <w:color w:val="auto"/>
              </w:rPr>
            </w:pPr>
          </w:p>
        </w:tc>
        <w:tc>
          <w:tcPr>
            <w:tcW w:w="230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Covered Employees</w:t>
            </w:r>
          </w:p>
        </w:tc>
        <w:tc>
          <w:tcPr>
            <w:tcW w:w="160" w:type="dxa"/>
            <w:vAlign w:val="bottom"/>
          </w:tcPr>
          <w:p>
            <w:pPr>
              <w:spacing w:after="0"/>
              <w:rPr>
                <w:sz w:val="19"/>
                <w:szCs w:val="19"/>
                <w:color w:val="auto"/>
              </w:rPr>
            </w:pPr>
          </w:p>
        </w:tc>
        <w:tc>
          <w:tcPr>
            <w:tcW w:w="284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 xml:space="preserve">Contributions </w:t>
            </w: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5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Low</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60" w:type="dxa"/>
            <w:vAlign w:val="bottom"/>
          </w:tcPr>
          <w:p>
            <w:pPr>
              <w:spacing w:after="0"/>
              <w:rPr>
                <w:sz w:val="17"/>
                <w:szCs w:val="17"/>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Multiemployer</w:t>
            </w:r>
          </w:p>
        </w:tc>
        <w:tc>
          <w:tcPr>
            <w:tcW w:w="240" w:type="dxa"/>
            <w:vAlign w:val="bottom"/>
          </w:tcPr>
          <w:p>
            <w:pPr>
              <w:spacing w:after="0"/>
              <w:rPr>
                <w:sz w:val="17"/>
                <w:szCs w:val="17"/>
                <w:color w:val="auto"/>
              </w:rPr>
            </w:pPr>
          </w:p>
        </w:tc>
        <w:tc>
          <w:tcPr>
            <w:tcW w:w="8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2"/>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0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2019</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3,814</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2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2018</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6,183</w:t>
            </w:r>
          </w:p>
        </w:tc>
        <w:tc>
          <w:tcPr>
            <w:tcW w:w="120" w:type="dxa"/>
            <w:vAlign w:val="bottom"/>
          </w:tcPr>
          <w:p>
            <w:pPr>
              <w:spacing w:after="0"/>
              <w:rPr>
                <w:sz w:val="19"/>
                <w:szCs w:val="19"/>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6,336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32"/>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2019</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1,626</w:t>
            </w:r>
          </w:p>
        </w:tc>
        <w:tc>
          <w:tcPr>
            <w:tcW w:w="120" w:type="dxa"/>
            <w:vAlign w:val="bottom"/>
          </w:tcPr>
          <w:p>
            <w:pPr>
              <w:spacing w:after="0"/>
              <w:rPr>
                <w:sz w:val="19"/>
                <w:szCs w:val="19"/>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5,349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32"/>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2018</w:t>
            </w:r>
          </w:p>
        </w:tc>
        <w:tc>
          <w:tcPr>
            <w:tcW w:w="10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32"/>
        </w:trPr>
        <w:tc>
          <w:tcPr>
            <w:tcW w:w="50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The fluctuations in the number of employees covered under multiemployer plans and related contributions in the table above related primarily to timing of activity for the Company’s union resource-based projects, the majority of which are within its oil and gas operations.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Equity</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Share Activity</w:t>
      </w:r>
    </w:p>
    <w:p>
      <w:pPr>
        <w:spacing w:after="0" w:line="208"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The Company’s share repurchase programs provide for the repurchase of shares of MasTec common stock from time to time in open market transactions or in privately-negotiated transactions in accordance with applicable securities laws. The timing and the amount of any repurchases is determined based on market conditions, legal requirements, cash flow and liquidity needs and other factors. The Company’s share repurchase programs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 Treasury stock is recorded at cost.</w:t>
      </w:r>
    </w:p>
    <w:p>
      <w:pPr>
        <w:spacing w:after="0" w:line="187"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color w:val="auto"/>
        </w:rPr>
        <w:t>There were no share repurchases for the three month period ended September 30, 2019. For the nine month period ended September 30, 2019, share repurchases, which were completed under the Company’s September 2018 $150 million share repurchase program, totaled approximately $0.6 million. During the three and nine month periods ended September 30, 2018, the Company repurchased approximately 1.6 million and 4.3 million shares of its common stock, respectively, for an aggregate purchase price of $70.1 million and $198.4 million, respectively. Of the 4.3 million repurchased shares, 2.0 million were repurchased for $98.4 million under a $100 million share repurchase program that was established in 2016 and completed in the first quarter of 2018, and 2.3 million were repurchased under the Company’s March 2018 $100 million share repurchase program that was completed in the third quarter of 2018.</w:t>
      </w:r>
    </w:p>
    <w:p>
      <w:pPr>
        <w:spacing w:after="0" w:line="188"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As of September 30, 2019, $128.8 million was available for future share repurchases under all of the Company’s open share repurchase programs, which included $28.8 million under the Company’s September 2018 share repurchase program, and the full amount of the Company’s December 2018 $100 million share repurchase program.</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Accumulated Other Comprehensive Loss</w:t>
      </w:r>
    </w:p>
    <w:p>
      <w:pPr>
        <w:spacing w:after="0" w:line="104" w:lineRule="exact"/>
        <w:rPr>
          <w:sz w:val="20"/>
          <w:szCs w:val="20"/>
          <w:color w:val="auto"/>
        </w:rPr>
      </w:pPr>
    </w:p>
    <w:p>
      <w:pPr>
        <w:jc w:val="both"/>
        <w:ind w:firstLine="620"/>
        <w:spacing w:after="0" w:line="289" w:lineRule="auto"/>
        <w:rPr>
          <w:sz w:val="20"/>
          <w:szCs w:val="20"/>
          <w:color w:val="auto"/>
        </w:rPr>
      </w:pPr>
      <w:r>
        <w:rPr>
          <w:rFonts w:ascii="Times New Roman" w:cs="Times New Roman" w:eastAsia="Times New Roman" w:hAnsi="Times New Roman"/>
          <w:sz w:val="14"/>
          <w:szCs w:val="14"/>
          <w:color w:val="auto"/>
        </w:rPr>
        <w:t>Accumulated other comprehensive loss is composed of unrealized foreign currency gains and losses from fluctuations in foreign currency exchange rates of the Company’s foreign subsidiaries with a functional currency other than the U.S. dollar, as well as unrealized gains and losses from certain investment activities. Unrealized foreign currency activity for each of the three and nine month periods ended September 30, 2019 and 2018 relates to the Company’s operations in Canada and Mexico. Unrealized investment activity for each of the three and nine month periods ended September 30, 2019 and 2018 relates to unrealized gains and losses on interest rate swaps associated with the Waha JVs.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Income Taxes</w:t>
      </w:r>
    </w:p>
    <w:p>
      <w:pPr>
        <w:spacing w:after="0" w:line="208" w:lineRule="exact"/>
        <w:rPr>
          <w:sz w:val="20"/>
          <w:szCs w:val="20"/>
          <w:color w:val="auto"/>
        </w:rPr>
      </w:pPr>
    </w:p>
    <w:p>
      <w:pPr>
        <w:jc w:val="both"/>
        <w:ind w:firstLine="620"/>
        <w:spacing w:after="0" w:line="277" w:lineRule="auto"/>
        <w:rPr>
          <w:sz w:val="20"/>
          <w:szCs w:val="20"/>
          <w:color w:val="auto"/>
        </w:rPr>
      </w:pPr>
      <w:r>
        <w:rPr>
          <w:rFonts w:ascii="Times New Roman" w:cs="Times New Roman" w:eastAsia="Times New Roman" w:hAnsi="Times New Roman"/>
          <w:sz w:val="14"/>
          <w:szCs w:val="14"/>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September 30, 2019 and 2018, the Company’s consolidated effective tax rates were 25% and 17%, respectively. For both the nine month periods ended September 30, 2019 and 2018, the Company’s consolidated effective tax rate was 24%. The Company’s effective tax rate for the nine month period ended September 30, 2019 included the favorable effects of reduced foreign earnings, the recognition of $2.3 million of excess tax benefits from the vesting of share-based awards, adjustments from the finalization of the Company’s 2018 tax returns and the effects of foreign tax rate changes. For the nine month period ended September 30, 2018, the Company’s effective tax rate included a net tax benefit of approximately $16 million related to the 2017 Tax Act, including from finalization of its tax return for the year ended December 31, 2017, certain tax accounting method changes and other adjustments to the initial remeasurement of its deferred tax balances as of December 31, 2017.</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420"/>
          </w:cols>
          <w:pgMar w:left="240" w:top="679"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color w:val="auto"/>
        </w:rPr>
        <w:t>Note 13 – Segments and Related Information</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Segment Discussion</w:t>
      </w:r>
    </w:p>
    <w:p>
      <w:pPr>
        <w:spacing w:after="0" w:line="10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The Company manages its operations under five operating segments, which represent its five reportable segments: (1) Communications; (2) Oil and Gas; (3) Electrical Transmission; (4) Power Generation and Industrial and (5) Other. This structure is generally focused on broad end-user markets for the Company’s labor-based construction services. All five reportable segments derive their revenue from the engineering, installation and maintenance of infrastructure, primarily in North America.</w:t>
      </w:r>
    </w:p>
    <w:p>
      <w:pPr>
        <w:spacing w:after="0" w:line="80"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The Company performs engineering, construction and maintenance services for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power facilities, including renewables, related electrical transmission infrastructure, ethanol/biofuel facilities and various types of heavy civil and industrial infrastructure. The Other segment includes equity investees, the services of which vary from those provided by the Company’s primary segments, as well as other small business units that perform construction and other services for a variety of international end-markets.</w:t>
      </w:r>
    </w:p>
    <w:p>
      <w:pPr>
        <w:spacing w:after="0" w:line="85" w:lineRule="exact"/>
        <w:rPr>
          <w:sz w:val="20"/>
          <w:szCs w:val="20"/>
          <w:color w:val="auto"/>
        </w:rPr>
      </w:pPr>
    </w:p>
    <w:p>
      <w:pPr>
        <w:jc w:val="both"/>
        <w:ind w:firstLine="620"/>
        <w:spacing w:after="0" w:line="279" w:lineRule="auto"/>
        <w:rPr>
          <w:sz w:val="20"/>
          <w:szCs w:val="20"/>
          <w:color w:val="auto"/>
        </w:rPr>
      </w:pPr>
      <w:r>
        <w:rPr>
          <w:rFonts w:ascii="Times New Roman" w:cs="Times New Roman" w:eastAsia="Times New Roman" w:hAnsi="Times New Roman"/>
          <w:sz w:val="14"/>
          <w:szCs w:val="14"/>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and for non-cash stock-based compensation expense, can also be subject to volatility from changes in the market price per share of the Company’s common stock or variations in the value of shares granted. Segment EBITDA is calculated in a manner consistent with consolidated EBITDA.</w:t>
      </w:r>
    </w:p>
    <w:p>
      <w:pPr>
        <w:spacing w:after="0" w:line="59"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For the Three Months Ended</w:t>
            </w:r>
          </w:p>
        </w:tc>
        <w:tc>
          <w:tcPr>
            <w:tcW w:w="140" w:type="dxa"/>
            <w:vAlign w:val="bottom"/>
          </w:tcPr>
          <w:p>
            <w:pPr>
              <w:spacing w:after="0"/>
              <w:rPr>
                <w:sz w:val="16"/>
                <w:szCs w:val="16"/>
                <w:color w:val="auto"/>
              </w:rPr>
            </w:pPr>
          </w:p>
        </w:tc>
        <w:tc>
          <w:tcPr>
            <w:tcW w:w="2000" w:type="dxa"/>
            <w:vAlign w:val="bottom"/>
            <w:gridSpan w:val="4"/>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7"/>
              </w:rPr>
              <w:t>For the Nine Months Ended</w:t>
            </w:r>
          </w:p>
        </w:tc>
      </w:tr>
      <w:tr>
        <w:trPr>
          <w:trHeight w:val="204"/>
        </w:trPr>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40" w:type="dxa"/>
            <w:vAlign w:val="bottom"/>
          </w:tcPr>
          <w:p>
            <w:pPr>
              <w:spacing w:after="0"/>
              <w:rPr>
                <w:sz w:val="17"/>
                <w:szCs w:val="17"/>
                <w:color w:val="auto"/>
              </w:rPr>
            </w:pPr>
          </w:p>
        </w:tc>
        <w:tc>
          <w:tcPr>
            <w:tcW w:w="200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2"/>
        </w:trPr>
        <w:tc>
          <w:tcPr>
            <w:tcW w:w="6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9"/>
                <w:szCs w:val="19"/>
                <w:color w:val="auto"/>
              </w:rPr>
            </w:pP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Communications </w:t>
            </w:r>
            <w:r>
              <w:rPr>
                <w:rFonts w:ascii="Times New Roman" w:cs="Times New Roman" w:eastAsia="Times New Roman" w:hAnsi="Times New Roman"/>
                <w:sz w:val="20"/>
                <w:szCs w:val="20"/>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679.5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1,944.9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1,907.5</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972.5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2,530.5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2,341.6</w:t>
            </w:r>
          </w:p>
        </w:tc>
      </w:tr>
      <w:tr>
        <w:trPr>
          <w:trHeight w:val="32"/>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Electrical Transmission</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297.6</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443.2</w:t>
            </w:r>
          </w:p>
        </w:tc>
      </w:tr>
      <w:tr>
        <w:trPr>
          <w:trHeight w:val="32"/>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3.7</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2"/>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6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Consolidated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2,016.6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1,977.2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5,474.0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4,991.9</w:t>
            </w:r>
          </w:p>
        </w:tc>
      </w:tr>
      <w:tr>
        <w:trPr>
          <w:trHeight w:val="20"/>
        </w:trPr>
        <w:tc>
          <w:tcPr>
            <w:tcW w:w="6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44" w:lineRule="exact"/>
        <w:rPr>
          <w:sz w:val="20"/>
          <w:szCs w:val="20"/>
          <w:color w:val="auto"/>
        </w:rPr>
      </w:pPr>
    </w:p>
    <w:p>
      <w:pPr>
        <w:ind w:left="320" w:hanging="317"/>
        <w:spacing w:after="0" w:line="257" w:lineRule="auto"/>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generated primarily by utilities customers represented 14.9% and 13.9% of Communications segment revenue for the three month periods ended September 30, 2019 and 2018, respectively, and represented 15.3% and 15.1% for the nine month periods ended September 30, 2019 and 2018, respectively.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For the Three Months Ended</w:t>
            </w:r>
          </w:p>
        </w:tc>
        <w:tc>
          <w:tcPr>
            <w:tcW w:w="140" w:type="dxa"/>
            <w:vAlign w:val="bottom"/>
          </w:tcPr>
          <w:p>
            <w:pPr>
              <w:spacing w:after="0"/>
              <w:rPr>
                <w:sz w:val="16"/>
                <w:szCs w:val="16"/>
                <w:color w:val="auto"/>
              </w:rPr>
            </w:pPr>
          </w:p>
        </w:tc>
        <w:tc>
          <w:tcPr>
            <w:tcW w:w="2000" w:type="dxa"/>
            <w:vAlign w:val="bottom"/>
            <w:gridSpan w:val="4"/>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7"/>
              </w:rPr>
              <w:t>For the Nine Months Ended</w:t>
            </w:r>
          </w:p>
        </w:tc>
      </w:tr>
      <w:tr>
        <w:trPr>
          <w:trHeight w:val="204"/>
        </w:trPr>
        <w:tc>
          <w:tcPr>
            <w:tcW w:w="38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40" w:type="dxa"/>
            <w:vAlign w:val="bottom"/>
          </w:tcPr>
          <w:p>
            <w:pPr>
              <w:spacing w:after="0"/>
              <w:rPr>
                <w:sz w:val="17"/>
                <w:szCs w:val="17"/>
                <w:color w:val="auto"/>
              </w:rPr>
            </w:pPr>
          </w:p>
        </w:tc>
        <w:tc>
          <w:tcPr>
            <w:tcW w:w="200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2"/>
        </w:trPr>
        <w:tc>
          <w:tcPr>
            <w:tcW w:w="38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38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3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230.6</w:t>
            </w:r>
          </w:p>
        </w:tc>
      </w:tr>
      <w:tr>
        <w:trPr>
          <w:trHeight w:val="22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499.6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311.5</w:t>
            </w:r>
          </w:p>
        </w:tc>
      </w:tr>
      <w:tr>
        <w:trPr>
          <w:trHeight w:val="32"/>
        </w:trPr>
        <w:tc>
          <w:tcPr>
            <w:tcW w:w="38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Electrical Transmission</w:t>
            </w:r>
          </w:p>
        </w:tc>
        <w:tc>
          <w:tcPr>
            <w:tcW w:w="3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5.0</w:t>
            </w:r>
          </w:p>
        </w:tc>
      </w:tr>
      <w:tr>
        <w:trPr>
          <w:trHeight w:val="22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24.3</w:t>
            </w:r>
          </w:p>
        </w:tc>
      </w:tr>
      <w:tr>
        <w:trPr>
          <w:trHeight w:val="32"/>
        </w:trPr>
        <w:tc>
          <w:tcPr>
            <w:tcW w:w="38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19.7</w:t>
            </w:r>
          </w:p>
        </w:tc>
      </w:tr>
      <w:tr>
        <w:trPr>
          <w:trHeight w:val="22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32"/>
        </w:trPr>
        <w:tc>
          <w:tcPr>
            <w:tcW w:w="38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8"/>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Consolidated EBITDA</w:t>
            </w:r>
          </w:p>
        </w:tc>
        <w:tc>
          <w:tcPr>
            <w:tcW w:w="3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620.8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516.1</w:t>
            </w:r>
          </w:p>
        </w:tc>
      </w:tr>
      <w:tr>
        <w:trPr>
          <w:trHeight w:val="594"/>
        </w:trPr>
        <w:tc>
          <w:tcPr>
            <w:tcW w:w="3840" w:type="dxa"/>
            <w:vAlign w:val="bottom"/>
          </w:tcPr>
          <w:p>
            <w:pPr>
              <w:spacing w:after="0"/>
              <w:rPr>
                <w:sz w:val="24"/>
                <w:szCs w:val="24"/>
                <w:color w:val="auto"/>
              </w:rPr>
            </w:pPr>
          </w:p>
        </w:tc>
        <w:tc>
          <w:tcPr>
            <w:tcW w:w="3140" w:type="dxa"/>
            <w:vAlign w:val="bottom"/>
          </w:tcPr>
          <w:p>
            <w:pPr>
              <w:jc w:val="right"/>
              <w:ind w:right="1102"/>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For the Three Months Ended</w:t>
            </w:r>
          </w:p>
        </w:tc>
        <w:tc>
          <w:tcPr>
            <w:tcW w:w="140" w:type="dxa"/>
            <w:vAlign w:val="bottom"/>
          </w:tcPr>
          <w:p>
            <w:pPr>
              <w:spacing w:after="0"/>
              <w:rPr>
                <w:sz w:val="16"/>
                <w:szCs w:val="16"/>
                <w:color w:val="auto"/>
              </w:rPr>
            </w:pPr>
          </w:p>
        </w:tc>
        <w:tc>
          <w:tcPr>
            <w:tcW w:w="2000" w:type="dxa"/>
            <w:vAlign w:val="bottom"/>
            <w:gridSpan w:val="4"/>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7"/>
              </w:rPr>
              <w:t>For the Nine Months Ended</w:t>
            </w:r>
          </w:p>
        </w:tc>
      </w:tr>
      <w:tr>
        <w:trPr>
          <w:trHeight w:val="204"/>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40" w:type="dxa"/>
            <w:vAlign w:val="bottom"/>
          </w:tcPr>
          <w:p>
            <w:pPr>
              <w:spacing w:after="0"/>
              <w:rPr>
                <w:sz w:val="17"/>
                <w:szCs w:val="17"/>
                <w:color w:val="auto"/>
              </w:rPr>
            </w:pPr>
          </w:p>
        </w:tc>
        <w:tc>
          <w:tcPr>
            <w:tcW w:w="200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2"/>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20" w:type="dxa"/>
            <w:vAlign w:val="bottom"/>
          </w:tcPr>
          <w:p>
            <w:pPr>
              <w:spacing w:after="0"/>
              <w:rPr>
                <w:sz w:val="19"/>
                <w:szCs w:val="19"/>
                <w:color w:val="auto"/>
              </w:rPr>
            </w:pP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44.4</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82.1</w:t>
            </w:r>
          </w:p>
        </w:tc>
      </w:tr>
      <w:tr>
        <w:trPr>
          <w:trHeight w:val="32"/>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Electrical Transmission</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15.2</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9.9</w:t>
            </w:r>
          </w:p>
        </w:tc>
      </w:tr>
      <w:tr>
        <w:trPr>
          <w:trHeight w:val="32"/>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0.1</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4.8</w:t>
            </w:r>
          </w:p>
        </w:tc>
      </w:tr>
      <w:tr>
        <w:trPr>
          <w:trHeight w:val="32"/>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6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Consolidated 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156.5</w:t>
            </w:r>
          </w:p>
        </w:tc>
      </w:tr>
      <w:tr>
        <w:trPr>
          <w:trHeight w:val="20"/>
        </w:trPr>
        <w:tc>
          <w:tcPr>
            <w:tcW w:w="6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For the Three Months Ended</w:t>
            </w:r>
          </w:p>
        </w:tc>
        <w:tc>
          <w:tcPr>
            <w:tcW w:w="140" w:type="dxa"/>
            <w:vAlign w:val="bottom"/>
          </w:tcPr>
          <w:p>
            <w:pPr>
              <w:spacing w:after="0"/>
              <w:rPr>
                <w:sz w:val="16"/>
                <w:szCs w:val="16"/>
                <w:color w:val="auto"/>
              </w:rPr>
            </w:pPr>
          </w:p>
        </w:tc>
        <w:tc>
          <w:tcPr>
            <w:tcW w:w="2000" w:type="dxa"/>
            <w:vAlign w:val="bottom"/>
            <w:gridSpan w:val="4"/>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7"/>
              </w:rPr>
              <w:t>For the Nine Months Ended</w:t>
            </w:r>
          </w:p>
        </w:tc>
      </w:tr>
      <w:tr>
        <w:trPr>
          <w:trHeight w:val="204"/>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40" w:type="dxa"/>
            <w:vAlign w:val="bottom"/>
          </w:tcPr>
          <w:p>
            <w:pPr>
              <w:spacing w:after="0"/>
              <w:rPr>
                <w:sz w:val="17"/>
                <w:szCs w:val="17"/>
                <w:color w:val="auto"/>
              </w:rPr>
            </w:pPr>
          </w:p>
        </w:tc>
        <w:tc>
          <w:tcPr>
            <w:tcW w:w="200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2"/>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120" w:type="dxa"/>
            <w:vAlign w:val="bottom"/>
          </w:tcPr>
          <w:p>
            <w:pPr>
              <w:spacing w:after="0"/>
              <w:rPr>
                <w:sz w:val="19"/>
                <w:szCs w:val="19"/>
                <w:color w:val="auto"/>
              </w:rPr>
            </w:pP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173.4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145.6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388.5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299.4</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2"/>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6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60.2</w:t>
            </w:r>
          </w:p>
        </w:tc>
      </w:tr>
      <w:tr>
        <w:trPr>
          <w:trHeight w:val="227"/>
        </w:trPr>
        <w:tc>
          <w:tcPr>
            <w:tcW w:w="6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156.5</w:t>
            </w:r>
          </w:p>
        </w:tc>
      </w:tr>
      <w:tr>
        <w:trPr>
          <w:trHeight w:val="32"/>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EBITDA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247.9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222.8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620.8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516.1</w:t>
            </w:r>
          </w:p>
        </w:tc>
      </w:tr>
      <w:tr>
        <w:trPr>
          <w:trHeight w:val="20"/>
        </w:trPr>
        <w:tc>
          <w:tcPr>
            <w:tcW w:w="6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346" w:lineRule="exact"/>
        <w:rPr>
          <w:sz w:val="20"/>
          <w:szCs w:val="20"/>
          <w:color w:val="auto"/>
        </w:rPr>
      </w:pPr>
    </w:p>
    <w:p>
      <w:pPr>
        <w:jc w:val="both"/>
        <w:ind w:firstLine="620"/>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Foreign Operations. </w:t>
      </w:r>
      <w:r>
        <w:rPr>
          <w:rFonts w:ascii="Times New Roman" w:cs="Times New Roman" w:eastAsia="Times New Roman" w:hAnsi="Times New Roman"/>
          <w:sz w:val="16"/>
          <w:szCs w:val="16"/>
          <w:color w:val="auto"/>
        </w:rPr>
        <w:t>MasTec operates in North America, primarily in the United States and Canada, and, to a lesser extent, in Mexico. For the three month periods 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September 30, 2019 and 2018, revenue of $2.0 billion and $1.9 billion, respectively, was derived from U.S. operations, and revenue of $64.1 million and $41.4 million, respectively, was derived from foreign operations. For the nine month periods ended September 30, 2019 and 2018, revenue of $5.3 billion and $4.9 billion, respectively, was derived from U.S. operations, and revenue of $191.0 million and $101.9 million, respectively, was derived from foreign operations. The majority of the Company’s revenue from foreign operations for the three and nine month periods ended September 30, 2019 and 2018 was from the Company’s Canadian operations in its Oil and Gas segment, and, to a lesser extent, from the Company’s wireless operations in Mexico. Long-lived assets held in the U.S. included property and equipment, net, of $831.1 million and $707.4 million as of September 30, 2019 and December 31, 2018, respectively, and, for the Company’s businesses in foreign countries, totaled $31.8 million and $40.4 million, respectively. Intangible assets and goodwill, net, related to the Company’s U.S. operations totaled approximately $1.3 billion and $1.2 billion as of September 30, 2019 and December 31, 2018, respectively, and for the Company’s businesses in foreign countries, totaled approximately $62.1 million and $61.5 million as of September 30, 2019 and December 31, 2018, respectively. The majority of the Company’s long-lived and intangible assets and goodwill in foreign countries relate to its Canadian operations. As of both September 30, 2019 and December 31, 2018, amounts due from customers from which foreign revenue was derived accounted for approximately 5% of the Company’s consolidated net accounts receivable position, which represents accounts receivable, net, less BIEC.</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Significant Customers</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Revenue concentration information for significant customers as a percentage of total consolidated revenue was as follows:</w:t>
      </w: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194"/>
        </w:trPr>
        <w:tc>
          <w:tcPr>
            <w:tcW w:w="6440" w:type="dxa"/>
            <w:vAlign w:val="bottom"/>
          </w:tcPr>
          <w:p>
            <w:pPr>
              <w:spacing w:after="0"/>
              <w:rPr>
                <w:sz w:val="16"/>
                <w:szCs w:val="16"/>
                <w:color w:val="auto"/>
              </w:rPr>
            </w:pPr>
          </w:p>
        </w:tc>
        <w:tc>
          <w:tcPr>
            <w:tcW w:w="24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 the Three Months Ended</w:t>
            </w: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For the Nine Months Ended</w:t>
            </w:r>
          </w:p>
        </w:tc>
      </w:tr>
      <w:tr>
        <w:trPr>
          <w:trHeight w:val="204"/>
        </w:trPr>
        <w:tc>
          <w:tcPr>
            <w:tcW w:w="6440" w:type="dxa"/>
            <w:vAlign w:val="bottom"/>
          </w:tcPr>
          <w:p>
            <w:pPr>
              <w:spacing w:after="0"/>
              <w:rPr>
                <w:sz w:val="17"/>
                <w:szCs w:val="17"/>
                <w:color w:val="auto"/>
              </w:rPr>
            </w:pPr>
          </w:p>
        </w:tc>
        <w:tc>
          <w:tcPr>
            <w:tcW w:w="24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r>
      <w:tr>
        <w:trPr>
          <w:trHeight w:val="32"/>
        </w:trPr>
        <w:tc>
          <w:tcPr>
            <w:tcW w:w="64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2018</w:t>
            </w:r>
          </w:p>
        </w:tc>
      </w:tr>
      <w:tr>
        <w:trPr>
          <w:trHeight w:val="32"/>
        </w:trPr>
        <w:tc>
          <w:tcPr>
            <w:tcW w:w="6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AT&amp;T (including DIRECTV</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0"/>
                <w:szCs w:val="20"/>
                <w:color w:val="auto"/>
                <w:vertAlign w:val="superscript"/>
              </w:rPr>
              <w:t>(a)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24%</w:t>
            </w:r>
          </w:p>
        </w:tc>
      </w:tr>
      <w:tr>
        <w:trPr>
          <w:trHeight w:val="258"/>
        </w:trPr>
        <w:tc>
          <w:tcPr>
            <w:tcW w:w="6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Equitrans Midstream Corporation/EQT Corporation </w:t>
            </w:r>
            <w:r>
              <w:rPr>
                <w:rFonts w:ascii="Times New Roman" w:cs="Times New Roman" w:eastAsia="Times New Roman" w:hAnsi="Times New Roman"/>
                <w:sz w:val="20"/>
                <w:szCs w:val="20"/>
                <w:color w:val="auto"/>
                <w:vertAlign w:val="superscript"/>
              </w:rPr>
              <w:t>(b)</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17%</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18%</w:t>
            </w:r>
          </w:p>
        </w:tc>
      </w:tr>
      <w:tr>
        <w:trPr>
          <w:trHeight w:val="258"/>
        </w:trPr>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ml:space="preserve">Energy Transfer affiliates </w:t>
            </w:r>
            <w:r>
              <w:rPr>
                <w:rFonts w:ascii="Times New Roman" w:cs="Times New Roman" w:eastAsia="Times New Roman" w:hAnsi="Times New Roman"/>
                <w:sz w:val="20"/>
                <w:szCs w:val="20"/>
                <w:color w:val="auto"/>
                <w:vertAlign w:val="superscript"/>
              </w:rPr>
              <w:t>(c)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17%</w:t>
            </w:r>
          </w:p>
        </w:tc>
      </w:tr>
    </w:tbl>
    <w:p>
      <w:pPr>
        <w:spacing w:after="0" w:line="251" w:lineRule="exact"/>
        <w:rPr>
          <w:sz w:val="20"/>
          <w:szCs w:val="20"/>
          <w:color w:val="auto"/>
        </w:rPr>
      </w:pPr>
    </w:p>
    <w:p>
      <w:pPr>
        <w:jc w:val="both"/>
        <w:ind w:left="320" w:hanging="317"/>
        <w:spacing w:after="0" w:line="235" w:lineRule="auto"/>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business; (ii) wireline/fiber businesses; and (iii) various install-to-the-home businesses, including DIRECTV</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Revenue from AT&amp;T is included in the Communications segment.</w:t>
      </w:r>
    </w:p>
    <w:p>
      <w:pPr>
        <w:spacing w:after="0" w:line="15" w:lineRule="exact"/>
        <w:rPr>
          <w:rFonts w:ascii="Times New Roman" w:cs="Times New Roman" w:eastAsia="Times New Roman" w:hAnsi="Times New Roman"/>
          <w:sz w:val="14"/>
          <w:szCs w:val="14"/>
          <w:color w:val="auto"/>
        </w:rPr>
      </w:pPr>
    </w:p>
    <w:p>
      <w:pPr>
        <w:ind w:left="320" w:hanging="317"/>
        <w:spacing w:after="0" w:line="250" w:lineRule="auto"/>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relationship with Equitrans Midstream Corporation and its affiliates, which was spun off from EQT Corporation and its affiliates in 2018, is based upon various construction contracts for pipeline activities, for which the related revenue is included in the Oil and Gas segment.</w:t>
      </w:r>
    </w:p>
    <w:p>
      <w:pPr>
        <w:ind w:left="320" w:hanging="317"/>
        <w:spacing w:after="0" w:line="276" w:lineRule="auto"/>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relationship with Energy Transfer affiliates is based upon various construction contracts for pipeline activities with Energy Transfer Operating, L.P., and its subsidiaries and affiliates, all of which are consolidated by Energy Transfer L.P. Revenue from Energy Transfer affiliates is included in the Oil and Gas segment.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Commitments and Contingencies</w:t>
      </w:r>
    </w:p>
    <w:p>
      <w:pPr>
        <w:spacing w:after="0" w:line="208"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w:t>
      </w:r>
    </w:p>
    <w:p>
      <w:pPr>
        <w:sectPr>
          <w:pgSz w:w="11900" w:h="16838" w:orient="portrait"/>
          <w:cols w:equalWidth="0" w:num="1">
            <w:col w:w="11420"/>
          </w:cols>
          <w:pgMar w:left="240" w:top="666"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420"/>
          </w:cols>
          <w:pgMar w:left="240" w:top="666" w:right="239" w:bottom="1440" w:gutter="0" w:footer="0" w:header="0"/>
          <w:type w:val="continuous"/>
        </w:sectPr>
      </w:pPr>
    </w:p>
    <w:bookmarkStart w:id="22" w:name="page23"/>
    <w:bookmarkEnd w:id="22"/>
    <w:p>
      <w:pPr>
        <w:jc w:val="both"/>
        <w:spacing w:after="0" w:line="270" w:lineRule="auto"/>
        <w:rPr>
          <w:sz w:val="20"/>
          <w:szCs w:val="20"/>
          <w:color w:val="auto"/>
        </w:rPr>
      </w:pPr>
      <w:r>
        <w:rPr>
          <w:rFonts w:ascii="Times New Roman" w:cs="Times New Roman" w:eastAsia="Times New Roman" w:hAnsi="Times New Roman"/>
          <w:sz w:val="16"/>
          <w:szCs w:val="16"/>
          <w:color w:val="auto"/>
        </w:rPr>
        <w:t>predicted with certainty and an unfavorable resolution of one or more of them could have a material adverse effect on the Company’s business, financial condition, results of operations and cash flows. In the second quarter of 2019, an arbitration award related to a Canadian acquisition was finalized (the “Award”) for approximately $60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including recovery of certain legal and other costs, in favor of MasTec. During the second quarter of 2019, MasTec collected $32 million of this award, including approximately $16 million for recovery of legal fees and $5 million for recovery of interest costs. While the Company is actively pursuing collection efforts related to the remaining amount of the Award, collectibility is uncertain, and as such, this amount has not been recognized in the Company’s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Commitments and Contingencies</w:t>
      </w:r>
    </w:p>
    <w:p>
      <w:pPr>
        <w:spacing w:after="0" w:line="10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Leases. </w:t>
      </w: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 including related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leases. See Note 8 - Lease Obligations and Note 15 - Related Party Transactions.</w:t>
      </w:r>
    </w:p>
    <w:p>
      <w:pPr>
        <w:spacing w:after="0" w:line="63" w:lineRule="exact"/>
        <w:rPr>
          <w:sz w:val="20"/>
          <w:szCs w:val="20"/>
          <w:color w:val="auto"/>
        </w:rPr>
      </w:pPr>
    </w:p>
    <w:p>
      <w:pPr>
        <w:jc w:val="both"/>
        <w:ind w:firstLine="620"/>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Letters of Credit. </w:t>
      </w:r>
      <w:r>
        <w:rPr>
          <w:rFonts w:ascii="Times New Roman" w:cs="Times New Roman" w:eastAsia="Times New Roman" w:hAnsi="Times New Roman"/>
          <w:sz w:val="14"/>
          <w:szCs w:val="14"/>
          <w:color w:val="auto"/>
        </w:rPr>
        <w:t>In the ordinary course of business, the Company is required to post letters of credit for its insurance carriers, surety bond providers and in support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September 30, 2019 and December 31, 2018, there were $142.4 million and $128.4 million, respectively, of letters of credit issued under the Company’s credit facilities. The Company is not aware of any material claims relating to its outstanding letters of credit as of September 30, 2019 or December 31, 2018.</w:t>
      </w:r>
    </w:p>
    <w:p>
      <w:pPr>
        <w:spacing w:after="0" w:line="54"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Performance and Payment Bonds. </w:t>
      </w:r>
      <w:r>
        <w:rPr>
          <w:rFonts w:ascii="Times New Roman" w:cs="Times New Roman" w:eastAsia="Times New Roman" w:hAnsi="Times New Roman"/>
          <w:sz w:val="16"/>
          <w:szCs w:val="16"/>
          <w:color w:val="auto"/>
        </w:rPr>
        <w:t>In the ordinary course of business, MasTec is required by certain customers to provide performance and payment bonds for contractual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September 30, 2019 and December 31, 2018, outstanding performance and payment bonds approximated $430.3 million and $123.6 million, respectively, and estimated costs to complete projects secured by these bonds totaled $178.0 million and $53.0 million as of September 30, 2019 and December 31, 2018, respectively.</w:t>
      </w:r>
    </w:p>
    <w:p>
      <w:pPr>
        <w:spacing w:after="0" w:line="80" w:lineRule="exact"/>
        <w:rPr>
          <w:sz w:val="20"/>
          <w:szCs w:val="20"/>
          <w:color w:val="auto"/>
        </w:rPr>
      </w:pPr>
    </w:p>
    <w:p>
      <w:pPr>
        <w:jc w:val="both"/>
        <w:ind w:firstLine="620"/>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Investment Arrangements. </w:t>
      </w:r>
      <w:r>
        <w:rPr>
          <w:rFonts w:ascii="Times New Roman" w:cs="Times New Roman" w:eastAsia="Times New Roman" w:hAnsi="Times New Roman"/>
          <w:sz w:val="16"/>
          <w:szCs w:val="16"/>
          <w:color w:val="auto"/>
        </w:rPr>
        <w:t>From time to time, the Company may participate in selected investment or strategic arrangements to expand its operations, customer base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geographic reach, including arrangements that combine the Company’s skills and resources with those of others to allow for the performance of particular projects. The Company holds undivided interests, ranging from 85% to 90%, in multiple proportionately consolidated non-controlled contractual joint ventures that provide infrastructure construction services for electrical transmission projects. The Company also holds a 35% undivided interest in a proportionately consolidated non-controlled Canadian contractual joint venture that was underway when the Company acquired Pacer in 2014, whose sole activity was the construction of a bridge, a business in which the Company does not otherwise engage. This joint venture, which is managed by a third party, and for which the Company has minimal direct construction involvement, automatically terminates upon completion of the project.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September 30, 2019, the Company was not aware of circumstances that would reasonably lead to material future claims against it in connection with these arrangements. Included in the Company’s cash balances as of September 30, 2019 and December 31, 2018 are amounts held by entities that are proportionately consolidated totaling $20.3 million and $11.8 million, respectively. These amounts are available to support the operations of those entities, but are not available for the Company’s other operations.</w:t>
      </w:r>
    </w:p>
    <w:p>
      <w:pPr>
        <w:spacing w:after="0" w:line="8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The Company has other investment arrangements, under which it may incur costs or provide financing, performance, financial and/or other guarantees. See Note 4 - Fair Value of Financial Instruments and Note 15 - Related Party Transactions for additional details regarding the Company’s other investment arrangements.</w:t>
      </w:r>
    </w:p>
    <w:p>
      <w:pPr>
        <w:spacing w:after="0" w:line="67"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Self-Insurance. </w:t>
      </w:r>
      <w:r>
        <w:rPr>
          <w:rFonts w:ascii="Times New Roman" w:cs="Times New Roman" w:eastAsia="Times New Roman" w:hAnsi="Times New Roman"/>
          <w:sz w:val="16"/>
          <w:szCs w:val="16"/>
          <w:color w:val="auto"/>
        </w:rPr>
        <w:t>MasTec maintains insurance policies for workers’ compensation, general liability and automobile liability, which are subject to per claim deductibles.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is self-insured up to the amount of the deductible. The Company also maintains excess umbrella coverage. As of September 30, 2019 and December 31, 2018, MasTec’s liability for unpaid claims and associated expenses, including incurred but not reported losses related to these policies, totaled $119.7 million and $108.9 million, respectively, of which $78.5 million and $70.8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$4.8 million and $2.9 million as of September 30, 2019 and December 31, 2018, respectively.</w:t>
      </w:r>
    </w:p>
    <w:p>
      <w:pPr>
        <w:spacing w:after="0" w:line="84" w:lineRule="exact"/>
        <w:rPr>
          <w:sz w:val="20"/>
          <w:szCs w:val="20"/>
          <w:color w:val="auto"/>
        </w:rPr>
      </w:pPr>
    </w:p>
    <w:p>
      <w:pPr>
        <w:jc w:val="both"/>
        <w:ind w:firstLine="620"/>
        <w:spacing w:after="0" w:line="289" w:lineRule="auto"/>
        <w:rPr>
          <w:sz w:val="20"/>
          <w:szCs w:val="20"/>
          <w:color w:val="auto"/>
        </w:rPr>
      </w:pPr>
      <w:r>
        <w:rPr>
          <w:rFonts w:ascii="Times New Roman" w:cs="Times New Roman" w:eastAsia="Times New Roman" w:hAnsi="Times New Roman"/>
          <w:sz w:val="14"/>
          <w:szCs w:val="14"/>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$67.6 million as of both September 30, 2019 and December 31, 2018. Outstanding surety bonds related to self-insurance programs amounted to $38.5 million and $34.8 million as of September 30, 2019 and December 31, 2018. In addition, cash collateral deposited with insurance carriers, which is included within other long-term assets, amounted to $1.6 million for these policies as of both September 30, 2019 and December 31, 2018.</w:t>
      </w:r>
    </w:p>
    <w:p>
      <w:pPr>
        <w:spacing w:after="0" w:line="47"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Employment Agreements. </w:t>
      </w:r>
      <w:r>
        <w:rPr>
          <w:rFonts w:ascii="Times New Roman" w:cs="Times New Roman" w:eastAsia="Times New Roman" w:hAnsi="Times New Roman"/>
          <w:sz w:val="16"/>
          <w:szCs w:val="16"/>
          <w:color w:val="auto"/>
        </w:rPr>
        <w:t>The Company has employment agreements with certain executives and other employees, which provide for compensation and certain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related employees, which vary with the level of the employees’ respective responsibility.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420"/>
          </w:cols>
          <w:pgMar w:left="240" w:top="631" w:right="239" w:bottom="1440" w:gutter="0" w:footer="0" w:header="0"/>
        </w:sectPr>
      </w:pPr>
    </w:p>
    <w:bookmarkStart w:id="23" w:name="page24"/>
    <w:bookmarkEnd w:id="23"/>
    <w:p>
      <w:pPr>
        <w:jc w:val="both"/>
        <w:ind w:firstLine="620"/>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Collective Bargaining Agreements and Multiemployer Plans. </w:t>
      </w:r>
      <w:r>
        <w:rPr>
          <w:rFonts w:ascii="Times New Roman" w:cs="Times New Roman" w:eastAsia="Times New Roman" w:hAnsi="Times New Roman"/>
          <w:sz w:val="16"/>
          <w:szCs w:val="16"/>
          <w:color w:val="auto"/>
        </w:rPr>
        <w:t>As discussed in Note 10 - Other Retirement Plans, certain of MasTec’s subsidiaries are party to various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multiemployer pension plans, subjects employers to substantial liabilities in the event of an employer’s complete or partial withdrawal from, or upon termination of, such plans. The Company currently contributes, and in the past, has contributed to, plans that are underfunded, and, therefore, could have potential liability associated with a voluntary or involuntary withdrawal from, or termination of, these plans. As of September 30, 2019,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The amount the Company could be obligated to pay or contribute in the future cannot be estimated, as these amounts are based on future levels of work of the union employees covered by these plans, investment returns and the level of underfunding of such plans.</w:t>
      </w:r>
    </w:p>
    <w:p>
      <w:pPr>
        <w:spacing w:after="0" w:line="88"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Indemnities. </w:t>
      </w:r>
      <w:r>
        <w:rPr>
          <w:rFonts w:ascii="Times New Roman" w:cs="Times New Roman" w:eastAsia="Times New Roman" w:hAnsi="Times New Roman"/>
          <w:sz w:val="16"/>
          <w:szCs w:val="16"/>
          <w:color w:val="auto"/>
        </w:rPr>
        <w:t>The Company generally indemnifies its customers for the services it provides under its contracts, as well as other specified liabilities, which may subject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to indemnity claims, liabilities and related litigation. As of September 30, 2019 and December 31, 2018, the Company was not aware of any material asserted or unasserted claims in connection with these indemnity obligations.</w:t>
      </w:r>
    </w:p>
    <w:p>
      <w:pPr>
        <w:spacing w:after="0" w:line="73"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Other Guarantees. </w:t>
      </w:r>
      <w:r>
        <w:rPr>
          <w:rFonts w:ascii="Times New Roman" w:cs="Times New Roman" w:eastAsia="Times New Roman" w:hAnsi="Times New Roman"/>
          <w:sz w:val="16"/>
          <w:szCs w:val="16"/>
          <w:color w:val="auto"/>
        </w:rPr>
        <w:t>In the ordinary course of its business, from time to time, MasTec guarantees the obligations of its subsidiaries, including obligations under certain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for a one to two year period following substantial completion of a project. Much of the work performed by the Company is evaluated for defects shortly after the work is completed. Warranty claims have historically not been material.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80"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b w:val="1"/>
          <w:bCs w:val="1"/>
          <w:color w:val="auto"/>
        </w:rPr>
        <w:t xml:space="preserve">Concentrations of Risk. </w:t>
      </w:r>
      <w:r>
        <w:rPr>
          <w:rFonts w:ascii="Times New Roman" w:cs="Times New Roman" w:eastAsia="Times New Roman" w:hAnsi="Times New Roman"/>
          <w:sz w:val="16"/>
          <w:szCs w:val="16"/>
          <w:color w:val="auto"/>
        </w:rPr>
        <w:t>The Company had approximately 415 customers for the nine month period ended September 30, 2019. As of September 30, 2019, four customers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accounted for approximately 14%, 12%, 12% and 11%, respectively, of the Company’s consolidated net accounts receivable position, which represents accounts receivable, net, less BIEC. As of December 31, 2018, three customers each accounted for approximately 26%, 18% and 12%, respectively, of the Company’s consolidated net accounts receivable position. In addition, the Company derived 65% and 76%, respectively, of its revenue from its top ten customers for the three month periods ended September 30, 2019 and 2018, and derived 63% and 73% of its revenue, respectively, from its top ten customers for the nine month periods ended September 30, 2019 and 2018.</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Related Party Transactions</w:t>
      </w:r>
    </w:p>
    <w:p>
      <w:pPr>
        <w:spacing w:after="0" w:line="208" w:lineRule="exact"/>
        <w:rPr>
          <w:sz w:val="20"/>
          <w:szCs w:val="20"/>
          <w:color w:val="auto"/>
        </w:rPr>
      </w:pPr>
    </w:p>
    <w:p>
      <w:pPr>
        <w:jc w:val="both"/>
        <w:ind w:firstLine="620"/>
        <w:spacing w:after="0" w:line="277" w:lineRule="auto"/>
        <w:rPr>
          <w:sz w:val="20"/>
          <w:szCs w:val="20"/>
          <w:color w:val="auto"/>
        </w:rPr>
      </w:pPr>
      <w:r>
        <w:rPr>
          <w:rFonts w:ascii="Times New Roman" w:cs="Times New Roman" w:eastAsia="Times New Roman" w:hAnsi="Times New Roman"/>
          <w:sz w:val="14"/>
          <w:szCs w:val="14"/>
          <w:color w:val="auto"/>
        </w:rPr>
        <w:t>MasTec purchases, rents and leases equipment and purchases various types of supplies and services used in its business, including ancillary construction services, project-related site restoration and marketing and business development activities from a number of different vendors on a non-exclusive basis, and from time to time, rents equipment to, or performs construction services on behalf of, entities that are associated with members of subsidiary management. For the three month periods ended September 30, 2019 and 2018, such payments to related party entities totaled $25.5 million and $34.2 million, respectively, and for the nine month periods ended September 30, 2019 and 2018, totaled approximately $71.8 million and $65.9 million, respectively. Payables associated with these related party arrangements totaled approximately $20.3 million and $17.3 million as of September 30, 2019 and December 31, 2018, respectively. Revenue from related party arrangements associated with members of subsidiary management totaled approximately $0.7 million and $3.2 million for the three month periods ended September 30, 2019 and 2018, respectively, and totaled $1.6 million and $9.4 million for the nine month periods ended September 30, 2019 and 2018, respectively. As of September 30, 2019 and December 31, 2018, related amounts receivable, net, totaled approximately $0.1 million and $0.3 million, respectively.</w:t>
      </w:r>
    </w:p>
    <w:p>
      <w:pPr>
        <w:spacing w:after="0" w:line="6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Non-controlling interests in entities consolidated by the Company represent ownership interests held by members of management of certain of the Company’s subsidiaries, primarily in the Company’s Oil and Gas segment. The Company has subcontracting arrangements with one of these entities for the performance of ancillary oil and gas construction services.</w:t>
      </w:r>
    </w:p>
    <w:p>
      <w:pPr>
        <w:spacing w:after="0" w:line="80"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color w:val="auto"/>
        </w:rPr>
        <w:t>In February 2018, MasTec acquired a construction management firm specializing in steel building systems, of which Juan Carlos Mas, who is the brother of Jorge Mas, Chairman of MasTec’s Board of Directors, and José R. Mas, MasTec’s Chief Executive Officer, was a minority owner, for approximately $6.1 million in cash and an estimated earn-out liability of approximately $1.4 million, net, as adjusted. The net assets acquired included notes payable to the former owners totaling approximately $2.6 million and accrued interest of approximately $0.1 million, which amounts were subsequently repaid. Amounts outstanding for advances made by the Company on behalf of this entity totaled approximately $0.4 million, net, and $1.0 million as of September 30, 2019 and December 31, 2018, respectively, which amount is expected to be settled under customary terms associated with the related purchase agreement.</w:t>
      </w:r>
    </w:p>
    <w:p>
      <w:pPr>
        <w:spacing w:after="0" w:line="85"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The Company rents and leases equipment and purchases equipment supplies and servicing from CCI, in which it has a 15% equity investment. Juan Carlos Mas serves as the chairman of CCI, and a member of management of a MasTec subsidiary is a minority owner. For the three month periods ended September 30, 2019 and 2018, MasTec paid CCI approximately $7.7 million and $9.0 million, net of rebates, respectively, and for the nine month periods ended September 30, 2019 and 2018, paid approximately $23.6 million and $19.9 million, net of rebates, respectively, related to these arrangements. Amounts payable to CCI, net of rebates receivable, totaled approximately $12.3 million as of September 30, 2019. As of December 31, 2018, amounts payable totaled $4.9 million, and rebates receivable totaled $2.9 million.</w:t>
      </w:r>
    </w:p>
    <w:p>
      <w:pPr>
        <w:spacing w:after="0" w:line="84" w:lineRule="exact"/>
        <w:rPr>
          <w:sz w:val="20"/>
          <w:szCs w:val="20"/>
          <w:color w:val="auto"/>
        </w:rPr>
      </w:pPr>
    </w:p>
    <w:p>
      <w:pPr>
        <w:jc w:val="both"/>
        <w:ind w:firstLine="620"/>
        <w:spacing w:after="0" w:line="289" w:lineRule="auto"/>
        <w:rPr>
          <w:sz w:val="20"/>
          <w:szCs w:val="20"/>
          <w:color w:val="auto"/>
        </w:rPr>
      </w:pPr>
      <w:r>
        <w:rPr>
          <w:rFonts w:ascii="Times New Roman" w:cs="Times New Roman" w:eastAsia="Times New Roman" w:hAnsi="Times New Roman"/>
          <w:sz w:val="14"/>
          <w:szCs w:val="14"/>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September 30, 2019 and 2018, MasTec incurred subcontracting expenses of approximately $3.1 million and $1.1 million, respectively, and for the nine month periods ended September 30, 2019 and 2018, incurred approximately $9.3 million and $7.8 million, respectively. As of September 30, 2019 and December 31, 2018, related amounts payable totaled approximately $3.2 million and $0.4 million,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420"/>
          </w:cols>
          <w:pgMar w:left="240" w:top="614" w:right="239" w:bottom="1440" w:gutter="0" w:footer="0" w:header="0"/>
        </w:sectPr>
      </w:pPr>
    </w:p>
    <w:bookmarkStart w:id="24" w:name="page25"/>
    <w:bookmarkEnd w:id="24"/>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MasTec has a leasing arrangement for an aircraft that is owned by an entity that Jorge Mas owns. For the three month periods ended September 30, 2019 and 2018, MasTec paid approximately $0.6 million and $0.9 million, respectively, related to this leasing arrangement, and for both the nine month periods ended September 30, 2019 and 2018, paid approximately $2.0 million.</w:t>
      </w:r>
    </w:p>
    <w:p>
      <w:pPr>
        <w:spacing w:after="0" w:line="80"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MasTec has arrangements to perform construction services on a cost-plus basis on behalf of a Miami soccer franchise (the “Franchise”) in which Jorge Mas and José R. Mas are minority owners. These arrangements include the construction of a soccer facility and stadium. For the three and nine month periods ended September 30, 2019, MasTec charged approximately $5.2 million and $7.4 million, respectively, under these arrangements, of which $4.6 million was outstanding as of September 30, 2019.</w:t>
      </w:r>
    </w:p>
    <w:p>
      <w:pPr>
        <w:spacing w:after="0" w:line="80"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color w:val="auto"/>
        </w:rPr>
        <w:t>MasTec leases employees and provides satellite communications services to a customer in which Jorge Mas and José R. Mas own a majority interest. For the three month periods ended September 30, 2019 and 2018, MasTec charged approximately $0.3 million and $0.4 million, respectively, to this customer, and for the nine month periods ended September 30, 2019 and 2018, charged $1.1 million and $1.3 million, respectively. As of September 30, 2019 and December 31, 2018, outstanding receivables related to these arrangements totaled approximately $0.7 million and $0.6 million, respectively.</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Split Dollar Agreements</w:t>
      </w:r>
    </w:p>
    <w:p>
      <w:pPr>
        <w:spacing w:after="0" w:line="104"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The Company has split dollar life insurance agreements with trusts, of which Jorge Mas or José R. Mas is a trustee. For both the three month periods ended September 30, 2019 and 2018, the Company paid $0.6 million in connection with the split dollar agreements for Jorge Mas, and no payments were made for José R. Mas. For both the nine month periods ended September 30, 2019 and 2018, the Company paid $1.1 million in connection with the split dollar agreements for Jorge Mas. and paid $0.7 million for both the nine month periods ended September 30, 2019 and 2018 for José R. Mas. As of September 30, 2019 and December 31, 2018, life insurance assets associated with these agreements totaled approximately $20.3 million and $18.5 million, respectively.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420"/>
          </w:cols>
          <w:pgMar w:left="240" w:top="61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Note 16 – Supplemental Guarantor Condensed Consolidating Financial Information</w:t>
      </w:r>
    </w:p>
    <w:p>
      <w:pPr>
        <w:spacing w:after="0" w:line="208"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4"/>
          <w:szCs w:val="14"/>
          <w:color w:val="auto"/>
        </w:rPr>
        <w:t>The 4.875% Senior Notes are fully and unconditionally guaranteed on an unsecured, unsubordinated, joint and several basis by certain of the Company’s existing and future 100%-owned direct and indirect domestic subsidiaries that are, as of September 30, 2019, each guarantors of the Credit Facility or other outstanding indebtedness (the “Guarantor Subsidiaries”). The Company’s subsidiaries organized outside of the United States and certain domestic subsidiaries (collectively, the “Non-Guarantor Subsidiaries”) do not guarantee these notes. A Guarantor Subsidiary’s guarantee is subject to release in certain customary circumstances, including upon the sale of a majority of the capital stock or substantially all of the assets of such Guarantor Subsidiary; if the Guarantor Subsidiary’s guarantee under the Company’s Credit Facility and other indebtedness is released or discharged (other than due to payment under such guarantee); or when the requirements for legal defeasance are satisfied or the obligations are discharged in accordance with the related indentures.</w:t>
      </w:r>
    </w:p>
    <w:p>
      <w:pPr>
        <w:spacing w:after="0" w:line="161"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The following supplemental financial information sets forth the condensed consolidating balance sheets and the condensed consolidating statements of operations and comprehensive income (loss) and cash flows for MasTec, Inc., the Guarantor Subsidiaries on a combined basis, the Non-Guarantor Subsidiaries on a combined basis and the eliminations necessary to arrive at the information for the Company as reported on a consolidated basis. Eliminations represent adjustments to eliminate investments in subsidiaries and intercompany balances and transactions between or among MasTec, Inc., the Guarantor Subsidiaries and the Non-Guarantor Subsidiaries. Investments in subsidiaries are accounted for using the equity method for this presentation.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CONDENSED CONSOLIDATING STATEMENTS OF OPERATIONS AND COMPREHENSIVE INCOME (LOSS) (unaudited -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7"/>
              </w:rPr>
              <w:t>Consolidated</w:t>
            </w:r>
          </w:p>
        </w:tc>
      </w:tr>
      <w:tr>
        <w:trPr>
          <w:trHeight w:val="196"/>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For the Three Months Ended September 30, 2019</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98"/>
              </w:rPr>
              <w:t>MasTec, Inc.</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6"/>
              </w:rPr>
              <w:t>MasTec, Inc.</w:t>
            </w: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1,916.8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126.4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2,016.6</w:t>
            </w:r>
          </w:p>
        </w:tc>
      </w:tr>
      <w:tr>
        <w:trPr>
          <w:trHeight w:val="25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Costs of revenue, excluding depreciation and amortization</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1,609.2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1,690.6</w:t>
            </w:r>
          </w:p>
        </w:tc>
      </w:tr>
      <w:tr>
        <w:trPr>
          <w:trHeight w:val="26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55.2</w:t>
            </w:r>
          </w:p>
        </w:tc>
      </w:tr>
      <w:tr>
        <w:trPr>
          <w:trHeight w:val="25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40" w:type="dxa"/>
            <w:vAlign w:val="bottom"/>
          </w:tcPr>
          <w:p>
            <w:pPr>
              <w:spacing w:after="0"/>
              <w:rPr>
                <w:sz w:val="22"/>
                <w:szCs w:val="22"/>
                <w:color w:val="auto"/>
              </w:rPr>
            </w:pP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77.1</w:t>
            </w:r>
          </w:p>
        </w:tc>
      </w:tr>
      <w:tr>
        <w:trPr>
          <w:trHeight w:val="26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19.3</w:t>
            </w:r>
          </w:p>
        </w:tc>
      </w:tr>
      <w:tr>
        <w:trPr>
          <w:trHeight w:val="25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in earnings of unconsolidated affiliates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expense (income), net</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8.0</w:t>
            </w:r>
          </w:p>
        </w:tc>
      </w:tr>
      <w:tr>
        <w:trPr>
          <w:trHeight w:val="238"/>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(Loss) 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139.6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34.6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173.4</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w:t>
            </w:r>
          </w:p>
        </w:tc>
      </w:tr>
      <w:tr>
        <w:trPr>
          <w:trHeight w:val="238"/>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100.5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30.2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130.1</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 income from subsidiaries, net of tax</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128.6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100.5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30.2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(129.2)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130.1</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attributable to non-controlling interests</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1.5</w:t>
            </w:r>
          </w:p>
        </w:tc>
      </w:tr>
      <w:tr>
        <w:trPr>
          <w:trHeight w:val="238"/>
        </w:trPr>
        <w:tc>
          <w:tcPr>
            <w:tcW w:w="5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128.6</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100.5</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28.7</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(129.2)</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128.6</w:t>
            </w:r>
          </w:p>
        </w:tc>
      </w:tr>
      <w:tr>
        <w:trPr>
          <w:trHeight w:val="23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121.2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100.5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22.7</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(121.7)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122.6</w:t>
            </w: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7"/>
              </w:rPr>
              <w:t>Consolidated</w:t>
            </w:r>
          </w:p>
        </w:tc>
      </w:tr>
      <w:tr>
        <w:trPr>
          <w:trHeight w:val="196"/>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For the Three Months Ended September 30,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98"/>
              </w:rPr>
              <w:t>MasTec, Inc.</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6"/>
              </w:rPr>
              <w:t>MasTec, Inc.</w:t>
            </w: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1,894.5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(19.6)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1,977.2</w:t>
            </w:r>
          </w:p>
        </w:tc>
      </w:tr>
      <w:tr>
        <w:trPr>
          <w:trHeight w:val="25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Costs of revenue, excluding depreciation and amortization</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1,603.0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98.0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1,681.4</w:t>
            </w:r>
          </w:p>
        </w:tc>
      </w:tr>
      <w:tr>
        <w:trPr>
          <w:trHeight w:val="26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49.7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54.9</w:t>
            </w:r>
          </w:p>
        </w:tc>
      </w:tr>
      <w:tr>
        <w:trPr>
          <w:trHeight w:val="25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40" w:type="dxa"/>
            <w:vAlign w:val="bottom"/>
          </w:tcPr>
          <w:p>
            <w:pPr>
              <w:spacing w:after="0"/>
              <w:rPr>
                <w:sz w:val="22"/>
                <w:szCs w:val="22"/>
                <w:color w:val="auto"/>
              </w:rPr>
            </w:pP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80.3</w:t>
            </w:r>
          </w:p>
        </w:tc>
      </w:tr>
      <w:tr>
        <w:trPr>
          <w:trHeight w:val="26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38.7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22.3</w:t>
            </w:r>
          </w:p>
        </w:tc>
      </w:tr>
      <w:tr>
        <w:trPr>
          <w:trHeight w:val="25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in earnings of unconsolidated affiliates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expense (income), net</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0.3</w:t>
            </w:r>
          </w:p>
        </w:tc>
      </w:tr>
      <w:tr>
        <w:trPr>
          <w:trHeight w:val="238"/>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(Loss) 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127.8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18.6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145.6</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w:t>
            </w:r>
          </w:p>
        </w:tc>
      </w:tr>
      <w:tr>
        <w:trPr>
          <w:trHeight w:val="238"/>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91.9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29.2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120.5</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 income from subsidiaries, net of tax</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120.7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91.9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29.2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(121.2)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120.5</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attributable to non-controlling interests</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38"/>
        </w:trPr>
        <w:tc>
          <w:tcPr>
            <w:tcW w:w="5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120.7</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91.9</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29.3</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(121.2)</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120.7</w:t>
            </w:r>
          </w:p>
        </w:tc>
      </w:tr>
      <w:tr>
        <w:trPr>
          <w:trHeight w:val="23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124.9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91.9</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33.6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(125.5)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124.9</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420"/>
          </w:cols>
          <w:pgMar w:left="240" w:top="71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color w:val="auto"/>
        </w:rPr>
        <w:t>CONDENSED CONSOLIDATING STATEMENTS OF OPERATIONS AND COMPREHENSIVE INCOME (LOSS) (unaudited -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7"/>
              </w:rPr>
              <w:t>Consolidated</w:t>
            </w:r>
          </w:p>
        </w:tc>
      </w:tr>
      <w:tr>
        <w:trPr>
          <w:trHeight w:val="196"/>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For the Nine Months Ended September 30, 2019</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98"/>
              </w:rPr>
              <w:t>MasTec, Inc.</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6"/>
              </w:rPr>
              <w:t>MasTec, Inc.</w:t>
            </w: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5,164.0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388.9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5,474.0</w:t>
            </w:r>
          </w:p>
        </w:tc>
      </w:tr>
      <w:tr>
        <w:trPr>
          <w:trHeight w:val="25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Costs of revenue, excluding depreciation and amortization</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4,354.7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360.2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4,636.0</w:t>
            </w:r>
          </w:p>
        </w:tc>
      </w:tr>
      <w:tr>
        <w:trPr>
          <w:trHeight w:val="26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161.7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174.2</w:t>
            </w:r>
          </w:p>
        </w:tc>
      </w:tr>
      <w:tr>
        <w:trPr>
          <w:trHeight w:val="25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40" w:type="dxa"/>
            <w:vAlign w:val="bottom"/>
          </w:tcPr>
          <w:p>
            <w:pPr>
              <w:spacing w:after="0"/>
              <w:rPr>
                <w:sz w:val="22"/>
                <w:szCs w:val="22"/>
                <w:color w:val="auto"/>
              </w:rPr>
            </w:pP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205.6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220.6</w:t>
            </w:r>
          </w:p>
        </w:tc>
      </w:tr>
      <w:tr>
        <w:trPr>
          <w:trHeight w:val="26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58.2</w:t>
            </w:r>
          </w:p>
        </w:tc>
      </w:tr>
      <w:tr>
        <w:trPr>
          <w:trHeight w:val="25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in losses (earnings) of unconsolidated affiliates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expense (income), net</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53.9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16.3</w:t>
            </w:r>
          </w:p>
        </w:tc>
      </w:tr>
      <w:tr>
        <w:trPr>
          <w:trHeight w:val="238"/>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(Loss) 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282.4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108.4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388.5</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w:t>
            </w:r>
          </w:p>
        </w:tc>
      </w:tr>
      <w:tr>
        <w:trPr>
          <w:trHeight w:val="238"/>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192.3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293.4</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 income from subsidiaries, net of tax</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293.0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(293.0)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291.4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192.3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102.7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(293.0)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293.4</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attributable to non-controlling interests</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2.0</w:t>
            </w:r>
          </w:p>
        </w:tc>
      </w:tr>
      <w:tr>
        <w:trPr>
          <w:trHeight w:val="238"/>
        </w:trPr>
        <w:tc>
          <w:tcPr>
            <w:tcW w:w="5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291.4</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192.3</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100.7</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(293.0)</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291.4</w:t>
            </w:r>
          </w:p>
        </w:tc>
      </w:tr>
      <w:tr>
        <w:trPr>
          <w:trHeight w:val="23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269.8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192.3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81.1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(271.4)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271.8</w:t>
            </w: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7"/>
              </w:rPr>
              <w:t>Consolidated</w:t>
            </w:r>
          </w:p>
        </w:tc>
      </w:tr>
      <w:tr>
        <w:trPr>
          <w:trHeight w:val="196"/>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For the Nine Months Ended September 30,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98"/>
              </w:rPr>
              <w:t>MasTec, Inc.</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6"/>
              </w:rPr>
              <w:t>MasTec, Inc.</w:t>
            </w: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4,717.0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372.0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(97.1)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4,991.9</w:t>
            </w:r>
          </w:p>
        </w:tc>
      </w:tr>
      <w:tr>
        <w:trPr>
          <w:trHeight w:val="25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Costs of revenue, excluding depreciation and amortization</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4,048.2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334.2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(97.1)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4,285.3</w:t>
            </w:r>
          </w:p>
        </w:tc>
      </w:tr>
      <w:tr>
        <w:trPr>
          <w:trHeight w:val="26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139.2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17.3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156.5</w:t>
            </w:r>
          </w:p>
        </w:tc>
      </w:tr>
      <w:tr>
        <w:trPr>
          <w:trHeight w:val="25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40" w:type="dxa"/>
            <w:vAlign w:val="bottom"/>
          </w:tcPr>
          <w:p>
            <w:pPr>
              <w:spacing w:after="0"/>
              <w:rPr>
                <w:sz w:val="22"/>
                <w:szCs w:val="22"/>
                <w:color w:val="auto"/>
              </w:rPr>
            </w:pP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195.6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211.5</w:t>
            </w:r>
          </w:p>
        </w:tc>
      </w:tr>
      <w:tr>
        <w:trPr>
          <w:trHeight w:val="26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108.7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60.2</w:t>
            </w:r>
          </w:p>
        </w:tc>
      </w:tr>
      <w:tr>
        <w:trPr>
          <w:trHeight w:val="25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in earnings of unconsolidated affiliates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expense (income), net</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38"/>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(Loss) 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224.5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77.3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299.4</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w:t>
            </w:r>
          </w:p>
        </w:tc>
      </w:tr>
      <w:tr>
        <w:trPr>
          <w:trHeight w:val="238"/>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163.6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65.6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227.4</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 income from subsidiaries, net of tax</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229.4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(229.4)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227.7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163.6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65.6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(229.4)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227.4</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attributable to non-controlling interests</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38"/>
        </w:trPr>
        <w:tc>
          <w:tcPr>
            <w:tcW w:w="5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227.7</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163.6</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65.9</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(229.4)</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227.7</w:t>
            </w:r>
          </w:p>
        </w:tc>
      </w:tr>
      <w:tr>
        <w:trPr>
          <w:trHeight w:val="23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240.6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163.6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78.3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(242.2)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240.3</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420"/>
          </w:cols>
          <w:pgMar w:left="240" w:top="663"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9"/>
              </w:rPr>
              <w:t>CONDENSED CONSOLIDATING BALANCE SHEETS (unaudited - in millions)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86"/>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Non-Guarantor</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7"/>
              </w:rPr>
              <w:t>Consolidated</w:t>
            </w:r>
          </w:p>
        </w:tc>
      </w:tr>
      <w:tr>
        <w:trPr>
          <w:trHeight w:val="196"/>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 of September 30, 2019</w:t>
            </w: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20" w:type="dxa"/>
            <w:vAlign w:val="bottom"/>
          </w:tcPr>
          <w:p>
            <w:pPr>
              <w:spacing w:after="0"/>
              <w:rPr>
                <w:sz w:val="17"/>
                <w:szCs w:val="17"/>
                <w:color w:val="auto"/>
              </w:rPr>
            </w:pPr>
          </w:p>
        </w:tc>
        <w:tc>
          <w:tcPr>
            <w:tcW w:w="980" w:type="dxa"/>
            <w:vAlign w:val="bottom"/>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6"/>
              </w:rPr>
              <w:t>MasTec, Inc.</w:t>
            </w:r>
          </w:p>
        </w:tc>
      </w:tr>
      <w:tr>
        <w:trPr>
          <w:trHeight w:val="255"/>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2,036.8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266.5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2,198.7</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821.7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862.9</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Operating lease assets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216.9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233.4</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Goodwill and other intangible assets, net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1,244.5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1,325.8</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Investments in and advances to consolidated affiliates, net</w:t>
            </w:r>
          </w:p>
        </w:tc>
        <w:tc>
          <w:tcPr>
            <w:tcW w:w="140" w:type="dxa"/>
            <w:vAlign w:val="bottom"/>
          </w:tcPr>
          <w:p>
            <w:pPr>
              <w:spacing w:after="0"/>
              <w:rPr>
                <w:sz w:val="22"/>
                <w:szCs w:val="22"/>
                <w:color w:val="auto"/>
              </w:rPr>
            </w:pP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1,656.2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1,118.9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843.0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(3,618.1)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258"/>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Other long-term assets</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180.2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237.8</w:t>
            </w:r>
          </w:p>
        </w:tc>
      </w:tr>
      <w:tr>
        <w:trPr>
          <w:trHeight w:val="238"/>
        </w:trPr>
        <w:tc>
          <w:tcPr>
            <w:tcW w:w="5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1,674.6</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5,478.0</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1,428.7</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(3,722.7)</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4,858.7</w:t>
            </w:r>
          </w:p>
        </w:tc>
      </w:tr>
      <w:tr>
        <w:trPr>
          <w:trHeight w:val="25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 and equity</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1,319.2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119.9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1,334.5</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Long-term debt, including finance leases</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1,217.6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1,221.1</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Long-term operating lease liabilities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159.3</w:t>
            </w:r>
          </w:p>
        </w:tc>
      </w:tr>
      <w:tr>
        <w:trPr>
          <w:trHeight w:val="258"/>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454.6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464.4</w:t>
            </w:r>
          </w:p>
        </w:tc>
      </w:tr>
      <w:tr>
        <w:trPr>
          <w:trHeight w:val="238"/>
        </w:trPr>
        <w:tc>
          <w:tcPr>
            <w:tcW w:w="52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3,138.2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145.7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3,179.3</w:t>
            </w:r>
          </w:p>
        </w:tc>
      </w:tr>
      <w:tr>
        <w:trPr>
          <w:trHeight w:val="238"/>
        </w:trPr>
        <w:tc>
          <w:tcPr>
            <w:tcW w:w="52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1,674.6</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2,339.8</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1,283.0</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(3,618.1)</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1,679.3</w:t>
            </w:r>
          </w:p>
        </w:tc>
      </w:tr>
      <w:tr>
        <w:trPr>
          <w:trHeight w:val="238"/>
        </w:trPr>
        <w:tc>
          <w:tcPr>
            <w:tcW w:w="52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1,674.6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5,478.0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1,428.7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(3,722.7)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4,858.7</w:t>
            </w:r>
          </w:p>
        </w:tc>
      </w:tr>
    </w:tbl>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Guarantor</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Non-Guarantor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7"/>
              </w:rPr>
              <w:t>Consolidated</w:t>
            </w:r>
          </w:p>
        </w:tc>
      </w:tr>
      <w:tr>
        <w:trPr>
          <w:trHeight w:val="196"/>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2018</w:t>
            </w: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6"/>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20" w:type="dxa"/>
            <w:vAlign w:val="bottom"/>
          </w:tcPr>
          <w:p>
            <w:pPr>
              <w:spacing w:after="0"/>
              <w:rPr>
                <w:sz w:val="17"/>
                <w:szCs w:val="17"/>
                <w:color w:val="auto"/>
              </w:rPr>
            </w:pPr>
          </w:p>
        </w:tc>
        <w:tc>
          <w:tcPr>
            <w:tcW w:w="980" w:type="dxa"/>
            <w:vAlign w:val="bottom"/>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6"/>
              </w:rPr>
              <w:t>MasTec, Inc.</w:t>
            </w:r>
          </w:p>
        </w:tc>
      </w:tr>
      <w:tr>
        <w:trPr>
          <w:trHeight w:val="255"/>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1,993.0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248.5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2,169.0</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699.2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48.6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747.8</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Goodwill and other intangible assets, net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1,188.0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81.7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1,269.7</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Investments in and advances to consolidated affiliates, net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1,373.1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1,138.4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816.9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(3,328.4)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long-term assets</w:t>
            </w:r>
          </w:p>
        </w:tc>
        <w:tc>
          <w:tcPr>
            <w:tcW w:w="140" w:type="dxa"/>
            <w:vAlign w:val="bottom"/>
          </w:tcPr>
          <w:p>
            <w:pPr>
              <w:spacing w:after="0"/>
              <w:rPr>
                <w:sz w:val="22"/>
                <w:szCs w:val="22"/>
                <w:color w:val="auto"/>
              </w:rPr>
            </w:pP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194.6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253.4</w:t>
            </w:r>
          </w:p>
        </w:tc>
      </w:tr>
      <w:tr>
        <w:trPr>
          <w:trHeight w:val="242"/>
        </w:trPr>
        <w:tc>
          <w:tcPr>
            <w:tcW w:w="52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1,389.9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5,060.6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1,390.3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(3,400.9)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4,440.0</w:t>
            </w:r>
          </w:p>
        </w:tc>
      </w:tr>
      <w:tr>
        <w:trPr>
          <w:trHeight w:val="247"/>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 and equity</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1,185.9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170.2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1,283.6</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Long-term debt, including finance leases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1,319.4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1,324.2</w:t>
            </w:r>
          </w:p>
        </w:tc>
      </w:tr>
      <w:tr>
        <w:trPr>
          <w:trHeight w:val="258"/>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429.2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440.1</w:t>
            </w:r>
          </w:p>
        </w:tc>
      </w:tr>
      <w:tr>
        <w:trPr>
          <w:trHeight w:val="238"/>
        </w:trPr>
        <w:tc>
          <w:tcPr>
            <w:tcW w:w="52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2,934.5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185.9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3,047.9</w:t>
            </w:r>
          </w:p>
        </w:tc>
      </w:tr>
      <w:tr>
        <w:trPr>
          <w:trHeight w:val="238"/>
        </w:trPr>
        <w:tc>
          <w:tcPr>
            <w:tcW w:w="52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1,389.9</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2,126.1</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1,204.4</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(3,328.4)</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1,392.0</w:t>
            </w:r>
          </w:p>
        </w:tc>
      </w:tr>
      <w:tr>
        <w:trPr>
          <w:trHeight w:val="238"/>
        </w:trPr>
        <w:tc>
          <w:tcPr>
            <w:tcW w:w="52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1,389.9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5,060.6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1,390.3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(3,400.9)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4,440.0</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420"/>
          </w:cols>
          <w:pgMar w:left="240" w:top="663"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color w:val="auto"/>
        </w:rPr>
        <w:t>CONDENSED CONSOLIDATING STATEMENTS OF CASH FLOWS (unaudited -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7"/>
              </w:rPr>
              <w:t>Consolidated</w:t>
            </w:r>
          </w:p>
        </w:tc>
      </w:tr>
      <w:tr>
        <w:trPr>
          <w:trHeight w:val="196"/>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For the Nine Months Ended September 30, 2019</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98"/>
              </w:rPr>
              <w:t>MasTec, Inc.</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6"/>
              </w:rPr>
              <w:t>MasTec, Inc.</w:t>
            </w: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416.5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441.4</w:t>
            </w:r>
          </w:p>
        </w:tc>
      </w:tr>
      <w:tr>
        <w:trPr>
          <w:trHeight w:val="247"/>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(85.1)</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sale of property and equipment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27.1</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Payments for other investments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258"/>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14.7</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provided by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8.6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(143.5)</w:t>
            </w:r>
          </w:p>
        </w:tc>
      </w:tr>
      <w:tr>
        <w:trPr>
          <w:trHeight w:val="255"/>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credit facilities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2,175.7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2,185.7</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Repayments of credit facilities</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(2,372.0)</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Repayments of other borrowings, net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Payments of finance lease obligations</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Payments of acquisition-related contingent consideration</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non-controlling interests</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0.6</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140" w:type="dxa"/>
            <w:vAlign w:val="bottom"/>
          </w:tcPr>
          <w:p>
            <w:pPr>
              <w:spacing w:after="0"/>
              <w:rPr>
                <w:sz w:val="22"/>
                <w:szCs w:val="22"/>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stock-based awards, net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3.4</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financing activities, net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258"/>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financing activities and advances from (to) consolidated affiliates</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21.4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238"/>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(257.5)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(282.0)</w:t>
            </w: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currency translation on cash</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55"/>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increase in cash and cash equivalents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8.7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15.7</w:t>
            </w:r>
          </w:p>
        </w:tc>
      </w:tr>
      <w:tr>
        <w:trPr>
          <w:trHeight w:val="23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 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11.9</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15.6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27.4</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18.8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24.3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43.1</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420"/>
          </w:cols>
          <w:pgMar w:left="240" w:top="50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color w:val="auto"/>
        </w:rPr>
        <w:t>CONDENSED CONSOLIDATING STATEMENTS OF CASH FLOWS (unaudited -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7"/>
              </w:rPr>
              <w:t>Consolidated</w:t>
            </w:r>
          </w:p>
        </w:tc>
      </w:tr>
      <w:tr>
        <w:trPr>
          <w:trHeight w:val="196"/>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For the Nine Months Ended September 30,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98"/>
              </w:rPr>
              <w:t>MasTec, Inc.</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6"/>
              </w:rPr>
              <w:t>MasTec, Inc.</w:t>
            </w: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132.1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26.8</w:t>
            </w:r>
          </w:p>
        </w:tc>
      </w:tr>
      <w:tr>
        <w:trPr>
          <w:trHeight w:val="247"/>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(134.2)</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sale of property and equipment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29.7</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Payments for other investments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w:t>
            </w:r>
          </w:p>
        </w:tc>
      </w:tr>
      <w:tr>
        <w:trPr>
          <w:trHeight w:val="258"/>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5.4</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(142.1)</w:t>
            </w:r>
          </w:p>
        </w:tc>
      </w:tr>
      <w:tr>
        <w:trPr>
          <w:trHeight w:val="255"/>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credit facilities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2,396.7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2,422.6</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Repayments of credit facilities</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(1,997.4)</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Repayments of other borrowings, net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Payments of finance lease obligations</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Payments of acquisition-related contingent consideration</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(198.4)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(198.4)</w:t>
            </w:r>
          </w:p>
        </w:tc>
      </w:tr>
      <w:tr>
        <w:trPr>
          <w:trHeight w:val="255"/>
        </w:trPr>
        <w:tc>
          <w:tcPr>
            <w:tcW w:w="5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6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stock-based awards, net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3.1</w:t>
            </w:r>
          </w:p>
        </w:tc>
      </w:tr>
      <w:tr>
        <w:trPr>
          <w:trHeight w:val="255"/>
        </w:trPr>
        <w:tc>
          <w:tcPr>
            <w:tcW w:w="5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Net financing activities and advances from (to) consolidated affiliates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195.3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23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272.2</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(129.2)</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142.9</w:t>
            </w: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currency translation on cash</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0"/>
                <w:szCs w:val="20"/>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0.6</w:t>
            </w:r>
          </w:p>
        </w:tc>
      </w:tr>
      <w:tr>
        <w:trPr>
          <w:trHeight w:val="25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38.5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28.2</w:t>
            </w:r>
          </w:p>
        </w:tc>
      </w:tr>
      <w:tr>
        <w:trPr>
          <w:trHeight w:val="238"/>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 beginning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30.3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40.3</w:t>
            </w:r>
          </w:p>
        </w:tc>
      </w:tr>
      <w:tr>
        <w:trPr>
          <w:trHeight w:val="23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48.5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68.5</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420"/>
          </w:cols>
          <w:pgMar w:left="240" w:top="50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208"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or dispositions.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and other factors, some of which are beyond our control, are difficult to predict, and could cause actual results to differ materially from those expressed or forecasted in the forward-looking statements.</w:t>
      </w:r>
    </w:p>
    <w:p>
      <w:pPr>
        <w:spacing w:after="0" w:line="85"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These risks and uncertainties include those described in “Management’s Discussion and Analysis of Financial Condition and Results of Operations,” and elsewhere in this report and in our 2018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23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56"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color w:val="auto"/>
        </w:rPr>
        <w:t>The following is a discussion of our business, financial position and results of operations as of and for the three and nine month periods ended September 30, 2019 and 2018. This discussion and analysis should be read in conjunction with the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2018 Form 10-K. In this MD&amp;A, “$” means U.S. dollars unless specified otherwise.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0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renewables; heavy civil; and industrial infrastructure. Our customers are primarily in these industries. Including our predecessor companies, we have been in business for 90 years. As of September 30, 2019, we had approximately 20,000 employees, based on a twelve month average, and 400 locations, and offer our services primarily under the MasTec service mark. We have been consistently ranked among the top specialty contractors by Engineering News-Record for the past several years.</w:t>
      </w:r>
    </w:p>
    <w:p>
      <w:pPr>
        <w:spacing w:after="0" w:line="85"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manage our operations under five operating segments, which represent our five reportable segments: (1) Communications; (2) Oil and Gas; (3) Electrical Transmission;</w:t>
      </w:r>
    </w:p>
    <w:p>
      <w:pPr>
        <w:spacing w:after="0" w:line="36" w:lineRule="exact"/>
        <w:rPr>
          <w:sz w:val="20"/>
          <w:szCs w:val="20"/>
          <w:color w:val="auto"/>
        </w:rPr>
      </w:pPr>
    </w:p>
    <w:p>
      <w:pPr>
        <w:jc w:val="both"/>
        <w:ind w:firstLine="3"/>
        <w:spacing w:after="0" w:line="237" w:lineRule="auto"/>
        <w:tabs>
          <w:tab w:leader="none" w:pos="21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Power Generation and Industrial and (5) Other. This structure is generally focused on broad end-user markets for our labor-based construction services. See Note 13 - Segments and Related Information and Note 14 - Commitments and Contingencies in the notes to the consolidated financial statements, which are incorporated by reference, for segment related information and significant customer concentrations.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56"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We expect to realize approximately 20% of our September 30, 2019 estimated backlog in 2019. The following table presents 18-month estimated backlog by reportable segment, as of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(in millions):</w:t>
            </w:r>
          </w:p>
        </w:tc>
        <w:tc>
          <w:tcPr>
            <w:tcW w:w="18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3,968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4,251</w:t>
            </w: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8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2,253</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Electrical Transmission</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597</w:t>
            </w: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18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731</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6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7,523</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7,770</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7,833</w:t>
            </w:r>
          </w:p>
        </w:tc>
      </w:tr>
      <w:tr>
        <w:trPr>
          <w:trHeight w:val="32"/>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9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Approximately 45% of our backlog as of September 30, 2019 is attributable to amounts under master service or other service agreements, pursuant to which our customers are not contractually committed to purchase a minimum amount of services. Most of these agreements can be canceled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420"/>
          </w:cols>
          <w:pgMar w:left="240" w:top="614" w:right="239" w:bottom="1440" w:gutter="0" w:footer="0" w:header="0"/>
        </w:sectPr>
      </w:pPr>
    </w:p>
    <w:bookmarkStart w:id="31" w:name="page32"/>
    <w:bookmarkEnd w:id="31"/>
    <w:p>
      <w:pPr>
        <w:jc w:val="both"/>
        <w:spacing w:after="0" w:line="241" w:lineRule="auto"/>
        <w:rPr>
          <w:sz w:val="20"/>
          <w:szCs w:val="20"/>
          <w:color w:val="auto"/>
        </w:rPr>
      </w:pPr>
      <w:r>
        <w:rPr>
          <w:rFonts w:ascii="Times New Roman" w:cs="Times New Roman" w:eastAsia="Times New Roman" w:hAnsi="Times New Roman"/>
          <w:sz w:val="16"/>
          <w:szCs w:val="16"/>
          <w:color w:val="auto"/>
        </w:rPr>
        <w:t>on short or no advance notice. Timing of revenue for construction and installation projects included in our backlog can be subject to change as a result of customer delays or cancellations, regulatory delays or other factors and/or other project-related factors. These changes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and regulatory factors. There can be no assurance as to our customers’ requirements or the accuracy of our estimates. As a result, our backlog as of any particular date is an uncertain indicator of future revenue and earnings.</w:t>
      </w:r>
    </w:p>
    <w:p>
      <w:pPr>
        <w:spacing w:after="0" w:line="84"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Backlog is not a term recognized under U.S. GAAP; however, it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September 30, 2019, total 18-month backlog differed from the amount of our remaining performance obligations due primarily to the inclusion of $2.4 billion of estimates of future revenue under master service and other service agreements within our backlog estimates, as described above, and the exclusion of approximately $0.9 billion of remaining performance obligations in excess of 18 months, which amount is not included in the backlog estimates above. Backlog expected to be realized in 2019 differed from the amount of remaining performance obligations expected to be recognized for the same period due primarily to the inclusion of approximately $0.2 billion of estimates of future revenue under master service and other service agreements that is included within the related backlog estimate.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Industry and Market Factors</w:t>
      </w:r>
    </w:p>
    <w:p>
      <w:pPr>
        <w:spacing w:after="0" w:line="104" w:lineRule="exact"/>
        <w:rPr>
          <w:sz w:val="20"/>
          <w:szCs w:val="20"/>
          <w:color w:val="auto"/>
        </w:rPr>
      </w:pPr>
    </w:p>
    <w:p>
      <w:pPr>
        <w:jc w:val="both"/>
        <w:ind w:firstLine="620"/>
        <w:spacing w:after="0" w:line="275" w:lineRule="auto"/>
        <w:rPr>
          <w:sz w:val="20"/>
          <w:szCs w:val="20"/>
          <w:color w:val="auto"/>
        </w:rPr>
      </w:pPr>
      <w:r>
        <w:rPr>
          <w:rFonts w:ascii="Times New Roman" w:cs="Times New Roman" w:eastAsia="Times New Roman" w:hAnsi="Times New Roman"/>
          <w:sz w:val="14"/>
          <w:szCs w:val="14"/>
          <w:color w:val="auto"/>
        </w:rPr>
        <w:t>We closely monitor the effects of changes in economic and market conditions on our customers. General economic and market conditions can negatively affect demand for our customers’ products and services, which can affect our customers’ planned capital and maintenance budgets in certain end-markets. Market, regulatory and industry factors could affect demand for our services, including (i) changes to our customers’ capital spending plans; (ii) mergers and acquisitions among the customers we serve; (iii) new or changing regulatory requirements or other governmental policy changes or uncertainty; (iv) economic, market or political developments; (v) changes in technology, tax and other incentives; and</w:t>
      </w:r>
    </w:p>
    <w:p>
      <w:pPr>
        <w:spacing w:after="0" w:line="2" w:lineRule="exact"/>
        <w:rPr>
          <w:sz w:val="20"/>
          <w:szCs w:val="20"/>
          <w:color w:val="auto"/>
        </w:rPr>
      </w:pPr>
    </w:p>
    <w:p>
      <w:pPr>
        <w:jc w:val="both"/>
        <w:ind w:firstLine="3"/>
        <w:spacing w:after="0" w:line="236" w:lineRule="auto"/>
        <w:tabs>
          <w:tab w:leader="none" w:pos="23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capital for customers in the industries we serve. Availability of transportation and transmission capacity and fluctuations in market prices for oil, gas and other fuel sources can also affect demand for our services, in particular, on pipeline and power generation construction services. These fluctuations, as well as the highly competitive nature of our industry, can result, and in the past, have resulted, in lower bids and lower profit on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Seasonality and Cyclical Nature of Business</w:t>
      </w:r>
    </w:p>
    <w:p>
      <w:pPr>
        <w:spacing w:after="0" w:line="104"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Our revenue and results of operations can be subject to seasonal and other variations. These variations are influenced by weather, customer spending patterns, bidding seasons, project schedules, holidays and timing, in particular, for large non-recurring projects. Typically, our revenue is lowest at the beginning of the year and during the winter months because cold, snowy or wet conditions cause project delays.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hurricanes or other severe weather, making it difficult to predict quarterly revenue and margin variations.</w:t>
      </w:r>
    </w:p>
    <w:p>
      <w:pPr>
        <w:spacing w:after="0" w:line="85"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56" w:lineRule="exact"/>
        <w:rPr>
          <w:sz w:val="20"/>
          <w:szCs w:val="20"/>
          <w:color w:val="auto"/>
        </w:rPr>
      </w:pPr>
    </w:p>
    <w:p>
      <w:pPr>
        <w:jc w:val="both"/>
        <w:ind w:firstLine="620"/>
        <w:spacing w:after="0" w:line="275" w:lineRule="auto"/>
        <w:rPr>
          <w:sz w:val="20"/>
          <w:szCs w:val="20"/>
          <w:color w:val="auto"/>
        </w:rPr>
      </w:pPr>
      <w:r>
        <w:rPr>
          <w:rFonts w:ascii="Times New Roman" w:cs="Times New Roman" w:eastAsia="Times New Roman" w:hAnsi="Times New Roman"/>
          <w:sz w:val="14"/>
          <w:szCs w:val="14"/>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the accompanying notes. We base our estimates on historical experience and on various other assumptions that we believe to be reasonable under the circumstances, the results of which form the basis of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 During the third quarter of 2019, we performed quantitative assessments of the goodwill associated with certain of our reporting units and of an indefinite-lived pre-qualification intangible asset in conjunction with our quarterly review for indicators of impairment. Based on the results of these assessments, we determined that the estimated fair value of one of the reporting units in our Oil and Gas segment, for which the related goodwill has a carrying value of approximately $15 million, exceeded its carrying value by approximately 14%, and that the fair values of a separate reporting unit and of an indefinite-lived pre-qualification intangible asset in our Oil and Gas segment, for which the related goodwill and pre-qualification intangible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420"/>
          </w:cols>
          <w:pgMar w:left="240" w:top="618" w:right="239" w:bottom="1440" w:gutter="0" w:footer="0" w:header="0"/>
        </w:sectPr>
      </w:pPr>
    </w:p>
    <w:bookmarkStart w:id="32" w:name="page33"/>
    <w:bookmarkEnd w:id="32"/>
    <w:p>
      <w:pPr>
        <w:jc w:val="both"/>
        <w:spacing w:after="0" w:line="246" w:lineRule="auto"/>
        <w:rPr>
          <w:sz w:val="20"/>
          <w:szCs w:val="20"/>
          <w:color w:val="auto"/>
        </w:rPr>
      </w:pPr>
      <w:r>
        <w:rPr>
          <w:rFonts w:ascii="Times New Roman" w:cs="Times New Roman" w:eastAsia="Times New Roman" w:hAnsi="Times New Roman"/>
          <w:sz w:val="16"/>
          <w:szCs w:val="16"/>
          <w:color w:val="auto"/>
        </w:rPr>
        <w:t>asset have an aggregate carrying value of approximately $59 million, exceeded their carrying values by approximately 10% and 11% respectively. Significant changes in the assumptions or estimates used in management’s assessment, such as a reduction in profitability and/or cash flows, could result in non-cash goodwill and indefinite-lived intangible asset impairment charges in the future.</w:t>
      </w:r>
    </w:p>
    <w:p>
      <w:pPr>
        <w:spacing w:after="0" w:line="80"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indefinite-lived intangible assets and acquisition-related contingent consideration;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 Refer to Note 1 - Business, Basis of Presentation and Significant Accounting Policies in the notes to the consolidated financial statements, which is incorporated by reference, and to our 2018 Form 10-K for discussion of our significant accounting policies.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Quarterly Results</w:t>
      </w:r>
    </w:p>
    <w:p>
      <w:pPr>
        <w:spacing w:after="0" w:line="10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20" w:type="dxa"/>
            <w:vAlign w:val="bottom"/>
            <w:gridSpan w:val="8"/>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For the Three Months Ended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7"/>
          </w:tcPr>
          <w:p>
            <w:pPr>
              <w:jc w:val="right"/>
              <w:ind w:right="802"/>
              <w:spacing w:after="0"/>
              <w:rPr>
                <w:sz w:val="20"/>
                <w:szCs w:val="20"/>
                <w:color w:val="auto"/>
              </w:rPr>
            </w:pPr>
            <w:r>
              <w:rPr>
                <w:rFonts w:ascii="Times New Roman" w:cs="Times New Roman" w:eastAsia="Times New Roman" w:hAnsi="Times New Roman"/>
                <w:sz w:val="16"/>
                <w:szCs w:val="16"/>
                <w:b w:val="1"/>
                <w:bCs w:val="1"/>
                <w:color w:val="auto"/>
                <w:w w:val="98"/>
              </w:rPr>
              <w:t>For the Nine Months Ended</w:t>
            </w:r>
          </w:p>
        </w:tc>
      </w:tr>
      <w:tr>
        <w:trPr>
          <w:trHeight w:val="204"/>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4"/>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2"/>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r>
      <w:tr>
        <w:trPr>
          <w:trHeight w:val="220"/>
        </w:trPr>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3"/>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3"/>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w w:val="99"/>
              </w:rPr>
              <w:t>2018</w:t>
            </w:r>
          </w:p>
        </w:tc>
      </w:tr>
      <w:tr>
        <w:trPr>
          <w:trHeight w:val="32"/>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2,016.6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1,977.2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5,474.0</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4,991.9</w:t>
            </w:r>
          </w:p>
        </w:tc>
        <w:tc>
          <w:tcPr>
            <w:tcW w:w="1060" w:type="dxa"/>
            <w:vAlign w:val="bottom"/>
            <w:tcBorders>
              <w:bottom w:val="single" w:sz="8" w:color="CCEEFF"/>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100.0 %</w:t>
            </w:r>
          </w:p>
        </w:tc>
      </w:tr>
      <w:tr>
        <w:trPr>
          <w:trHeight w:val="22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1,690.6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1,681.4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84.7 %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4,285.3</w:t>
            </w:r>
          </w:p>
        </w:tc>
        <w:tc>
          <w:tcPr>
            <w:tcW w:w="106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85.8 %</w:t>
            </w:r>
          </w:p>
        </w:tc>
      </w:tr>
      <w:tr>
        <w:trPr>
          <w:trHeight w:val="32"/>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60" w:type="dxa"/>
            <w:vAlign w:val="bottom"/>
            <w:tcBorders>
              <w:bottom w:val="single" w:sz="8" w:color="CCEEFF"/>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3.1 %</w:t>
            </w:r>
          </w:p>
        </w:tc>
      </w:tr>
      <w:tr>
        <w:trPr>
          <w:trHeight w:val="22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06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4.2 %</w:t>
            </w:r>
          </w:p>
        </w:tc>
      </w:tr>
      <w:tr>
        <w:trPr>
          <w:trHeight w:val="32"/>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60" w:type="dxa"/>
            <w:vAlign w:val="bottom"/>
            <w:tcBorders>
              <w:bottom w:val="single" w:sz="8" w:color="CCEEFF"/>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1.2 %</w:t>
            </w:r>
          </w:p>
        </w:tc>
      </w:tr>
      <w:tr>
        <w:trPr>
          <w:trHeight w:val="22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2"/>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07"/>
        </w:trPr>
        <w:tc>
          <w:tcPr>
            <w:tcW w:w="4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145.6</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6.0 %</w:t>
            </w:r>
          </w:p>
        </w:tc>
      </w:tr>
      <w:tr>
        <w:trPr>
          <w:trHeight w:val="32"/>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20"/>
        </w:trPr>
        <w:tc>
          <w:tcPr>
            <w:tcW w:w="4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4.6 %</w:t>
            </w:r>
          </w:p>
        </w:tc>
      </w:tr>
      <w:tr>
        <w:trPr>
          <w:trHeight w:val="32"/>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07"/>
        </w:trPr>
        <w:tc>
          <w:tcPr>
            <w:tcW w:w="4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4.6 %</w:t>
            </w:r>
          </w:p>
        </w:tc>
      </w:tr>
      <w:tr>
        <w:trPr>
          <w:trHeight w:val="32"/>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69"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color w:val="auto"/>
        </w:rPr>
        <w:t>We review our operating results by reportable segment. See Note 13 - Segments and Related Information in the notes to the consolidated financial statements, which is incorporated by reference. Our reportable segments are: (1) Communications; (2) Oil and Gas; (3) Electrical Transmission; (4) Power Generation and Industrial and (5)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420"/>
          </w:cols>
          <w:pgMar w:left="240" w:top="618"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9"/>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2"/>
        </w:trPr>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7"/>
        </w:trPr>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140" w:type="dxa"/>
            <w:vAlign w:val="bottom"/>
          </w:tcPr>
          <w:p>
            <w:pPr>
              <w:spacing w:after="0"/>
              <w:rPr>
                <w:sz w:val="17"/>
                <w:szCs w:val="17"/>
                <w:color w:val="auto"/>
              </w:rPr>
            </w:pPr>
          </w:p>
        </w:tc>
        <w:tc>
          <w:tcPr>
            <w:tcW w:w="17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Nine Months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4"/>
        </w:trPr>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140" w:type="dxa"/>
            <w:vAlign w:val="bottom"/>
          </w:tcPr>
          <w:p>
            <w:pPr>
              <w:spacing w:after="0"/>
              <w:rPr>
                <w:sz w:val="17"/>
                <w:szCs w:val="17"/>
                <w:color w:val="auto"/>
              </w:rPr>
            </w:pP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3160" w:type="dxa"/>
            <w:vAlign w:val="bottom"/>
            <w:gridSpan w:val="12"/>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20" w:type="dxa"/>
            <w:vAlign w:val="bottom"/>
          </w:tcPr>
          <w:p>
            <w:pPr>
              <w:spacing w:after="0"/>
              <w:rPr>
                <w:sz w:val="17"/>
                <w:szCs w:val="17"/>
                <w:color w:val="auto"/>
              </w:rPr>
            </w:pPr>
          </w:p>
        </w:tc>
        <w:tc>
          <w:tcPr>
            <w:tcW w:w="2960" w:type="dxa"/>
            <w:vAlign w:val="bottom"/>
            <w:gridSpan w:val="10"/>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6"/>
              </w:rPr>
              <w:t>For the Nine Months Ended September 30,</w:t>
            </w:r>
          </w:p>
        </w:tc>
      </w:tr>
      <w:tr>
        <w:trPr>
          <w:trHeight w:val="32"/>
        </w:trPr>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Reportable Segment:</w:t>
            </w:r>
          </w:p>
        </w:tc>
        <w:tc>
          <w:tcPr>
            <w:tcW w:w="140" w:type="dxa"/>
            <w:vAlign w:val="bottom"/>
          </w:tcPr>
          <w:p>
            <w:pPr>
              <w:spacing w:after="0"/>
              <w:rPr>
                <w:sz w:val="19"/>
                <w:szCs w:val="19"/>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540" w:type="dxa"/>
            <w:vAlign w:val="bottom"/>
          </w:tcPr>
          <w:p>
            <w:pPr>
              <w:spacing w:after="0"/>
              <w:rPr>
                <w:sz w:val="19"/>
                <w:szCs w:val="19"/>
                <w:color w:val="auto"/>
              </w:rPr>
            </w:pPr>
          </w:p>
        </w:tc>
      </w:tr>
      <w:tr>
        <w:trPr>
          <w:trHeight w:val="32"/>
        </w:trPr>
        <w:tc>
          <w:tcPr>
            <w:tcW w:w="1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1"/>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679.5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1,944.9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1,907.5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27"/>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972.5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2,530.5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2,341.6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499.6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32"/>
        </w:trPr>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Electrical</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2"/>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Transmission</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298.3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297.6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8"/>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Generation and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40" w:type="dxa"/>
            <w:vAlign w:val="bottom"/>
          </w:tcPr>
          <w:p>
            <w:pPr>
              <w:spacing w:after="0"/>
              <w:rPr>
                <w:sz w:val="17"/>
                <w:szCs w:val="17"/>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701.3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443.2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32"/>
        </w:trPr>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8"/>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w:t>
            </w:r>
          </w:p>
        </w:tc>
      </w:tr>
      <w:tr>
        <w:trPr>
          <w:trHeight w:val="227"/>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8"/>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1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Consolidated</w:t>
            </w: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r>
      <w:tr>
        <w:trPr>
          <w:trHeight w:val="200"/>
        </w:trPr>
        <w:tc>
          <w:tcPr>
            <w:tcW w:w="1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Results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2,016.6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1,977.2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5,474.0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4,991.9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620.8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32"/>
        </w:trPr>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NM - Percentage is not meaningful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 Compared to Three Months Ended September 30, 2018</w:t>
      </w:r>
    </w:p>
    <w:p>
      <w:pPr>
        <w:spacing w:after="0" w:line="100" w:lineRule="exact"/>
        <w:rPr>
          <w:sz w:val="20"/>
          <w:szCs w:val="20"/>
          <w:color w:val="auto"/>
        </w:rPr>
      </w:pPr>
    </w:p>
    <w:p>
      <w:pPr>
        <w:jc w:val="both"/>
        <w:ind w:firstLine="31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Revenue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the three month period ended September 30, 2019, consolidated revenue totaled $2,017 million as compared with $1,977 million for the same period in 2018, 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 of $39 million, or 2%. Revenue increased in our Power Generation and Industrial segment by $82 million, or 46%, in our Communications segment by $18 million, or 3%, and in our Electrical Transmission segment by $4 million, or 4%, offset, in part, by a decrease in revenue our Oil and Gas segment of $63 million, or 6%. Acquisitions contributed $42 million in revenue for the three month period ended September 30, 2019, and organic revenue decreased by approximately $2 million as compared with the same period in 2018.</w:t>
      </w:r>
    </w:p>
    <w:p>
      <w:pPr>
        <w:spacing w:after="0" w:line="46"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$680 million for the three month period ended September 30, 2019, as compared with $662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2018, an increase of $18 million, or 3%. Organic revenue increased by approximately $16 million, or 2%, as compared with the same period in 2018, and acquisitions contributed $2 million of revenue for the three month period ended September 30, 2019. The increase in organic revenue was primarily driven by higher levels of wireless and wireline/fiber revenue, partially offset by a decrease in install-to-the-home revenue as compared with the same period in the prior year.</w:t>
      </w:r>
    </w:p>
    <w:p>
      <w:pPr>
        <w:spacing w:after="0" w:line="79"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$973 million for three month period ended September 30, 2019, as compared with $1,036 million for the same period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2018, a decrease of $63 million, or 6%. Organic revenue decreased by approximately $103 million, or 10%, as compared with the same period in 2018, and acquisitions contributed $40 million of revenue for the three month period ended September 30, 2019. The decrease in organic revenue was due primarily to the effect of regulatory disruptions on selected long-haul pipeline construction activity, offset in part by project activity and mix, including increased demand for other pipeline projects.</w:t>
      </w:r>
    </w:p>
    <w:p>
      <w:pPr>
        <w:spacing w:after="0" w:line="7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Electrical Transmission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Electrical Transmission revenue was $103 million for the three month period ended September 30, 2019 as compared with $99 million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same period in 2018, an increase of $4 million, or 4%, due primarily to higher levels of project activity and timing.</w:t>
      </w:r>
    </w:p>
    <w:p>
      <w:pPr>
        <w:spacing w:after="0" w:line="6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Power Generation and Industrial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Generation and Industrial revenue was $262 million for the three month period ended September 30, 2019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$180 million for the same period in 2018, an increase of $82 million, or 46%, due primarily to higher levels of renewable power project activity.</w:t>
      </w:r>
    </w:p>
    <w:p>
      <w:pPr>
        <w:spacing w:after="0" w:line="6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Other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segment revenue was de minimis for the three month period ended September 30, 2019. Revenue in the prior year period was $2 million,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$1 million from a proportionately consolidated non-controlled Canadian joint venture.</w:t>
      </w:r>
    </w:p>
    <w:p>
      <w:pPr>
        <w:spacing w:after="0" w:line="63" w:lineRule="exact"/>
        <w:rPr>
          <w:sz w:val="20"/>
          <w:szCs w:val="20"/>
          <w:color w:val="auto"/>
        </w:rPr>
      </w:pPr>
    </w:p>
    <w:p>
      <w:pPr>
        <w:jc w:val="both"/>
        <w:ind w:firstLine="31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increased by approximately $9 million, or 1%,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$1,681 million for the three month period ended September 30, 2018 to $1,691 million for the same period in 2019. Higher levels of revenue contributed an increase of $33 million in costs of revenue, excluding depreciation and amortization, whereas improved productivity contributed a decrease of approximately $24 million. Costs of revenue, excluding depreciation and amortization, as a percentage of revenue decreased by approximately 120 basis points, from 85.0% of revenue for the three month period ended September 30, 2018 to 83.8% of revenue for the same period in 2019. The basis point decrease was primarily driven by improved project efficiencies, closeouts and mix in our Oil and Gas and Electrical Transmission segments, offset, in part, by mix, project inefficiencies and costs incurred to expand operating capacity in support of expected future business growth in our Communications and Power Generation and Industrial segments.</w:t>
      </w:r>
    </w:p>
    <w:p>
      <w:pPr>
        <w:spacing w:after="0" w:line="82" w:lineRule="exact"/>
        <w:rPr>
          <w:sz w:val="20"/>
          <w:szCs w:val="20"/>
          <w:color w:val="auto"/>
        </w:rPr>
      </w:pPr>
    </w:p>
    <w:p>
      <w:pPr>
        <w:jc w:val="both"/>
        <w:ind w:firstLine="31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and amortization. </w:t>
      </w:r>
      <w:r>
        <w:rPr>
          <w:rFonts w:ascii="Times New Roman" w:cs="Times New Roman" w:eastAsia="Times New Roman" w:hAnsi="Times New Roman"/>
          <w:sz w:val="16"/>
          <w:szCs w:val="16"/>
          <w:color w:val="auto"/>
        </w:rPr>
        <w:t>Depreciation and amortization was generally flat at $55 million for both the three month periods ended September 30, 2019 and 2018. As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percentage of revenue, depreciation and amortization decreased to 2.7% of revenue for the three month period ended September 30, 2019 as compared with 2.8% of revenue for the same period in 2018. Acquisitions contributed $3 million of depreciation and amortization for the three month period ended September 30, 2019. As a percentage of revenue, depreciation and amortization decreased by 10 basis points due primarily to higher levels of revenue, offset, in part, by the effects of acquisition activity.</w:t>
      </w:r>
    </w:p>
    <w:p>
      <w:pPr>
        <w:spacing w:after="0" w:line="79" w:lineRule="exact"/>
        <w:rPr>
          <w:sz w:val="20"/>
          <w:szCs w:val="20"/>
          <w:color w:val="auto"/>
        </w:rPr>
      </w:pPr>
    </w:p>
    <w:p>
      <w:pPr>
        <w:jc w:val="both"/>
        <w:ind w:firstLine="31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and administrative expenses were $77 million, or 3.8% of revenue, for the three month period ended September 30, 2019,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$80 million, or 4.1% of revenue, for the same period in 2018, a decrease of $3 million, or 4%. Acquisitions contributed an insignificant amount of general and administrative expenses for the three month period ended September 30, 2019. For the three month period ended September 30, 2019, general and administrative expenses included a decrease in various administrative costs, including from the effect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420"/>
          </w:cols>
          <w:pgMar w:left="240" w:top="524" w:right="239" w:bottom="1440" w:gutter="0" w:footer="0" w:header="0"/>
        </w:sectPr>
      </w:pPr>
    </w:p>
    <w:bookmarkStart w:id="34" w:name="page35"/>
    <w:bookmarkEnd w:id="34"/>
    <w:p>
      <w:pPr>
        <w:jc w:val="both"/>
        <w:spacing w:after="0" w:line="246" w:lineRule="auto"/>
        <w:rPr>
          <w:sz w:val="20"/>
          <w:szCs w:val="20"/>
          <w:color w:val="auto"/>
        </w:rPr>
      </w:pPr>
      <w:r>
        <w:rPr>
          <w:rFonts w:ascii="Times New Roman" w:cs="Times New Roman" w:eastAsia="Times New Roman" w:hAnsi="Times New Roman"/>
          <w:sz w:val="16"/>
          <w:szCs w:val="16"/>
          <w:color w:val="auto"/>
        </w:rPr>
        <w:t>timing of other legal and settlement matters, partially offset by an increase in other administrative costs, including incentive and compensation expense as compared with the same period in the prior year. Overall, general and administrative expenses as a percentage of revenue decreased by approximately 30 basis points for the three month period ended September 30, 2019 as compared with the same period in 2018, due, in part, to higher levels of revenue.</w:t>
      </w:r>
    </w:p>
    <w:p>
      <w:pPr>
        <w:spacing w:after="0" w:line="76" w:lineRule="exact"/>
        <w:rPr>
          <w:sz w:val="20"/>
          <w:szCs w:val="20"/>
          <w:color w:val="auto"/>
        </w:rPr>
      </w:pPr>
    </w:p>
    <w:p>
      <w:pPr>
        <w:jc w:val="both"/>
        <w:ind w:firstLine="31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$19 million, or approximately 1.0% of revenue, for the three month period ended September 30, 2019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$22 million, or 1.1% of revenue, for the same period in 2018. The decrease related primarily to a decrease in interest expense from credit facility activity as well as a decrease in discount charges on financing arrangements for trade receivables. Interest expense from credit facility activity decreased by approximately $4 million, due to a combination of lower average balances and a decrease in interest rates.</w:t>
      </w:r>
    </w:p>
    <w:p>
      <w:pPr>
        <w:spacing w:after="0" w:line="79" w:lineRule="exact"/>
        <w:rPr>
          <w:sz w:val="20"/>
          <w:szCs w:val="20"/>
          <w:color w:val="auto"/>
        </w:rPr>
      </w:pPr>
    </w:p>
    <w:p>
      <w:pPr>
        <w:jc w:val="both"/>
        <w:ind w:firstLine="31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w:t>
      </w:r>
      <w:r>
        <w:rPr>
          <w:rFonts w:ascii="Times New Roman" w:cs="Times New Roman" w:eastAsia="Times New Roman" w:hAnsi="Times New Roman"/>
          <w:sz w:val="16"/>
          <w:szCs w:val="16"/>
          <w:color w:val="auto"/>
        </w:rPr>
        <w:t>Equity in earnings or losses of unconsolidated affiliates includes our share of income or losses from equity investees.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three month periods ended September 30, 2019 and 2018, equity in earnings from unconsolidated affiliates totaled approximately $7 million and $8 million, respectively, and related primarily to our investments in the Waha JVs.</w:t>
      </w:r>
    </w:p>
    <w:p>
      <w:pPr>
        <w:spacing w:after="0" w:line="73" w:lineRule="exact"/>
        <w:rPr>
          <w:sz w:val="20"/>
          <w:szCs w:val="20"/>
          <w:color w:val="auto"/>
        </w:rPr>
      </w:pPr>
    </w:p>
    <w:p>
      <w:pPr>
        <w:jc w:val="both"/>
        <w:ind w:firstLine="310"/>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Other expense, net. </w:t>
      </w:r>
      <w:r>
        <w:rPr>
          <w:rFonts w:ascii="Times New Roman" w:cs="Times New Roman" w:eastAsia="Times New Roman" w:hAnsi="Times New Roman"/>
          <w:sz w:val="14"/>
          <w:szCs w:val="14"/>
          <w:color w:val="auto"/>
        </w:rPr>
        <w:t>Other expense, net, consists primarily of gains or losses from sales of, or changes in estimated recoveries from, assets and investments, certain legal/other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settlements and gains or losses from changes to estimated earn-out accruals. Other expense, net, was $8 million for the three month period ended September 30, 2019, as compared with approximately $0.3 million of expense for the same period in 2018. For the three month period ended September 30, 2019, other expense, net, included approximately $11 million of expense from changes to estimated earn-out accruals, net, offset, in part, by $4 million of gains on sales of equipment, net. For the three month period ended September 30, 2018, other expense, net, included approximately $6 million of expense from changes to estimated earn-out accruals, net, offset, in part, by $5 million of gains on sales of equipment, net.</w:t>
      </w:r>
    </w:p>
    <w:p>
      <w:pPr>
        <w:spacing w:after="0" w:line="52" w:lineRule="exact"/>
        <w:rPr>
          <w:sz w:val="20"/>
          <w:szCs w:val="20"/>
          <w:color w:val="auto"/>
        </w:rPr>
      </w:pPr>
    </w:p>
    <w:p>
      <w:pPr>
        <w:jc w:val="both"/>
        <w:ind w:firstLine="310"/>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Provision for income taxes. </w:t>
      </w:r>
      <w:r>
        <w:rPr>
          <w:rFonts w:ascii="Times New Roman" w:cs="Times New Roman" w:eastAsia="Times New Roman" w:hAnsi="Times New Roman"/>
          <w:sz w:val="14"/>
          <w:szCs w:val="14"/>
          <w:color w:val="auto"/>
        </w:rPr>
        <w:t>Income tax expense was $43 million for the three month period ended September 30, 2019 as compared with $25 million for the same period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prior year. In the third quarter of 2019, pre-tax income increased to $173 million as compared with $146 million for the same period in the prior year. Our effective tax rate increased to 25.0% for the three month period ended September 30, 2019 from 17.2% for the same period in 2018. Although our effective tax rate for the three month period ended September 30, 2019 included the favorable effects of reduced foreign earnings and adjustments from the finalization of our 2018 tax returns, for the three month period ended September 30, 2018, our effective tax rate included a net tax benefit of approximately $18 million related to the 2017 Tax Act, including from finalization of our tax return for the year ended December 31, 2017, certain tax accounting method changes and other adjustments to the initial remeasurement of our deferred tax balances as of December 31, 2017.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Analysis of EBITDA by Segment</w:t>
      </w:r>
    </w:p>
    <w:p>
      <w:pPr>
        <w:spacing w:after="0" w:line="100"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$57 million, or 8.4% of revenue, for the three month period ended September 30, 2019,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$75 million, or 11.3% of revenue, for the same period in 2018, a decrease of approximately $18 million, or 24%. As a percentage of revenue, EBITDA decreased by approximately 290 basis points, or $20 million, due to project inefficiencies and costs incurred to expand operating capacity to support expected future business growth. The decrease in EBITDA from reduced EBITDA margins was offset, in part, by higher levels of revenue, which contributed an increase in EBITDA of $2 million.</w:t>
      </w:r>
    </w:p>
    <w:p>
      <w:pPr>
        <w:spacing w:after="0" w:line="79"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$213 million, or 21.9% of revenue, for the three month period ended September 30, 2019,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$156 million, or 15.0% of revenue, for the same period in 2018, an increase of $57 million, or 37%. Improved productivity contributed an increase in EBITDA of approximately $67 million, whereas lower levels of revenue contributed a decrease in EBITDA of $10 million. EBITDA margins increased by approximately 690 basis points due primarily to improved project efficiencies, closeouts and mix.</w:t>
      </w:r>
    </w:p>
    <w:p>
      <w:pPr>
        <w:spacing w:after="0" w:line="79"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Electrical Transmission Segment. </w:t>
      </w:r>
      <w:r>
        <w:rPr>
          <w:rFonts w:ascii="Times New Roman" w:cs="Times New Roman" w:eastAsia="Times New Roman" w:hAnsi="Times New Roman"/>
          <w:sz w:val="16"/>
          <w:szCs w:val="16"/>
          <w:color w:val="auto"/>
        </w:rPr>
        <w:t>EBITDA for our Electrical Transmission segment was $8 million, or 7.6% of revenue, for the three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2019, as compared with EBITDA of $3 million, or 3.1% of revenue, for the same period in 2018, an increase in EBITDA of approximately $5 million, or 153%, due primarily to improved project efficiencies, closeouts and mix. As a percentage of revenue, EBITDA increased by approximately 450 basis points.</w:t>
      </w:r>
    </w:p>
    <w:p>
      <w:pPr>
        <w:spacing w:after="0" w:line="73" w:lineRule="exact"/>
        <w:rPr>
          <w:sz w:val="20"/>
          <w:szCs w:val="20"/>
          <w:color w:val="auto"/>
        </w:rPr>
      </w:pPr>
    </w:p>
    <w:p>
      <w:pPr>
        <w:jc w:val="both"/>
        <w:ind w:firstLine="620"/>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Power Generation and Industrial Segment. </w:t>
      </w:r>
      <w:r>
        <w:rPr>
          <w:rFonts w:ascii="Times New Roman" w:cs="Times New Roman" w:eastAsia="Times New Roman" w:hAnsi="Times New Roman"/>
          <w:sz w:val="14"/>
          <w:szCs w:val="14"/>
          <w:color w:val="auto"/>
        </w:rPr>
        <w:t>EBITDA for our Power Generation and Industrial segment was $2 million, or 0.9% of revenue, for the three month period ended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September 30, 2019, as compared with EBITDA of $10 million, or 5.4% of revenue, for the same period in 2018, a decrease in EBITDA of $7 million, or 76%. As a percentage of revenue, EBITDA decreased by approximately 450 basis points, or $12 million, as compared with the same period in the prior year, due primarily to a combination of reduced project efficiencies, including weather-related inefficiencies, closeouts and mix, as well as costs incurred to expand operating capacity to support expected future business growth. The decrease in EBITDA from reduced EBITDA margins was offset, in part, by higher levels of revenue, which contributed an increase in EBITDA of $4 million.</w:t>
      </w:r>
    </w:p>
    <w:p>
      <w:pPr>
        <w:spacing w:after="0" w:line="52"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was generally flat at $7 million for both the three month periods ended September 30, 2019 and 2018, and included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$7 million and $8 million, respectively, of equity in earnings from unconsolidated affiliates, related primarily to our investments in the Waha JVs. Other segment EBITDA for the three month period ended September 30, 2018 also included negative EBITDA of approximately $1 million from our oil and gas operations in Mexico.</w:t>
      </w:r>
    </w:p>
    <w:p>
      <w:pPr>
        <w:spacing w:after="0" w:line="73" w:lineRule="exact"/>
        <w:rPr>
          <w:sz w:val="20"/>
          <w:szCs w:val="20"/>
          <w:color w:val="auto"/>
        </w:rPr>
      </w:pPr>
    </w:p>
    <w:p>
      <w:pPr>
        <w:jc w:val="both"/>
        <w:ind w:firstLine="620"/>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Corporate. </w:t>
      </w:r>
      <w:r>
        <w:rPr>
          <w:rFonts w:ascii="Times New Roman" w:cs="Times New Roman" w:eastAsia="Times New Roman" w:hAnsi="Times New Roman"/>
          <w:sz w:val="14"/>
          <w:szCs w:val="14"/>
          <w:color w:val="auto"/>
        </w:rPr>
        <w:t>Corporate EBITDA was negative $39 million for the three month period ended September 30, 2019, as compared with EBITDA of negative $28 million for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same period in 2018, for a decrease in EBITDA of approximately $12 million. Corporate EBITDA for the three month period ended September 30, 2019 included approximately $11 million of expense related to changes in estimated earn-out accruals, net, as compared with approximately $6 million of expense, net, for the same period in the prior year. Excluding the effects of changes in estimated earn-out accruals, other corporate expenses for the three month period ended September 30, 2019 increased by approximately $6 million as compared with the same period in the prior year. Corporate expenses for the three month period ended September 30, 2019 included increases in various administrative costs, including information technology and incentive and compensation expense, partially offset by the effect of timing of other corporate legal and settlement matters.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420"/>
          </w:cols>
          <w:pgMar w:left="240" w:top="463"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2019 Compared to Nine Months Ended September 30, 2018</w:t>
      </w:r>
    </w:p>
    <w:p>
      <w:pPr>
        <w:spacing w:after="0" w:line="100" w:lineRule="exact"/>
        <w:rPr>
          <w:sz w:val="20"/>
          <w:szCs w:val="20"/>
          <w:color w:val="auto"/>
        </w:rPr>
      </w:pPr>
    </w:p>
    <w:p>
      <w:pPr>
        <w:jc w:val="both"/>
        <w:ind w:firstLine="31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nine month period ended September 30, 2019, consolidated revenue totaled $5,474 million as compared with $4,992 million for the same period in 2018,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 of $482 million, or 10%. Revenue increases in our Power Generation and Industrial segment of $258 million, or 58%, our Oil and Gas segment of $189 million, or 8%, our Communications segment of $37 million, or 2%, and in our Electrical Transmission segment of $1 million were partially offset by a decrease in revenue in our Other segment of $4 million. Acquisitions contributed $117 million in revenue for the nine month period ended September 30, 2019, and organic revenue increased by approximately $365 million, or 7%, as compared with the same period in 2018.</w:t>
      </w:r>
    </w:p>
    <w:p>
      <w:pPr>
        <w:spacing w:after="0" w:line="80" w:lineRule="exact"/>
        <w:rPr>
          <w:sz w:val="20"/>
          <w:szCs w:val="20"/>
          <w:color w:val="auto"/>
        </w:rPr>
      </w:pPr>
    </w:p>
    <w:p>
      <w:pPr>
        <w:jc w:val="both"/>
        <w:ind w:firstLine="62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Communications Segment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Communications revenue was $1,945 million for the nine month period ended September 30, 2019, as compared with $1,908 million for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same period in 2018, an increase of $37 million, or 2%. Organic revenue increased by approximately $33 million, or 2%, as compared with the same period in 2018, and acquisitions contributed $4 million of revenue for the nine month period ended September 30, 2019. The increase in organic revenue was primarily driven by higher levels of wireless and wireline/fiber revenue, partially offset by a decrease in storm restoration services and in install-to-the-home revenue as compared with the same period in the prior year.</w:t>
      </w:r>
    </w:p>
    <w:p>
      <w:pPr>
        <w:spacing w:after="0" w:line="46"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$2,531 million for the nine month period ended September 30, 2019, as compared with $2,342 million for the same period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2018, an increase of $189 million, or 8%. Organic revenue increased by approximately $79 million, or 3%, as compared with the same period in 2018, and acquisitions contributed $110 million of revenue for the nine month period ended September 30, 2019. The increase in organic revenue was due primarily to increased demand for pipeline projects, including from project activity and mix, partially offset by the effect of regulatory disruptions on selected long-haul pipeline construction activity.</w:t>
      </w:r>
    </w:p>
    <w:p>
      <w:pPr>
        <w:spacing w:after="0" w:line="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i w:val="1"/>
          <w:iCs w:val="1"/>
          <w:color w:val="auto"/>
        </w:rPr>
        <w:t>Electrical Transmission Segment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Electrical Transmission revenue was generally flat at approximately $298 million for the nine month periods ended September 30, 2019</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2018.</w:t>
      </w:r>
    </w:p>
    <w:p>
      <w:pPr>
        <w:spacing w:after="0" w:line="80"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Power Generation and Industrial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Generation and Industrial revenue was $701 million for the nine month period ended September 30, 2019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$443 million for the same period in 2018, an increase of $258 million, or 58%. Organic revenue increased by approximately $255 million, or 58%, as compared with the same period in 2018, and acquisitions contributed $3 million of revenue for the nine month period ended September 30, 2019. The increase in organic revenue was driven by higher levels of renewable power project activity.</w:t>
      </w:r>
    </w:p>
    <w:p>
      <w:pPr>
        <w:spacing w:after="0" w:line="7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Other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segment revenue decreased by $4 million for the nine month period ended September 30, 2019 as compared with the same period in 2018 due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primarily to decreases in our international oil and gas operations and on a proportionately consolidated non-controlled Canadian joint venture.</w:t>
      </w:r>
    </w:p>
    <w:p>
      <w:pPr>
        <w:spacing w:after="0" w:line="63" w:lineRule="exact"/>
        <w:rPr>
          <w:sz w:val="20"/>
          <w:szCs w:val="20"/>
          <w:color w:val="auto"/>
        </w:rPr>
      </w:pPr>
    </w:p>
    <w:p>
      <w:pPr>
        <w:jc w:val="both"/>
        <w:ind w:firstLine="31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increased by $351 million, or 8%, from $4,285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nine month period ended September 30, 2018 to $4,636 million for the same period in 2019. Higher levels of revenue contributed an increase in costs of revenue, excluding depreciation and amortization, of $414 million, offset, in part, by a decrease of approximately $63 million from improved productivity. Costs of revenue, excluding depreciation and amortization, as a percentage of revenue decreased by approximately 110 basis points, from 85.8% of revenue for the nine month period ended September 30, 2018 to 84.7% of revenue for the same period in 2019. The basis point decrease was primarily driven by improved project efficiencies, closeouts and mix in our Oil and Gas and Electrical Transmission segments, offset, in part, by project inefficiencies and mix, including from lower levels of storm restoration services, as well as costs incurred to expand operating capacity to support expected future business growth in our Communications and Power Generation and Industrial segments.</w:t>
      </w:r>
    </w:p>
    <w:p>
      <w:pPr>
        <w:spacing w:after="0" w:line="82" w:lineRule="exact"/>
        <w:rPr>
          <w:sz w:val="20"/>
          <w:szCs w:val="20"/>
          <w:color w:val="auto"/>
        </w:rPr>
      </w:pPr>
    </w:p>
    <w:p>
      <w:pPr>
        <w:jc w:val="both"/>
        <w:ind w:firstLine="31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and amortization. </w:t>
      </w:r>
      <w:r>
        <w:rPr>
          <w:rFonts w:ascii="Times New Roman" w:cs="Times New Roman" w:eastAsia="Times New Roman" w:hAnsi="Times New Roman"/>
          <w:sz w:val="16"/>
          <w:szCs w:val="16"/>
          <w:color w:val="auto"/>
        </w:rPr>
        <w:t>Depreciation and amortization was $174 million, or 3.2% of revenue, for the nine month period ended September 30, 2019 as compared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$156 million, or 3.1% of revenue, in 2018, an increase of $18 million, or 11%. Acquisitions contributed $8 million of depreciation and amortization for the nine month period ended September 30, 2019. As a percentage of revenue, depreciation and amortization increased by 10 basis points, due primarily to the effects of acquisition activity.</w:t>
      </w:r>
    </w:p>
    <w:p>
      <w:pPr>
        <w:spacing w:after="0" w:line="73" w:lineRule="exact"/>
        <w:rPr>
          <w:sz w:val="20"/>
          <w:szCs w:val="20"/>
          <w:color w:val="auto"/>
        </w:rPr>
      </w:pPr>
    </w:p>
    <w:p>
      <w:pPr>
        <w:jc w:val="both"/>
        <w:ind w:firstLine="310"/>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General and administrative expenses were $221 million, or 4.0% of revenue, for the nine month period ended September 30, 2019,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compared with $212 million, or 4.2% of revenue, for the same period in 2018, an increase of $9 million, or 4%. Acquisitions contributed $4 million of general and administrative expenses for the nine month period ended September 30, 2019. Excluding the effects of acquisitions, administrative expenses increased by approximately $5 million as compared with the same period in the prior year. For the nine month period ended September 30, 2019, general and administrative expenses included increased administrative costs to support growth in our businesses as well as an increase in various other administrative costs, including incentive and compensation expense, partially offset by the effect of timing of other legal, arbitral and settlement matters as compared with the same period in the prior year. Overall, general and administrative expenses as a percentage of revenue decreased by approximately 20 basis points for the nine month period ended September 30, 2019 as compared with the same period in 2018, due, in part, to higher levels of revenue.</w:t>
      </w:r>
    </w:p>
    <w:p>
      <w:pPr>
        <w:spacing w:after="0" w:line="55" w:lineRule="exact"/>
        <w:rPr>
          <w:sz w:val="20"/>
          <w:szCs w:val="20"/>
          <w:color w:val="auto"/>
        </w:rPr>
      </w:pPr>
    </w:p>
    <w:p>
      <w:pPr>
        <w:jc w:val="both"/>
        <w:ind w:firstLine="31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$58 million, or 1.1% of revenue, for the nine month period ended September 30, 2019 as compared with $60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or 1.2% of revenue, in the same period in 2018. The decrease in interest expense related primarily to $5 million of recovery of interest costs from a second quarter 2019 arbitration award, offset, in part, by an increase in interest expense from credit facility activity. The increase in credit facility-related interest expense resulted primarily from higher average interest rates.</w:t>
      </w:r>
    </w:p>
    <w:p>
      <w:pPr>
        <w:spacing w:after="0" w:line="79" w:lineRule="exact"/>
        <w:rPr>
          <w:sz w:val="20"/>
          <w:szCs w:val="20"/>
          <w:color w:val="auto"/>
        </w:rPr>
      </w:pPr>
    </w:p>
    <w:p>
      <w:pPr>
        <w:jc w:val="both"/>
        <w:ind w:firstLine="31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w:t>
      </w:r>
      <w:r>
        <w:rPr>
          <w:rFonts w:ascii="Times New Roman" w:cs="Times New Roman" w:eastAsia="Times New Roman" w:hAnsi="Times New Roman"/>
          <w:sz w:val="16"/>
          <w:szCs w:val="16"/>
          <w:color w:val="auto"/>
        </w:rPr>
        <w:t>Equity in earnings or losses of unconsolidated affiliates includes our share of income or losses from equity investees. For the nine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month periods ended September 30, 2019, equity in earnings from unconsolidated affiliates totaled approximately $20 million, as compared with $19 million for the same period in 2018, and related primarily to our investments in the Waha JVs.</w:t>
      </w:r>
    </w:p>
    <w:p>
      <w:pPr>
        <w:spacing w:after="0" w:line="73" w:lineRule="exact"/>
        <w:rPr>
          <w:sz w:val="20"/>
          <w:szCs w:val="20"/>
          <w:color w:val="auto"/>
        </w:rPr>
      </w:pPr>
    </w:p>
    <w:p>
      <w:pPr>
        <w:jc w:val="both"/>
        <w:ind w:firstLine="31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expense, net. </w:t>
      </w:r>
      <w:r>
        <w:rPr>
          <w:rFonts w:ascii="Times New Roman" w:cs="Times New Roman" w:eastAsia="Times New Roman" w:hAnsi="Times New Roman"/>
          <w:sz w:val="16"/>
          <w:szCs w:val="16"/>
          <w:color w:val="auto"/>
        </w:rPr>
        <w:t>Other expense, net, was $16 million for the nine month period ended September 30, 2019, as compared with other income, net, of $2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2018. For the nine month period ended September 30, 2019, other expense, net, included approximately $48 million of expense from changes to estimated earn-out accruals, net, offset, in part, by $19 million of income from a second quarter 2019 arbitration award, $10 million of gains on sales of equipment, net, and $2 million of income from the settlement of an investment that was in the final stages of liquidation and gains on sales of other assets. For the nine month period ended September 30, 2018, other income, net, included approximately $12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420"/>
          </w:cols>
          <w:pgMar w:left="240" w:top="563" w:right="239" w:bottom="1440" w:gutter="0" w:footer="0" w:header="0"/>
        </w:sectPr>
      </w:pPr>
    </w:p>
    <w:bookmarkStart w:id="36" w:name="page37"/>
    <w:bookmarkEnd w:id="36"/>
    <w:p>
      <w:pPr>
        <w:jc w:val="both"/>
        <w:spacing w:after="0" w:line="257" w:lineRule="auto"/>
        <w:rPr>
          <w:sz w:val="20"/>
          <w:szCs w:val="20"/>
          <w:color w:val="auto"/>
        </w:rPr>
      </w:pPr>
      <w:r>
        <w:rPr>
          <w:rFonts w:ascii="Times New Roman" w:cs="Times New Roman" w:eastAsia="Times New Roman" w:hAnsi="Times New Roman"/>
          <w:sz w:val="16"/>
          <w:szCs w:val="16"/>
          <w:color w:val="auto"/>
        </w:rPr>
        <w:t>million of gains on sales of equipment, net, partially offset by approximately $10 million of expense from changes to estimated earn-out accruals, net, and $1 million of expense related to changes in expected recoveries for the previously mentioned investment.</w:t>
      </w:r>
    </w:p>
    <w:p>
      <w:pPr>
        <w:spacing w:after="0" w:line="67" w:lineRule="exact"/>
        <w:rPr>
          <w:sz w:val="20"/>
          <w:szCs w:val="20"/>
          <w:color w:val="auto"/>
        </w:rPr>
      </w:pPr>
    </w:p>
    <w:p>
      <w:pPr>
        <w:jc w:val="both"/>
        <w:ind w:firstLine="31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Income tax expense was $95 million for the nine month period ended September 30, 2019 as compared with $72 million for the same period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prior year. For the nine month period ended September 30, 2019, pre-tax income increased to $388 million as compared with $299 million for the same period in the prior year. Our effective tax rate increased to 24.5% for the nine month period ended September 30, 2019 from 24.0% for the same period in 2018. Our effective tax rate for the nine month period ended September 30, 2019 included the favorable effects of reduced foreign earnings, the recognition of approximately $2 million of excess tax benefits from the vesting of share-based awards, adjustments from the finalization of our 2018 tax returns and the effects of foreign tax rate changes, whereas for the nine month period ended September 30, 2018, our effective tax rate included a net tax benefit of approximately $16 million related to the 2017 Tax Act, including from finalization of our tax return for the year ended December 31, 2017, certain tax accounting method changes and other adjustments to the initial remeasurement of our deferred tax balances as of December 31, 2017.</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Analysis of EBITDA by Segment</w:t>
      </w:r>
    </w:p>
    <w:p>
      <w:pPr>
        <w:spacing w:after="0" w:line="100"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$155 million, or 8.0% of revenue, for the nine month period ended September 30, 2019,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$231 million, or 12.1% of revenue, for the same period in 2018, a decrease of approximately $76 million, or 33%. As a percentage of revenue, EBITDA decreased by approximately 410 basis points, or $80 million, primarily due to project inefficiencies and mix, including from lower levels of storm restoration services as well as costs incurred to expand operating capacity to support expected future business growth. The decrease in EBITDA from reduced EBITDA margins was offset, in part, by higher levels of revenue, which contributed an increase in EBITDA of $5 million.</w:t>
      </w:r>
    </w:p>
    <w:p>
      <w:pPr>
        <w:spacing w:after="0" w:line="80"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$500 million, or 19.7% of revenue, for the nine month period ended September 30, 2019, as compared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$312 million, or 13.3% of revenue, for the same period in 2018, an increase of $188 million, or 60%. Improved productivity contributed an increase in EBITDA of approximately $163 million, and higher levels of revenue contributed an increase in EBITDA of $25 million. EBITDA margins increased by approximately 640 basis points due primarily to improved project efficiencies, closeouts and mix.</w:t>
      </w:r>
    </w:p>
    <w:p>
      <w:pPr>
        <w:spacing w:after="0" w:line="79"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Electrical Transmission Segment. </w:t>
      </w:r>
      <w:r>
        <w:rPr>
          <w:rFonts w:ascii="Times New Roman" w:cs="Times New Roman" w:eastAsia="Times New Roman" w:hAnsi="Times New Roman"/>
          <w:sz w:val="16"/>
          <w:szCs w:val="16"/>
          <w:color w:val="auto"/>
        </w:rPr>
        <w:t>EBITDA for our Electrical Transmission segment was $20 million, or 6.8% of revenue, for the nine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2019, as compared with EBITDA of approximately $5 million, or 1.7% of revenue, for the same period in 2018, an increase in EBITDA of approximately $15 million, or 309%, due primarily to improved project efficiencies, closeouts and mix. As a percentage of revenue, EBITDA increased by approximately 510 basis points.</w:t>
      </w:r>
    </w:p>
    <w:p>
      <w:pPr>
        <w:spacing w:after="0" w:line="73" w:lineRule="exact"/>
        <w:rPr>
          <w:sz w:val="20"/>
          <w:szCs w:val="20"/>
          <w:color w:val="auto"/>
        </w:rPr>
      </w:pPr>
    </w:p>
    <w:p>
      <w:pPr>
        <w:jc w:val="both"/>
        <w:ind w:firstLine="620"/>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Power Generation and Industrial Segment. </w:t>
      </w:r>
      <w:r>
        <w:rPr>
          <w:rFonts w:ascii="Times New Roman" w:cs="Times New Roman" w:eastAsia="Times New Roman" w:hAnsi="Times New Roman"/>
          <w:sz w:val="14"/>
          <w:szCs w:val="14"/>
          <w:color w:val="auto"/>
        </w:rPr>
        <w:t>EBITDA for our Power Generation and Industrial segment was $14 million, or 2.1% of revenue, for the nine month period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ended September 30, 2019, as compared with EBITDA of $24 million, or 5.5% of revenue, for the same period in 2018, a decrease in EBITDA of $10 million, or 41%. As a percentage of revenue, EBITDA decreased by approximately 340 basis points, or $24 million, as compared with the same period in the prior year, due primarily to a combination of reduced project efficiencies, including weather-related inefficiencies, closeouts and mix, as well as costs incurred to expand operating capacity to support expected future business growth. The decrease in EBITDA from reduced EBITDA margins was offset, in part, by higher levels of revenue, which contributed an increase in EBITDA of $14 million.</w:t>
      </w:r>
    </w:p>
    <w:p>
      <w:pPr>
        <w:spacing w:after="0" w:line="52"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was $19 million and $20 million, respectively, for the nine month periods ended September 30, 2019 and 2018.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segment EBITDA for the nine month periods ended September 30, 2019 and 2018 included approximately $20 million and $19 million, respectively, of equity in earnings of unconsolidated affiliates related primarily to our investment in the Waha JVs, and for the nine month period ended September 30, 2018, included $1 million in gains on a proportionately consolidated non-controlled jointed venture.</w:t>
      </w:r>
    </w:p>
    <w:p>
      <w:pPr>
        <w:spacing w:after="0" w:line="79"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w:t>
      </w:r>
      <w:r>
        <w:rPr>
          <w:rFonts w:ascii="Times New Roman" w:cs="Times New Roman" w:eastAsia="Times New Roman" w:hAnsi="Times New Roman"/>
          <w:sz w:val="16"/>
          <w:szCs w:val="16"/>
          <w:color w:val="auto"/>
        </w:rPr>
        <w:t>Corporate EBITDA was negative $88 million for the nine month period ended September 30, 2019, as compared with EBITDA of negative $75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2018, for a decrease in EBITDA of approximately $13 million. Corporate EBITDA for the nine month period ended September 30, 2019 included approximately $48 million of expense related to changes in estimated earn-out accruals, net, partially offset by approximately $19 million of recovery of legal costs and other income from a second quarter 2019 arbitration award and $2 million of income from the settlement of an investment that was in the final stages of liquidation. Corporate EBITDA for the nine month period ended September 30, 2018 included $10 million of expense, net, related to changes in estimated earn-out accruals and approximately $1 million of expense from changes in expected recoveries for the previously mentioned investment. Excluding the effects of these items, other corporate expenses for the nine month period ended September 30, 2019 decreased by approximately $3 million as compared with the same period in the prior year. Other corporate expenses for the nine month period ended September 30, 2019 included the effect of timing of other corporate legal and settlement matters, partially offset by increases in various administrative costs, including information technology and incentive and compensation expense as compared with the same period in the prior year.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Operations</w:t>
      </w:r>
    </w:p>
    <w:p>
      <w:pPr>
        <w:spacing w:after="0" w:line="10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Our foreign operations are primarily in Canada and, to a lesser extent, in Mexico. See Note 13 - Segments and Related Information in the notes to the consolidated financial statements, which is incorporated by reference.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0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project results from a proportionately consolidated non-controlled Canadian joint venture that was underway when we acquired Pacer in 2014, and whose sole activity was the construction of a bridge, a business in which we do not otherwise engage, is managed by a third party, and for which we have minimal direct construction involvement and automatically terminates upon completion of the project; and, for Adjusted Net Income and Adjusted Diluted Earnings Per Share, the tax effects of the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420"/>
          </w:cols>
          <w:pgMar w:left="240" w:top="463" w:right="239" w:bottom="1440" w:gutter="0" w:footer="0" w:header="0"/>
        </w:sectPr>
      </w:pPr>
    </w:p>
    <w:bookmarkStart w:id="37" w:name="page38"/>
    <w:bookmarkEnd w:id="37"/>
    <w:p>
      <w:pPr>
        <w:jc w:val="both"/>
        <w:spacing w:after="0" w:line="246" w:lineRule="auto"/>
        <w:rPr>
          <w:sz w:val="20"/>
          <w:szCs w:val="20"/>
          <w:color w:val="auto"/>
        </w:rPr>
      </w:pPr>
      <w:r>
        <w:rPr>
          <w:rFonts w:ascii="Times New Roman" w:cs="Times New Roman" w:eastAsia="Times New Roman" w:hAnsi="Times New Roman"/>
          <w:sz w:val="16"/>
          <w:szCs w:val="16"/>
          <w:color w:val="auto"/>
        </w:rPr>
        <w:t>adjusted items, including non-cash stock based compensation expense, and the effects of changes in statutory tax rates, including the effects of the 2017 Tax Act. These definitions of EBITDA and Adjusted EBITDA are not the same as in our Credit Facility or in the indenture governing our notes; therefore, EBITDA and Adjusted EBITDA as presented in this discussion should not be used for purposes of determining our compliance with the covenants contained in our debt instruments.</w:t>
      </w:r>
    </w:p>
    <w:p>
      <w:pPr>
        <w:spacing w:after="0" w:line="80" w:lineRule="exact"/>
        <w:rPr>
          <w:sz w:val="20"/>
          <w:szCs w:val="20"/>
          <w:color w:val="auto"/>
        </w:rPr>
      </w:pPr>
    </w:p>
    <w:p>
      <w:pPr>
        <w:jc w:val="both"/>
        <w:ind w:firstLine="620"/>
        <w:spacing w:after="0" w:line="289" w:lineRule="auto"/>
        <w:rPr>
          <w:sz w:val="20"/>
          <w:szCs w:val="20"/>
          <w:color w:val="auto"/>
        </w:rPr>
      </w:pPr>
      <w:r>
        <w:rPr>
          <w:rFonts w:ascii="Times New Roman" w:cs="Times New Roman" w:eastAsia="Times New Roman" w:hAnsi="Times New Roman"/>
          <w:sz w:val="14"/>
          <w:szCs w:val="14"/>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Non-cash stock-based compensation expense can be subject to volatility from changes in the market price per share of our common stock or variations in the value and number of shares granted. Additionally, these adjusted measures provide a baseline for analyzing trends in our underlying business.</w:t>
      </w:r>
    </w:p>
    <w:p>
      <w:pPr>
        <w:spacing w:after="0" w:line="51"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4"/>
          <w:szCs w:val="14"/>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58"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gridSpan w:val="11"/>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00" w:type="dxa"/>
            <w:vAlign w:val="bottom"/>
          </w:tcPr>
          <w:p>
            <w:pPr>
              <w:spacing w:after="0"/>
              <w:rPr>
                <w:sz w:val="17"/>
                <w:szCs w:val="17"/>
                <w:color w:val="auto"/>
              </w:rPr>
            </w:pPr>
          </w:p>
        </w:tc>
        <w:tc>
          <w:tcPr>
            <w:tcW w:w="3380" w:type="dxa"/>
            <w:vAlign w:val="bottom"/>
            <w:gridSpan w:val="10"/>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32"/>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r>
      <w:tr>
        <w:trPr>
          <w:trHeight w:val="220"/>
        </w:trPr>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3"/>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3"/>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3"/>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w w:val="93"/>
              </w:rPr>
              <w:t>2018</w:t>
            </w:r>
          </w:p>
        </w:tc>
      </w:tr>
      <w:tr>
        <w:trPr>
          <w:trHeight w:val="32"/>
        </w:trPr>
        <w:tc>
          <w:tcPr>
            <w:tcW w:w="4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27"/>
        </w:trPr>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32"/>
        </w:trPr>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8"/>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27"/>
        </w:trPr>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32"/>
        </w:trPr>
        <w:tc>
          <w:tcPr>
            <w:tcW w:w="4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207"/>
        </w:trPr>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32"/>
        </w:trPr>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8"/>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0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633.0</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32"/>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 reconciliation of EBITDA to Adjusted EBITDA and Adjusted EBITDA margin by reportable segment, for the periods indicated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1"/>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00" w:type="dxa"/>
            <w:vAlign w:val="bottom"/>
          </w:tcPr>
          <w:p>
            <w:pPr>
              <w:spacing w:after="0"/>
              <w:rPr>
                <w:sz w:val="18"/>
                <w:szCs w:val="18"/>
                <w:color w:val="auto"/>
              </w:rPr>
            </w:pPr>
          </w:p>
        </w:tc>
        <w:tc>
          <w:tcPr>
            <w:tcW w:w="3380" w:type="dxa"/>
            <w:vAlign w:val="bottom"/>
            <w:gridSpan w:val="10"/>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32"/>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r>
      <w:tr>
        <w:trPr>
          <w:trHeight w:val="220"/>
        </w:trPr>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3"/>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w w:val="93"/>
              </w:rPr>
              <w:t>2018</w:t>
            </w:r>
          </w:p>
        </w:tc>
      </w:tr>
      <w:tr>
        <w:trPr>
          <w:trHeight w:val="32"/>
        </w:trPr>
        <w:tc>
          <w:tcPr>
            <w:tcW w:w="4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227"/>
        </w:trPr>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20" w:type="dxa"/>
            <w:vAlign w:val="bottom"/>
          </w:tcPr>
          <w:p>
            <w:pPr>
              <w:spacing w:after="0"/>
              <w:rPr>
                <w:sz w:val="19"/>
                <w:szCs w:val="19"/>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32"/>
        </w:trPr>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8"/>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0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252.1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633.0</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32"/>
        </w:trPr>
        <w:tc>
          <w:tcPr>
            <w:tcW w:w="4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Reportable Segment: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7"/>
        </w:trPr>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Communications</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32"/>
        </w:trPr>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8"/>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Oil and Gas</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499.6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r>
      <w:tr>
        <w:trPr>
          <w:trHeight w:val="227"/>
        </w:trPr>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Electrical Transmission</w:t>
            </w:r>
          </w:p>
        </w:tc>
        <w:tc>
          <w:tcPr>
            <w:tcW w:w="220" w:type="dxa"/>
            <w:vAlign w:val="bottom"/>
          </w:tcPr>
          <w:p>
            <w:pPr>
              <w:spacing w:after="0"/>
              <w:rPr>
                <w:sz w:val="19"/>
                <w:szCs w:val="19"/>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32"/>
        </w:trPr>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8"/>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27"/>
        </w:trPr>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9"/>
                <w:szCs w:val="19"/>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9"/>
                <w:szCs w:val="19"/>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500.9 %</w:t>
            </w:r>
          </w:p>
        </w:tc>
      </w:tr>
      <w:tr>
        <w:trPr>
          <w:trHeight w:val="32"/>
        </w:trPr>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8"/>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NA</w:t>
            </w:r>
          </w:p>
        </w:tc>
      </w:tr>
      <w:tr>
        <w:trPr>
          <w:trHeight w:val="20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252.1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633.0</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32"/>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NM - Percentage is not meaningful</w:t>
      </w:r>
    </w:p>
    <w:p>
      <w:pPr>
        <w:spacing w:after="0" w:line="388"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The tables below, which may contain slight summation differences due to rounding, reconcile reported net income and reported diluted earnings per share, the most directly comparable U.S. GAAP financial measures, to Adjusted Net Income and Adjusted Diluted Earnings Per Share.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420"/>
          </w:cols>
          <w:pgMar w:left="240" w:top="618"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 the Three Months Ended September 30,</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2"/>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0"/>
        </w:trPr>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20" w:type="dxa"/>
            <w:vAlign w:val="bottom"/>
          </w:tcPr>
          <w:p>
            <w:pPr>
              <w:spacing w:after="0"/>
              <w:rPr>
                <w:sz w:val="19"/>
                <w:szCs w:val="19"/>
                <w:color w:val="auto"/>
              </w:rPr>
            </w:pPr>
          </w:p>
        </w:tc>
      </w:tr>
      <w:tr>
        <w:trPr>
          <w:trHeight w:val="32"/>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197"/>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Net Income (in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Diluted Earnings</w:t>
            </w:r>
          </w:p>
        </w:tc>
        <w:tc>
          <w:tcPr>
            <w:tcW w:w="140" w:type="dxa"/>
            <w:vAlign w:val="bottom"/>
          </w:tcPr>
          <w:p>
            <w:pPr>
              <w:spacing w:after="0"/>
              <w:rPr>
                <w:sz w:val="17"/>
                <w:szCs w:val="17"/>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Net Income (in</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Diluted Earnings</w:t>
            </w:r>
          </w:p>
        </w:tc>
      </w:tr>
      <w:tr>
        <w:trPr>
          <w:trHeight w:val="204"/>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millions)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Per Share</w:t>
            </w:r>
          </w:p>
        </w:tc>
        <w:tc>
          <w:tcPr>
            <w:tcW w:w="140" w:type="dxa"/>
            <w:vAlign w:val="bottom"/>
          </w:tcPr>
          <w:p>
            <w:pPr>
              <w:spacing w:after="0"/>
              <w:rPr>
                <w:sz w:val="17"/>
                <w:szCs w:val="17"/>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millions)</w:t>
            </w:r>
          </w:p>
        </w:tc>
        <w:tc>
          <w:tcPr>
            <w:tcW w:w="180" w:type="dxa"/>
            <w:vAlign w:val="bottom"/>
          </w:tcPr>
          <w:p>
            <w:pPr>
              <w:spacing w:after="0"/>
              <w:rPr>
                <w:sz w:val="17"/>
                <w:szCs w:val="17"/>
                <w:color w:val="auto"/>
              </w:rPr>
            </w:pPr>
          </w:p>
        </w:tc>
        <w:tc>
          <w:tcPr>
            <w:tcW w:w="102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7"/>
              </w:rPr>
              <w:t>Per Share</w:t>
            </w:r>
          </w:p>
        </w:tc>
      </w:tr>
      <w:tr>
        <w:trPr>
          <w:trHeight w:val="32"/>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38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1.52</w:t>
            </w: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8"/>
        </w:trPr>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0.04</w:t>
            </w:r>
          </w:p>
        </w:tc>
      </w:tr>
      <w:tr>
        <w:trPr>
          <w:trHeight w:val="227"/>
        </w:trPr>
        <w:tc>
          <w:tcPr>
            <w:tcW w:w="6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8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0.04</w:t>
            </w:r>
          </w:p>
        </w:tc>
      </w:tr>
      <w:tr>
        <w:trPr>
          <w:trHeight w:val="27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0"/>
                <w:szCs w:val="20"/>
                <w:color w:val="auto"/>
                <w:vertAlign w:val="superscript"/>
              </w:rPr>
              <w:t>(a)</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7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Statutory tax rate effects </w:t>
            </w:r>
            <w:r>
              <w:rPr>
                <w:rFonts w:ascii="Times New Roman" w:cs="Times New Roman" w:eastAsia="Times New Roman" w:hAnsi="Times New Roman"/>
                <w:sz w:val="20"/>
                <w:szCs w:val="20"/>
                <w:color w:val="auto"/>
                <w:vertAlign w:val="superscript"/>
              </w:rPr>
              <w:t>(b)</w:t>
            </w: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22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non-U.S. GAAP measure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38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1.33</w:t>
            </w:r>
          </w:p>
        </w:tc>
      </w:tr>
      <w:tr>
        <w:trPr>
          <w:trHeight w:val="32"/>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30"/>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00" w:type="dxa"/>
            <w:vAlign w:val="bottom"/>
            <w:gridSpan w:val="8"/>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For the Nine Months Ended September 30,</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0"/>
        </w:trPr>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20" w:type="dxa"/>
            <w:vAlign w:val="bottom"/>
          </w:tcPr>
          <w:p>
            <w:pPr>
              <w:spacing w:after="0"/>
              <w:rPr>
                <w:sz w:val="19"/>
                <w:szCs w:val="19"/>
                <w:color w:val="auto"/>
              </w:rPr>
            </w:pPr>
          </w:p>
        </w:tc>
      </w:tr>
      <w:tr>
        <w:trPr>
          <w:trHeight w:val="32"/>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197"/>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Net Income (in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Diluted Earnings</w:t>
            </w:r>
          </w:p>
        </w:tc>
        <w:tc>
          <w:tcPr>
            <w:tcW w:w="140" w:type="dxa"/>
            <w:vAlign w:val="bottom"/>
          </w:tcPr>
          <w:p>
            <w:pPr>
              <w:spacing w:after="0"/>
              <w:rPr>
                <w:sz w:val="17"/>
                <w:szCs w:val="17"/>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Net Income (in</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Diluted Earnings</w:t>
            </w:r>
          </w:p>
        </w:tc>
      </w:tr>
      <w:tr>
        <w:trPr>
          <w:trHeight w:val="204"/>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millions)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Per Share</w:t>
            </w:r>
          </w:p>
        </w:tc>
        <w:tc>
          <w:tcPr>
            <w:tcW w:w="140" w:type="dxa"/>
            <w:vAlign w:val="bottom"/>
          </w:tcPr>
          <w:p>
            <w:pPr>
              <w:spacing w:after="0"/>
              <w:rPr>
                <w:sz w:val="17"/>
                <w:szCs w:val="17"/>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millions)</w:t>
            </w:r>
          </w:p>
        </w:tc>
        <w:tc>
          <w:tcPr>
            <w:tcW w:w="180" w:type="dxa"/>
            <w:vAlign w:val="bottom"/>
          </w:tcPr>
          <w:p>
            <w:pPr>
              <w:spacing w:after="0"/>
              <w:rPr>
                <w:sz w:val="17"/>
                <w:szCs w:val="17"/>
                <w:color w:val="auto"/>
              </w:rPr>
            </w:pPr>
          </w:p>
        </w:tc>
        <w:tc>
          <w:tcPr>
            <w:tcW w:w="102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7"/>
              </w:rPr>
              <w:t>Per Share</w:t>
            </w:r>
          </w:p>
        </w:tc>
      </w:tr>
      <w:tr>
        <w:trPr>
          <w:trHeight w:val="32"/>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38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227.4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2.83</w:t>
            </w: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8"/>
        </w:trPr>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0.13</w:t>
            </w:r>
          </w:p>
        </w:tc>
      </w:tr>
      <w:tr>
        <w:trPr>
          <w:trHeight w:val="227"/>
        </w:trPr>
        <w:tc>
          <w:tcPr>
            <w:tcW w:w="6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32"/>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38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0.11</w:t>
            </w:r>
          </w:p>
        </w:tc>
      </w:tr>
      <w:tr>
        <w:trPr>
          <w:trHeight w:val="27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0"/>
                <w:szCs w:val="20"/>
                <w:color w:val="auto"/>
                <w:vertAlign w:val="superscript"/>
              </w:rPr>
              <w:t>(a)</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7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Statutory tax rate effects </w:t>
            </w:r>
            <w:r>
              <w:rPr>
                <w:rFonts w:ascii="Times New Roman" w:cs="Times New Roman" w:eastAsia="Times New Roman" w:hAnsi="Times New Roman"/>
                <w:sz w:val="20"/>
                <w:szCs w:val="20"/>
                <w:color w:val="auto"/>
                <w:vertAlign w:val="superscript"/>
              </w:rPr>
              <w:t>(b)</w:t>
            </w: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2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non-U.S. GAAP measure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38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20320</wp:posOffset>
            </wp:positionV>
            <wp:extent cx="3404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255"/>
                    </a:xfrm>
                    <a:prstGeom prst="rect">
                      <a:avLst/>
                    </a:prstGeom>
                    <a:noFill/>
                  </pic:spPr>
                </pic:pic>
              </a:graphicData>
            </a:graphic>
          </wp:anchor>
        </w:drawing>
      </w:r>
    </w:p>
    <w:p>
      <w:pPr>
        <w:spacing w:after="0" w:line="56" w:lineRule="exact"/>
        <w:rPr>
          <w:sz w:val="20"/>
          <w:szCs w:val="20"/>
          <w:color w:val="auto"/>
        </w:rPr>
      </w:pPr>
    </w:p>
    <w:p>
      <w:pPr>
        <w:jc w:val="both"/>
        <w:ind w:left="400" w:hanging="397"/>
        <w:spacing w:after="0" w:line="238" w:lineRule="auto"/>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 of the adjusted items that are subject to tax, including the tax effects of non-cash stock-based compensation expense, for which the nine month period ended September 30, 2019 included net tax benefits of $2.3 million from the vesting of share-based payment awards. Tax effects are determined based on the tax treatment of the related item, the incremental statutory tax rate of the jurisdictions pertaining to the adjustment, and their effect on pre-tax income. For the three and nine month periods ended September 30, 2019, our consolidated effective tax rate, as reported, was 25% and 24%, respectively, and as adjusted, was 25% and 26%, respectively. For the three and nine month periods ended September 30, 2018, our consolidated effective tax rate, as reported, was 17% and 24%, respectively, and as adjusted, was 29% for both periods.</w:t>
      </w:r>
    </w:p>
    <w:p>
      <w:pPr>
        <w:spacing w:after="0" w:line="28" w:lineRule="exact"/>
        <w:rPr>
          <w:rFonts w:ascii="Times New Roman" w:cs="Times New Roman" w:eastAsia="Times New Roman" w:hAnsi="Times New Roman"/>
          <w:sz w:val="14"/>
          <w:szCs w:val="14"/>
          <w:color w:val="auto"/>
        </w:rPr>
      </w:pPr>
    </w:p>
    <w:p>
      <w:pPr>
        <w:ind w:left="400" w:hanging="397"/>
        <w:spacing w:after="0" w:line="257" w:lineRule="auto"/>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 period ended September 30, 2019, includes the effects of Canadian provincial statutory tax rates, as well as changes in statutory state tax rates, and for the nine month period ended September 30, 2018, includes the effects of the 2017 Tax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104"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and investments from time to time, and we may consider opportunities to borrow additional funds, or to repurchase, refinance or retire outstanding debt or repurchase additional shares of our outstanding common stock in the future under share repurchase authorizations, any of which may require our use of cash.</w:t>
      </w:r>
    </w:p>
    <w:p>
      <w:pPr>
        <w:spacing w:after="0" w:line="80"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Capital Expenditures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nine month period ended September 30, 2019, we spent $85 million on capital expenditures, or $58 million, net of asset disposals,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incurred approximately $163 million of equipment purchases under finance leases. We estimate that we will spend approximately $125 million on capital expenditures, or approximately $85 million, net of asset disposals, in 2019, and expect to incur approximately $190 million to $200 million of equipment purchases under finance leases. Actual capital expenditures may increase or decrease in the future depending upon business activity levels, as well as ongoing assessments of equipment lease versus buy decisions based on short and long-term equipment requirements.</w:t>
      </w:r>
    </w:p>
    <w:p>
      <w:pPr>
        <w:spacing w:after="0" w:line="80"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Acquisitions and Earn-Out Liabilities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typically utilize cash for business acquisitions and other strategic arrangements, and for the nine 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2019, we used $95 million of cash for this purpose. In the fourth quarter of 2019, we acquired a telecommunications company specializing in a broad range of end-to-end wireless telecommunications solutions for an aggregate of approximately $80 million in cash plus contingent consideration.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obligations as of September 30, 2019 was approximately $152 million. Of this amount, $48 million represents the liability for earn-out obligations that have been earned. The remainder is management’s estimate of potential earn-out obligations that are contingent upon future performance. For the nine month periods ended September 30, 2019 and 2018, we made payments of $30 million and $23 million, respectively, related to earn-out obligations.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420"/>
          </w:cols>
          <w:pgMar w:left="240" w:top="679" w:right="239" w:bottom="1440" w:gutter="0" w:footer="0" w:header="0"/>
        </w:sectPr>
      </w:pPr>
    </w:p>
    <w:bookmarkStart w:id="39" w:name="page40"/>
    <w:bookmarkEnd w:id="39"/>
    <w:p>
      <w:pPr>
        <w:jc w:val="both"/>
        <w:ind w:firstLine="6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For the nine month period ended September 30, 2019, tax payments, net of tax refunds were approximately $74 million. For the nine 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2018, tax refunds, net of tax payments, totaled approximately $13 million and resulted primarily from the application of certain tax accounting methods and the utilization of certain tax credits, as well as the tax effect of an increase in tax depreciation under the tax provisions of the 2017 Tax Act. Our tax payments vary with changes in taxable income and earnings based on estimates of full year taxable income activity and estimated tax rates.</w:t>
      </w:r>
    </w:p>
    <w:p>
      <w:pPr>
        <w:spacing w:after="0" w:line="79"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Working Capital. </w:t>
      </w:r>
      <w:r>
        <w:rPr>
          <w:rFonts w:ascii="Times New Roman" w:cs="Times New Roman" w:eastAsia="Times New Roman" w:hAnsi="Times New Roman"/>
          <w:sz w:val="16"/>
          <w:szCs w:val="16"/>
          <w:color w:val="auto"/>
        </w:rPr>
        <w:t>We need working capital to support seasonal variations in our business, primarily due to the effect of weather conditions on external construction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84"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 milestones and project close-outs can contribute to changes in unbilled revenue. As of September 30, 2019, we expect that substantially all of our CIEB will be billed to customers in the normal course of business within the next twelve months. Total accounts receivable, which consists of contract billings, CIEB and retainage, net of allowance, increased to $2.0 billion as of September 30, 2019 from $1.9 billion as of December 31, 2018, due primarily to higher levels of revenue.</w:t>
      </w:r>
    </w:p>
    <w:p>
      <w:pPr>
        <w:spacing w:after="0" w:line="8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Financial Condition, Liquidity and Capital Resources</w:t>
      </w:r>
    </w:p>
    <w:p>
      <w:pPr>
        <w:spacing w:after="0" w:line="10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share repurchase activity and other liquidity needs for at least the next twelve months.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Sources and Uses of Cash</w:t>
      </w:r>
    </w:p>
    <w:p>
      <w:pPr>
        <w:spacing w:after="0" w:line="10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As of September 30, 2019, we had approximately $864 million in working capital, defined as current assets less current liabilities, as compared with $885 million as of December 31, 2018, a decrease of approximately $21 million. Cash and cash equivalents totaled approximately $43 million and $27 million as of September 30, 2019 and December 31, 2018, respectively.</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Sources and uses of cash are summarized below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6"/>
              </w:rPr>
              <w:t>For the Nine Months Ended September 30,</w:t>
            </w:r>
          </w:p>
        </w:tc>
      </w:tr>
      <w:tr>
        <w:trPr>
          <w:trHeight w:val="32"/>
        </w:trPr>
        <w:tc>
          <w:tcPr>
            <w:tcW w:w="8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8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2"/>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441.4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26.8</w:t>
            </w: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r>
      <w:tr>
        <w:trPr>
          <w:trHeight w:val="32"/>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142.9</w:t>
            </w:r>
          </w:p>
        </w:tc>
      </w:tr>
      <w:tr>
        <w:trPr>
          <w:trHeight w:val="32"/>
        </w:trPr>
        <w:tc>
          <w:tcPr>
            <w:tcW w:w="8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87"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flow from operations is primarily influenced by changes in the timing of demand for our services and operating margins, but can also be affected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working capital needs associated with the various types of services we provide. Working capital is affected by changes in accounts receivable, net, prepaid expenses and other current assets, accounts payable, accrued expenses and BIEC,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nine month period ended September 30, 2019 was $441 million, as compared with approximately $27 million for the same period in 2018. The increase in cash flow from operations was primarily due to the effect of working capital-related changes in assets and liabilities, net.</w:t>
      </w:r>
    </w:p>
    <w:p>
      <w:pPr>
        <w:spacing w:after="0" w:line="84"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4"/>
          <w:szCs w:val="14"/>
          <w:color w:val="auto"/>
        </w:rPr>
        <w:t>Our days sales outstanding, net of BIEC (“DSO”) was generally flat, at 82 as of September 30, 2019 as compared with 81 as of December 31, 2018. DSO is calculated as accounts receivable, net, less BIEC, divided by average daily revenue for the most recently completed quarter as of the balance sheet date. DSOs can fluctuate from period to period due to timing of billings, collections and settlements, timing of project close-outs and retainage collections, changes in project and customer mix and the effect of working capital initiatives. Other than matters subject to litigation, we do not anticipate material collection issues related to our outstanding accounts receivable balances, nor do we have material amounts due from customers experiencing financial difficulties. We expect to collect substantially all of our outstanding accounts receivable, net, within the next twelve months.</w:t>
      </w:r>
    </w:p>
    <w:p>
      <w:pPr>
        <w:spacing w:after="0" w:line="51"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Net cash used in investing activities increased by $1 million to $144 million for the nine month period ended September 30, 2019 from $142 million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nine month period ended September 30, 2018. Cash paid for acquisitions, net, totaled $95 million for the nine month period ended September 30, 2019, as compared with $7 million for the same period in 2018, an increase of approximately $88 million due to our 2019 acquisitions. For the nine month period ended September 30, 2019, we spent $85 million on capital expenditures, or $58 million, net of asset disposals,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420"/>
          </w:cols>
          <w:pgMar w:left="240" w:top="615" w:right="239" w:bottom="1440" w:gutter="0" w:footer="0" w:header="0"/>
        </w:sectPr>
      </w:pPr>
    </w:p>
    <w:bookmarkStart w:id="40" w:name="page41"/>
    <w:bookmarkEnd w:id="40"/>
    <w:p>
      <w:pPr>
        <w:jc w:val="both"/>
        <w:spacing w:after="0"/>
        <w:rPr>
          <w:sz w:val="20"/>
          <w:szCs w:val="20"/>
          <w:color w:val="auto"/>
        </w:rPr>
      </w:pPr>
      <w:r>
        <w:rPr>
          <w:rFonts w:ascii="Times New Roman" w:cs="Times New Roman" w:eastAsia="Times New Roman" w:hAnsi="Times New Roman"/>
          <w:sz w:val="16"/>
          <w:szCs w:val="16"/>
          <w:color w:val="auto"/>
        </w:rPr>
        <w:t>as compared with $134 million, or $105 million, net of asset disposals, for the same period in the prior year, a decrease of $47 million. For the nine month period ended September 30, 2019, payments for other investments totaled $6 million, whereas for the nine month period ended September 30, 2018, payments for other investments totaled $36 million, and related primarily to our equity investment in the Waha JVs and the purchase of an equity investment in a telecommunications entity. For the nine month period ended September 30, 2019, proceeds from other investments totaled $15 million, and included the sale of our investment in the previously mentioned telecommunications entity, as well as the settlement of an investment that was in the final stages of liquidation. For the nine month period ended September 30, 2018, proceeds from other investments totaled $5 million and related to recoveries from the previously mentioned investment.</w:t>
      </w:r>
    </w:p>
    <w:p>
      <w:pPr>
        <w:spacing w:after="0" w:line="81" w:lineRule="exact"/>
        <w:rPr>
          <w:sz w:val="20"/>
          <w:szCs w:val="20"/>
          <w:color w:val="auto"/>
        </w:rPr>
      </w:pPr>
    </w:p>
    <w:p>
      <w:pPr>
        <w:jc w:val="both"/>
        <w:ind w:firstLine="620"/>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Net cash used in financing activities for the nine month period ended September 30, 2019 was $282 million, as compared with cash provided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financing activities of $143 million for the nine month period ended September 30, 2018, for an increase in cash used in financing activities of $425 million. Credit facility and other borrowing-related activity, net, for the nine month period ended September 30, 2019, totaled $187 million of repayments, net of borrowings, as compared with $409 million of borrowings, net of repayments, for the nine month period ended September 30, 2018, for an increase in cash used in financing activities of $596 million. Additionally, we paid $5 million of financing costs related to the third quarter 2019 amendment of our Credit Facility. For the nine month period ended September 30, 2019, payments for repurchases of common stock totaled $6 million, and primarily related to settlement of December 2018 share repurchases, whereas share repurchases for the nine month period ended September 30, 2018 totaled $198 million, for a decrease in cash used in financing activities of approximately $193 million. Payments of acquisition-related contingent consideration included within financing activities totaled $29 million for the nine month period ended September 30, 2019 as compared with $16 million for the nine month period ended September 30, 2018. Total payments of acquisition-related contingent consideration, including payments in excess of acquisition-date liabilities, which are classified within operating activities, totaled $30 million and $23 million for the nine month periods ended September 30, 2019 and 2018, respectively.</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Senior Secured Credit Facility</w:t>
      </w:r>
    </w:p>
    <w:p>
      <w:pPr>
        <w:spacing w:after="0" w:line="104"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color w:val="auto"/>
        </w:rPr>
        <w:t>We have a senior secured credit facility (the “Credit Facility”), which was amended and restated in September 2019. Aggregate borrowing commitments under the amended Credit Facility total $1.75 billion, composed of $1.35 billion of revolving commitments and a term loan totaling $0.4 billion. Borrowings under the Credit Facility are used for working capital requirements, capital expenditures and other corporate purposes, including equity investments, potential acquisitions or other strategic arrangements, the repurchase or prepayment of indebtedness and share repurchases.</w:t>
      </w:r>
    </w:p>
    <w:p>
      <w:pPr>
        <w:spacing w:after="0" w:line="85"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color w:val="auto"/>
        </w:rPr>
        <w:t>We are dependent upon borrowings and letters of credit under the Credit Facility to fund our operations. Should we be unable to comply with the terms and conditions of the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consolidated financial statements, which is incorporated by reference.</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4.875% Senior Notes</w:t>
      </w:r>
    </w:p>
    <w:p>
      <w:pPr>
        <w:spacing w:after="0" w:line="104"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We have $400 million of 4.875% senior notes due March 15, 2023 (our “4.875% Senior Notes”) outstanding, which were issued in 2013 in a registered public offering.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included in our 2018 Form 10-K. Also, see Note 16 - Supplemental Guarantor Condensed Consolidating Financial Information in the notes to the consolidated financial statements in this Form 10-Q, which is incorporated by reference.</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were in compliance with the provisions and covenants contained in our outstanding debt instruments as of September 30, 2019.</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0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For detailed discussion and additional information pertaining to our debt instruments, see Note 7 - Debt in the notes to the audited consolidated financial statements included in our 2018 Form 10-K. Also see Note 7 - Debt in the notes to the consolidated financial statements in this Form 10-Q for current period balances and discussion, which is incorporated by reference.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6"/>
          <w:szCs w:val="16"/>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Times New Roman" w:cs="Times New Roman" w:eastAsia="Times New Roman" w:hAnsi="Times New Roman"/>
          <w:sz w:val="16"/>
          <w:szCs w:val="16"/>
          <w:color w:val="252525"/>
        </w:rPr>
        <w:t>with durations of less than twelve months</w:t>
      </w:r>
      <w:r>
        <w:rPr>
          <w:rFonts w:ascii="Times New Roman" w:cs="Times New Roman" w:eastAsia="Times New Roman" w:hAnsi="Times New Roman"/>
          <w:sz w:val="16"/>
          <w:szCs w:val="16"/>
          <w:color w:val="auto"/>
        </w:rPr>
        <w:t>,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and other investment arrangements, including our variable interest entities. Refer to Note 14 - Commitments and Contingencies, Note 4 - Fair Value of Financial Instruments and Note 15 - Related Party Transactions in the notes to the consolidated financial statements, which are incorporated by reference.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104"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which have caused volatility in the oil and gas markets in the past. We closely monitor inflationary factors and any impact they may have on our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420"/>
          </w:cols>
          <w:pgMar w:left="240" w:top="618" w:right="239" w:bottom="1440" w:gutter="0" w:footer="0" w:header="0"/>
        </w:sectPr>
      </w:pPr>
    </w:p>
    <w:bookmarkStart w:id="41" w:name="page42"/>
    <w:bookmarkEnd w:id="41"/>
    <w:p>
      <w:pPr>
        <w:ind w:right="5140"/>
        <w:spacing w:after="0" w:line="373" w:lineRule="auto"/>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6"/>
          <w:szCs w:val="16"/>
          <w:color w:val="auto"/>
        </w:rPr>
        <w:t>As of September 30, 2019,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September 30, 2019, we had $251 million aggregate principal amount of outstanding revolving loans under our Credit Facility and a term loan with a balance of $400 million, both of which accrued interest at a rate of approximately 3.42%. A 100 basis point increase in the applicable interest rates under our credit facilities would have increased our interest expense by approximately $7 million for the nine month period ended September 30, 2019.</w:t>
      </w:r>
    </w:p>
    <w:p>
      <w:pPr>
        <w:spacing w:after="0" w:line="8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As of September 30, 2019, our fixed interest rate debt primarily included $400 million aggregate principal amount of 4.875% Senior Notes and $282 million of finance lease obligations, which accrued interest at a weighted average interest rate of approximately 4.1%. None of this debt subjects us to interest rate risk, but we may be subject to changes in interest rates if and when we refinance this debt at maturity or otherwise.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04"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4"/>
          <w:szCs w:val="14"/>
          <w:color w:val="auto"/>
        </w:rPr>
        <w:t>Our foreign operations are primarily in Canada. Revenue generated from foreign operations represented 3% of our total revenue for the nine month period ended September 30, 2019. Revenue and expense related to our foreign operations are, for the most part, denominated in the functional currency of the foreign operation, which minimizes the impact that fluctuations in exchange rates would have on net income or loss. We are subject to fluctuations in foreign currency exchange rates when transactions are denominated in currencies other than the functional currencies. Such transactions were not material to our operations for the three or nine month periods ended September 30, 2019. Translation gains or losses, which are recorded in other comprehensive income or loss, result from translation of the assets and liabilities of our foreign subsidiaries into U.S. dollars.</w:t>
      </w:r>
    </w:p>
    <w:p>
      <w:pPr>
        <w:spacing w:after="0" w:line="55"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September 30, 2019. We may enter into foreign currency derivative contracts in the future to manage such exposure.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Market Risk</w:t>
      </w:r>
    </w:p>
    <w:p>
      <w:pPr>
        <w:spacing w:after="0" w:line="10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22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04"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6"/>
          <w:szCs w:val="16"/>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September 30, 2019.</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0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6"/>
          <w:szCs w:val="16"/>
          <w:color w:val="auto"/>
        </w:rPr>
        <w:t>There have been no changes in the Company’s internal control over financial reporting during the quarter ended September 30, 2019 that have materially affected, or are reasonably likely to materially affect, the Company’s internal control over financial reporting.</w:t>
      </w:r>
    </w:p>
    <w:p>
      <w:pPr>
        <w:spacing w:after="0" w:line="2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PART II.</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2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04" w:lineRule="exact"/>
        <w:rPr>
          <w:sz w:val="20"/>
          <w:szCs w:val="20"/>
          <w:color w:val="auto"/>
        </w:rPr>
      </w:pPr>
    </w:p>
    <w:p>
      <w:pPr>
        <w:ind w:right="700" w:firstLine="620"/>
        <w:spacing w:after="0" w:line="328" w:lineRule="auto"/>
        <w:rPr>
          <w:sz w:val="20"/>
          <w:szCs w:val="20"/>
          <w:color w:val="auto"/>
        </w:rPr>
      </w:pPr>
      <w:r>
        <w:rPr>
          <w:rFonts w:ascii="Times New Roman" w:cs="Times New Roman" w:eastAsia="Times New Roman" w:hAnsi="Times New Roman"/>
          <w:sz w:val="14"/>
          <w:szCs w:val="14"/>
          <w:color w:val="auto"/>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2018 Form 10-K.</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104" w:lineRule="exact"/>
        <w:rPr>
          <w:sz w:val="20"/>
          <w:szCs w:val="20"/>
          <w:color w:val="auto"/>
        </w:rPr>
      </w:pPr>
    </w:p>
    <w:p>
      <w:pPr>
        <w:ind w:firstLine="620"/>
        <w:spacing w:after="0" w:line="257" w:lineRule="auto"/>
        <w:rPr>
          <w:sz w:val="20"/>
          <w:szCs w:val="20"/>
          <w:color w:val="auto"/>
        </w:rPr>
      </w:pPr>
      <w:r>
        <w:rPr>
          <w:rFonts w:ascii="Times New Roman" w:cs="Times New Roman" w:eastAsia="Times New Roman" w:hAnsi="Times New Roman"/>
          <w:sz w:val="16"/>
          <w:szCs w:val="16"/>
          <w:color w:val="auto"/>
        </w:rPr>
        <w:t>There have been no material changes to either the cautionary statement regarding forward-looking statements or to any of the risk factors disclosed in our 2018 Form 10-K, as updated by our Quarterly Report on Form 10-Q and other filings we make with the SEC.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420"/>
          </w:cols>
          <w:pgMar w:left="240" w:top="770" w:right="239" w:bottom="1440" w:gutter="0" w:footer="0" w:header="0"/>
        </w:sectPr>
      </w:pPr>
    </w:p>
    <w:bookmarkStart w:id="42" w:name="page43"/>
    <w:bookmarkEnd w:id="42"/>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UNREGISTERED SALES OF EQUITY SECURITIES AND USE OF PROCEEDS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Issuer Purchases of Equity Securities</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provides information about repurchases of our common stock during the quarter ended September 30, 2019:</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7"/>
              </w:rPr>
              <w:t>Approximate Dollar Value of</w:t>
            </w:r>
          </w:p>
        </w:tc>
        <w:tc>
          <w:tcPr>
            <w:tcW w:w="0" w:type="dxa"/>
            <w:vAlign w:val="bottom"/>
          </w:tcPr>
          <w:p>
            <w:pPr>
              <w:spacing w:after="0"/>
              <w:rPr>
                <w:sz w:val="1"/>
                <w:szCs w:val="1"/>
                <w:color w:val="auto"/>
              </w:rPr>
            </w:pPr>
          </w:p>
        </w:tc>
      </w:tr>
      <w:tr>
        <w:trPr>
          <w:trHeight w:val="78"/>
        </w:trPr>
        <w:tc>
          <w:tcPr>
            <w:tcW w:w="3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1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2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16"/>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Shares Purchased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7"/>
              </w:rPr>
              <w:t>Paid per Share</w:t>
            </w:r>
          </w:p>
        </w:tc>
        <w:tc>
          <w:tcPr>
            <w:tcW w:w="100" w:type="dxa"/>
            <w:vAlign w:val="bottom"/>
            <w:vMerge w:val="restart"/>
          </w:tcPr>
          <w:p>
            <w:pPr>
              <w:spacing w:after="0"/>
              <w:rPr>
                <w:sz w:val="6"/>
                <w:szCs w:val="6"/>
                <w:color w:val="auto"/>
              </w:rPr>
            </w:pPr>
          </w:p>
        </w:tc>
        <w:tc>
          <w:tcPr>
            <w:tcW w:w="218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Announced Program</w:t>
            </w:r>
          </w:p>
        </w:tc>
        <w:tc>
          <w:tcPr>
            <w:tcW w:w="100" w:type="dxa"/>
            <w:vAlign w:val="bottom"/>
          </w:tcPr>
          <w:p>
            <w:pPr>
              <w:spacing w:after="0"/>
              <w:rPr>
                <w:sz w:val="6"/>
                <w:szCs w:val="6"/>
                <w:color w:val="auto"/>
              </w:rPr>
            </w:pPr>
          </w:p>
        </w:tc>
        <w:tc>
          <w:tcPr>
            <w:tcW w:w="2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 xml:space="preserve">Purchased under the Program </w:t>
            </w:r>
            <w:r>
              <w:rPr>
                <w:rFonts w:ascii="Times New Roman" w:cs="Times New Roman" w:eastAsia="Times New Roman" w:hAnsi="Times New Roman"/>
                <w:sz w:val="20"/>
                <w:szCs w:val="20"/>
                <w:b w:val="1"/>
                <w:bCs w:val="1"/>
                <w:color w:val="auto"/>
                <w:w w:val="96"/>
                <w:vertAlign w:val="superscript"/>
              </w:rPr>
              <w:t>(b)</w:t>
            </w:r>
          </w:p>
        </w:tc>
        <w:tc>
          <w:tcPr>
            <w:tcW w:w="0" w:type="dxa"/>
            <w:vAlign w:val="bottom"/>
          </w:tcPr>
          <w:p>
            <w:pPr>
              <w:spacing w:after="0"/>
              <w:rPr>
                <w:sz w:val="1"/>
                <w:szCs w:val="1"/>
                <w:color w:val="auto"/>
              </w:rPr>
            </w:pPr>
          </w:p>
        </w:tc>
      </w:tr>
      <w:tr>
        <w:trPr>
          <w:trHeight w:val="156"/>
        </w:trPr>
        <w:tc>
          <w:tcPr>
            <w:tcW w:w="3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(a)</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1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through July 31</w:t>
            </w: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128,846,586</w:t>
            </w:r>
          </w:p>
        </w:tc>
        <w:tc>
          <w:tcPr>
            <w:tcW w:w="0" w:type="dxa"/>
            <w:vAlign w:val="bottom"/>
          </w:tcPr>
          <w:p>
            <w:pPr>
              <w:spacing w:after="0"/>
              <w:rPr>
                <w:sz w:val="1"/>
                <w:szCs w:val="1"/>
                <w:color w:val="auto"/>
              </w:rPr>
            </w:pPr>
          </w:p>
        </w:tc>
      </w:tr>
      <w:tr>
        <w:trPr>
          <w:trHeight w:val="227"/>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 through August 31</w:t>
            </w:r>
          </w:p>
        </w:tc>
        <w:tc>
          <w:tcPr>
            <w:tcW w:w="140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190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59.08</w:t>
            </w:r>
          </w:p>
        </w:tc>
        <w:tc>
          <w:tcPr>
            <w:tcW w:w="100" w:type="dxa"/>
            <w:vAlign w:val="bottom"/>
          </w:tcPr>
          <w:p>
            <w:pPr>
              <w:spacing w:after="0"/>
              <w:rPr>
                <w:sz w:val="19"/>
                <w:szCs w:val="19"/>
                <w:color w:val="auto"/>
              </w:rPr>
            </w:pPr>
          </w:p>
        </w:tc>
        <w:tc>
          <w:tcPr>
            <w:tcW w:w="2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128,846,586</w:t>
            </w:r>
          </w:p>
        </w:tc>
        <w:tc>
          <w:tcPr>
            <w:tcW w:w="0" w:type="dxa"/>
            <w:vAlign w:val="bottom"/>
          </w:tcPr>
          <w:p>
            <w:pPr>
              <w:spacing w:after="0"/>
              <w:rPr>
                <w:sz w:val="1"/>
                <w:szCs w:val="1"/>
                <w:color w:val="auto"/>
              </w:rPr>
            </w:pPr>
          </w:p>
        </w:tc>
      </w:tr>
      <w:tr>
        <w:trPr>
          <w:trHeight w:val="32"/>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through September 30</w:t>
            </w: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128,846,586</w:t>
            </w:r>
          </w:p>
        </w:tc>
        <w:tc>
          <w:tcPr>
            <w:tcW w:w="0" w:type="dxa"/>
            <w:vAlign w:val="bottom"/>
          </w:tcPr>
          <w:p>
            <w:pPr>
              <w:spacing w:after="0"/>
              <w:rPr>
                <w:sz w:val="1"/>
                <w:szCs w:val="1"/>
                <w:color w:val="auto"/>
              </w:rPr>
            </w:pPr>
          </w:p>
        </w:tc>
      </w:tr>
      <w:tr>
        <w:trPr>
          <w:trHeight w:val="207"/>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20320</wp:posOffset>
            </wp:positionV>
            <wp:extent cx="1378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8585" cy="8255"/>
                    </a:xfrm>
                    <a:prstGeom prst="rect">
                      <a:avLst/>
                    </a:prstGeom>
                    <a:noFill/>
                  </pic:spPr>
                </pic:pic>
              </a:graphicData>
            </a:graphic>
          </wp:anchor>
        </w:drawing>
        <w:drawing>
          <wp:anchor simplePos="0" relativeHeight="251657728" behindDoc="1" locked="0" layoutInCell="0" allowOverlap="1">
            <wp:simplePos x="0" y="0"/>
            <wp:positionH relativeFrom="column">
              <wp:posOffset>2545715</wp:posOffset>
            </wp:positionH>
            <wp:positionV relativeFrom="paragraph">
              <wp:posOffset>20320</wp:posOffset>
            </wp:positionV>
            <wp:extent cx="877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30" w:lineRule="exact"/>
        <w:rPr>
          <w:sz w:val="20"/>
          <w:szCs w:val="20"/>
          <w:color w:val="auto"/>
        </w:rPr>
      </w:pPr>
    </w:p>
    <w:p>
      <w:pPr>
        <w:ind w:left="400" w:hanging="397"/>
        <w:spacing w:after="0"/>
        <w:tabs>
          <w:tab w:leader="none" w:pos="4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withheld for income tax purposes in connection with shares issued under compensation and benefit programs.</w:t>
      </w:r>
    </w:p>
    <w:p>
      <w:pPr>
        <w:spacing w:after="0" w:line="19" w:lineRule="exact"/>
        <w:rPr>
          <w:rFonts w:ascii="Times New Roman" w:cs="Times New Roman" w:eastAsia="Times New Roman" w:hAnsi="Times New Roman"/>
          <w:sz w:val="14"/>
          <w:szCs w:val="14"/>
          <w:color w:val="auto"/>
        </w:rPr>
      </w:pPr>
    </w:p>
    <w:p>
      <w:pPr>
        <w:ind w:left="400" w:hanging="397"/>
        <w:spacing w:after="0" w:line="257" w:lineRule="auto"/>
        <w:tabs>
          <w:tab w:leader="none" w:pos="4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2019, the remaining amount available for share repurchases includes $28.8 million under our $150 million share repurchase program that was publicly announced on September 11, 2018, and the full amount of our $100 million share repurchase program that was publicly announced on December 21, 2018.</w:t>
      </w:r>
    </w:p>
    <w:p>
      <w:pPr>
        <w:spacing w:after="0" w:line="2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Not applicable.</w:t>
      </w:r>
    </w:p>
    <w:p>
      <w:pPr>
        <w:spacing w:after="0" w:line="25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Exhibit Index below contains a list of exhibits filed or furnished with this Form 10-Q.</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3"/>
              </w:rPr>
              <w:t>Exhibit No.</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Description</w:t>
            </w:r>
          </w:p>
        </w:tc>
        <w:tc>
          <w:tcPr>
            <w:tcW w:w="9300" w:type="dxa"/>
            <w:vAlign w:val="bottom"/>
            <w:gridSpan w:val="5"/>
          </w:tcPr>
          <w:p>
            <w:pPr>
              <w:spacing w:after="0"/>
              <w:rPr>
                <w:sz w:val="16"/>
                <w:szCs w:val="16"/>
                <w:color w:val="auto"/>
              </w:rPr>
            </w:pPr>
          </w:p>
        </w:tc>
      </w:tr>
      <w:tr>
        <w:trPr>
          <w:trHeight w:val="238"/>
        </w:trPr>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w:t>
            </w:r>
          </w:p>
        </w:tc>
        <w:tc>
          <w:tcPr>
            <w:tcW w:w="520" w:type="dxa"/>
            <w:vAlign w:val="bottom"/>
          </w:tcPr>
          <w:p>
            <w:pPr>
              <w:spacing w:after="0"/>
              <w:rPr>
                <w:sz w:val="20"/>
                <w:szCs w:val="20"/>
                <w:color w:val="auto"/>
              </w:rPr>
            </w:pPr>
          </w:p>
        </w:tc>
        <w:tc>
          <w:tcPr>
            <w:tcW w:w="1008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6"/>
              </w:rPr>
            </w:pPr>
            <w:hyperlink w:anchor="page45">
              <w:r>
                <w:rPr>
                  <w:rFonts w:ascii="Times New Roman" w:cs="Times New Roman" w:eastAsia="Times New Roman" w:hAnsi="Times New Roman"/>
                  <w:sz w:val="16"/>
                  <w:szCs w:val="16"/>
                  <w:color w:val="0000FF"/>
                  <w:w w:val="96"/>
                </w:rPr>
                <w:t>Fifth Amended and Restated Credit Agreement, dated as of September 19, 2019, by and among MasTec, Inc., MasTec North America, Inc., as Borrowers, Bank of</w:t>
              </w:r>
            </w:hyperlink>
          </w:p>
        </w:tc>
      </w:tr>
      <w:tr>
        <w:trPr>
          <w:trHeight w:val="174"/>
        </w:trPr>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80" w:type="dxa"/>
            <w:vAlign w:val="bottom"/>
            <w:gridSpan w:val="7"/>
          </w:tcPr>
          <w:p>
            <w:pPr>
              <w:spacing w:after="0" w:line="174" w:lineRule="exact"/>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America, N.A., as Administrative Agent, Swing Line Lender and an L/C Issuer, and the other lenders party thereto.</w:t>
              </w:r>
            </w:hyperlink>
          </w:p>
        </w:tc>
      </w:tr>
      <w:tr>
        <w:trPr>
          <w:trHeight w:val="225"/>
        </w:trPr>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31.1*</w:t>
            </w:r>
          </w:p>
        </w:tc>
        <w:tc>
          <w:tcPr>
            <w:tcW w:w="520" w:type="dxa"/>
            <w:vAlign w:val="bottom"/>
          </w:tcPr>
          <w:p>
            <w:pPr>
              <w:spacing w:after="0"/>
              <w:rPr>
                <w:sz w:val="19"/>
                <w:szCs w:val="19"/>
                <w:color w:val="auto"/>
              </w:rPr>
            </w:pPr>
          </w:p>
        </w:tc>
        <w:tc>
          <w:tcPr>
            <w:tcW w:w="476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6"/>
                <w:szCs w:val="16"/>
                <w:color w:val="0000FF"/>
                <w:w w:val="96"/>
              </w:rPr>
            </w:pPr>
            <w:hyperlink w:anchor="page318">
              <w:r>
                <w:rPr>
                  <w:rFonts w:ascii="Times New Roman" w:cs="Times New Roman" w:eastAsia="Times New Roman" w:hAnsi="Times New Roman"/>
                  <w:sz w:val="16"/>
                  <w:szCs w:val="16"/>
                  <w:color w:val="0000FF"/>
                  <w:w w:val="96"/>
                </w:rPr>
                <w:t>Certifications required by Section 302(a) of the Sarbanes-Oxley Act of 2002</w:t>
              </w:r>
            </w:hyperlink>
          </w:p>
        </w:tc>
        <w:tc>
          <w:tcPr>
            <w:tcW w:w="2380" w:type="dxa"/>
            <w:vAlign w:val="bottom"/>
            <w:tcBorders>
              <w:top w:val="single" w:sz="8" w:color="0000FF"/>
            </w:tcBorders>
          </w:tcPr>
          <w:p>
            <w:pPr>
              <w:spacing w:after="0"/>
              <w:rPr>
                <w:sz w:val="19"/>
                <w:szCs w:val="19"/>
                <w:color w:val="auto"/>
              </w:rPr>
            </w:pPr>
          </w:p>
        </w:tc>
        <w:tc>
          <w:tcPr>
            <w:tcW w:w="2940" w:type="dxa"/>
            <w:vAlign w:val="bottom"/>
          </w:tcPr>
          <w:p>
            <w:pPr>
              <w:spacing w:after="0"/>
              <w:rPr>
                <w:sz w:val="19"/>
                <w:szCs w:val="19"/>
                <w:color w:val="auto"/>
              </w:rPr>
            </w:pPr>
          </w:p>
        </w:tc>
      </w:tr>
      <w:tr>
        <w:trPr>
          <w:trHeight w:val="238"/>
        </w:trPr>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31.2*</w:t>
            </w:r>
          </w:p>
        </w:tc>
        <w:tc>
          <w:tcPr>
            <w:tcW w:w="520" w:type="dxa"/>
            <w:vAlign w:val="bottom"/>
          </w:tcPr>
          <w:p>
            <w:pPr>
              <w:spacing w:after="0"/>
              <w:rPr>
                <w:sz w:val="20"/>
                <w:szCs w:val="20"/>
                <w:color w:val="auto"/>
              </w:rPr>
            </w:pPr>
          </w:p>
        </w:tc>
        <w:tc>
          <w:tcPr>
            <w:tcW w:w="10080" w:type="dxa"/>
            <w:vAlign w:val="bottom"/>
            <w:gridSpan w:val="7"/>
          </w:tcPr>
          <w:p>
            <w:pPr>
              <w:spacing w:after="0"/>
              <w:rPr>
                <w:rFonts w:ascii="Times New Roman" w:cs="Times New Roman" w:eastAsia="Times New Roman" w:hAnsi="Times New Roman"/>
                <w:sz w:val="16"/>
                <w:szCs w:val="16"/>
                <w:color w:val="0000FF"/>
              </w:rPr>
            </w:pPr>
            <w:hyperlink w:anchor="page319">
              <w:r>
                <w:rPr>
                  <w:rFonts w:ascii="Times New Roman" w:cs="Times New Roman" w:eastAsia="Times New Roman" w:hAnsi="Times New Roman"/>
                  <w:sz w:val="16"/>
                  <w:szCs w:val="16"/>
                  <w:color w:val="0000FF"/>
                </w:rPr>
                <w:t>Certifications required by Section 302(a) of the Sarbanes-Oxley Act of 2002</w:t>
              </w:r>
            </w:hyperlink>
          </w:p>
        </w:tc>
      </w:tr>
      <w:tr>
        <w:trPr>
          <w:trHeight w:val="238"/>
        </w:trPr>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32.1**</w:t>
            </w:r>
          </w:p>
        </w:tc>
        <w:tc>
          <w:tcPr>
            <w:tcW w:w="520" w:type="dxa"/>
            <w:vAlign w:val="bottom"/>
          </w:tcPr>
          <w:p>
            <w:pPr>
              <w:spacing w:after="0"/>
              <w:rPr>
                <w:sz w:val="20"/>
                <w:szCs w:val="20"/>
                <w:color w:val="auto"/>
              </w:rPr>
            </w:pPr>
          </w:p>
        </w:tc>
        <w:tc>
          <w:tcPr>
            <w:tcW w:w="4740" w:type="dxa"/>
            <w:vAlign w:val="bottom"/>
            <w:tcBorders>
              <w:top w:val="single" w:sz="8" w:color="0000FF"/>
            </w:tcBorders>
            <w:gridSpan w:val="4"/>
          </w:tcPr>
          <w:p>
            <w:pPr>
              <w:spacing w:after="0"/>
              <w:rPr>
                <w:rFonts w:ascii="Times New Roman" w:cs="Times New Roman" w:eastAsia="Times New Roman" w:hAnsi="Times New Roman"/>
                <w:sz w:val="16"/>
                <w:szCs w:val="16"/>
                <w:color w:val="0000FF"/>
              </w:rPr>
            </w:pPr>
            <w:hyperlink w:anchor="page320">
              <w:r>
                <w:rPr>
                  <w:rFonts w:ascii="Times New Roman" w:cs="Times New Roman" w:eastAsia="Times New Roman" w:hAnsi="Times New Roman"/>
                  <w:sz w:val="16"/>
                  <w:szCs w:val="16"/>
                  <w:color w:val="0000FF"/>
                </w:rPr>
                <w:t>Certifications required by Section 906 of the Sarbanes-Oxley Act of 2002</w:t>
              </w:r>
            </w:hyperlink>
          </w:p>
        </w:tc>
        <w:tc>
          <w:tcPr>
            <w:tcW w:w="5340" w:type="dxa"/>
            <w:vAlign w:val="bottom"/>
            <w:gridSpan w:val="3"/>
          </w:tcPr>
          <w:p>
            <w:pPr>
              <w:spacing w:after="0"/>
              <w:rPr>
                <w:sz w:val="20"/>
                <w:szCs w:val="20"/>
                <w:color w:val="auto"/>
              </w:rPr>
            </w:pPr>
          </w:p>
        </w:tc>
      </w:tr>
      <w:tr>
        <w:trPr>
          <w:trHeight w:val="20"/>
        </w:trPr>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3"/>
            <w:shd w:val="clear" w:color="auto" w:fill="0000FF"/>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r>
      <w:tr>
        <w:trPr>
          <w:trHeight w:val="238"/>
        </w:trPr>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32.2**</w:t>
            </w:r>
          </w:p>
        </w:tc>
        <w:tc>
          <w:tcPr>
            <w:tcW w:w="520" w:type="dxa"/>
            <w:vAlign w:val="bottom"/>
          </w:tcPr>
          <w:p>
            <w:pPr>
              <w:spacing w:after="0"/>
              <w:rPr>
                <w:sz w:val="20"/>
                <w:szCs w:val="20"/>
                <w:color w:val="auto"/>
              </w:rPr>
            </w:pPr>
          </w:p>
        </w:tc>
        <w:tc>
          <w:tcPr>
            <w:tcW w:w="10080" w:type="dxa"/>
            <w:vAlign w:val="bottom"/>
            <w:gridSpan w:val="7"/>
          </w:tcPr>
          <w:p>
            <w:pPr>
              <w:spacing w:after="0"/>
              <w:rPr>
                <w:rFonts w:ascii="Times New Roman" w:cs="Times New Roman" w:eastAsia="Times New Roman" w:hAnsi="Times New Roman"/>
                <w:sz w:val="16"/>
                <w:szCs w:val="16"/>
                <w:color w:val="0000FF"/>
              </w:rPr>
            </w:pPr>
            <w:hyperlink w:anchor="page321">
              <w:r>
                <w:rPr>
                  <w:rFonts w:ascii="Times New Roman" w:cs="Times New Roman" w:eastAsia="Times New Roman" w:hAnsi="Times New Roman"/>
                  <w:sz w:val="16"/>
                  <w:szCs w:val="16"/>
                  <w:color w:val="0000FF"/>
                </w:rPr>
                <w:t>Certifications required by Section 906 of the Sarbanes-Oxley Act of 2002</w:t>
              </w:r>
            </w:hyperlink>
          </w:p>
        </w:tc>
      </w:tr>
      <w:tr>
        <w:trPr>
          <w:trHeight w:val="20"/>
        </w:trPr>
        <w:tc>
          <w:tcPr>
            <w:tcW w:w="1280" w:type="dxa"/>
            <w:vAlign w:val="bottom"/>
            <w:gridSpan w:val="3"/>
          </w:tcPr>
          <w:p>
            <w:pPr>
              <w:spacing w:after="0" w:line="20" w:lineRule="exact"/>
              <w:rPr>
                <w:sz w:val="1"/>
                <w:szCs w:val="1"/>
                <w:color w:val="auto"/>
              </w:rPr>
            </w:pPr>
          </w:p>
        </w:tc>
        <w:tc>
          <w:tcPr>
            <w:tcW w:w="4560" w:type="dxa"/>
            <w:vAlign w:val="bottom"/>
            <w:gridSpan w:val="3"/>
            <w:shd w:val="clear" w:color="auto" w:fill="0000FF"/>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r>
      <w:tr>
        <w:trPr>
          <w:trHeight w:val="265"/>
        </w:trPr>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101.INS</w:t>
            </w:r>
          </w:p>
        </w:tc>
        <w:tc>
          <w:tcPr>
            <w:tcW w:w="10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 Inline</w:t>
            </w:r>
          </w:p>
        </w:tc>
      </w:tr>
      <w:tr>
        <w:trPr>
          <w:trHeight w:val="200"/>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45"/>
        </w:trPr>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101.SCH</w:t>
            </w:r>
          </w:p>
        </w:tc>
        <w:tc>
          <w:tcPr>
            <w:tcW w:w="10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58"/>
        </w:trPr>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101.CAL</w:t>
            </w:r>
          </w:p>
        </w:tc>
        <w:tc>
          <w:tcPr>
            <w:tcW w:w="10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84"/>
        </w:trPr>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101.DEF</w:t>
            </w:r>
          </w:p>
        </w:tc>
        <w:tc>
          <w:tcPr>
            <w:tcW w:w="10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45"/>
        </w:trPr>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101.LAB</w:t>
            </w:r>
          </w:p>
        </w:tc>
        <w:tc>
          <w:tcPr>
            <w:tcW w:w="10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58"/>
        </w:trPr>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10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bl>
    <w:p>
      <w:pPr>
        <w:spacing w:after="0" w:line="58" w:lineRule="exact"/>
        <w:rPr>
          <w:sz w:val="20"/>
          <w:szCs w:val="20"/>
          <w:color w:val="auto"/>
        </w:rPr>
      </w:pPr>
    </w:p>
    <w:p>
      <w:pPr>
        <w:ind w:left="1300" w:right="60" w:hanging="1271"/>
        <w:spacing w:after="0" w:line="269" w:lineRule="auto"/>
        <w:tabs>
          <w:tab w:leader="none" w:pos="13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of MasTec, Inc.’s Quarterly Report on Form 10-Q for the quarter ended September 30, 2019, formatted in Inline XBRL (included with the Exhibit 101 attachments).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40" w:lineRule="exact"/>
        <w:rPr>
          <w:sz w:val="20"/>
          <w:szCs w:val="20"/>
          <w:color w:val="auto"/>
        </w:rPr>
      </w:pPr>
    </w:p>
    <w:p>
      <w:pPr>
        <w:ind w:left="400" w:hanging="397"/>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6" w:lineRule="exact"/>
        <w:rPr>
          <w:sz w:val="20"/>
          <w:szCs w:val="20"/>
          <w:color w:val="auto"/>
        </w:rPr>
      </w:pPr>
    </w:p>
    <w:p>
      <w:pPr>
        <w:ind w:left="400" w:hanging="397"/>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420"/>
          </w:cols>
          <w:pgMar w:left="240" w:top="769" w:right="239" w:bottom="1440" w:gutter="0" w:footer="0" w:header="0"/>
        </w:sectPr>
      </w:pPr>
    </w:p>
    <w:bookmarkStart w:id="43" w:name="page44"/>
    <w:bookmarkEnd w:id="43"/>
    <w:p>
      <w:pPr>
        <w:jc w:val="center"/>
        <w:ind w:left="3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82" w:lineRule="exact"/>
        <w:rPr>
          <w:sz w:val="20"/>
          <w:szCs w:val="20"/>
          <w:color w:val="auto"/>
        </w:rPr>
      </w:pPr>
    </w:p>
    <w:p>
      <w:pPr>
        <w:ind w:firstLine="620"/>
        <w:spacing w:after="0" w:line="25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31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MASTEC, INC.</w:t>
      </w:r>
    </w:p>
    <w:p>
      <w:pPr>
        <w:spacing w:after="0" w:line="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Date: October 31, 2019</w:t>
      </w:r>
    </w:p>
    <w:p>
      <w:pPr>
        <w:spacing w:after="0" w:line="7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33020</wp:posOffset>
            </wp:positionV>
            <wp:extent cx="2453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3005" cy="8255"/>
                    </a:xfrm>
                    <a:prstGeom prst="rect">
                      <a:avLst/>
                    </a:prstGeom>
                    <a:noFill/>
                  </pic:spPr>
                </pic:pic>
              </a:graphicData>
            </a:graphic>
          </wp:anchor>
        </w:drawing>
      </w:r>
    </w:p>
    <w:p>
      <w:pPr>
        <w:spacing w:after="0" w:line="5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José R. Mas</w:t>
      </w:r>
    </w:p>
    <w:p>
      <w:pPr>
        <w:spacing w:after="0" w:line="7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8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33020</wp:posOffset>
            </wp:positionV>
            <wp:extent cx="2453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3005" cy="8255"/>
                    </a:xfrm>
                    <a:prstGeom prst="rect">
                      <a:avLst/>
                    </a:prstGeom>
                    <a:noFill/>
                  </pic:spPr>
                </pic:pic>
              </a:graphicData>
            </a:graphic>
          </wp:anchor>
        </w:drawing>
      </w:r>
    </w:p>
    <w:p>
      <w:pPr>
        <w:spacing w:after="0" w:line="5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George L. Pita</w:t>
      </w:r>
    </w:p>
    <w:p>
      <w:pPr>
        <w:spacing w:after="0" w:line="7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420"/>
          </w:cols>
          <w:pgMar w:left="240" w:top="692" w:right="239" w:bottom="1440" w:gutter="0" w:footer="0" w:header="0"/>
        </w:sectPr>
      </w:pPr>
    </w:p>
    <w:bookmarkStart w:id="44" w:name="page45"/>
    <w:bookmarkEnd w:id="44"/>
    <w:p>
      <w:pPr>
        <w:ind w:left="10620"/>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96520</wp:posOffset>
            </wp:positionV>
            <wp:extent cx="2116455" cy="344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6455" cy="344805"/>
                    </a:xfrm>
                    <a:prstGeom prst="rect">
                      <a:avLst/>
                    </a:prstGeom>
                    <a:noFill/>
                  </pic:spPr>
                </pic:pic>
              </a:graphicData>
            </a:graphic>
          </wp:anchor>
        </w:drawing>
      </w:r>
    </w:p>
    <w:p>
      <w:pPr>
        <w:spacing w:after="0" w:line="284"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206375</wp:posOffset>
            </wp:positionV>
            <wp:extent cx="7252335" cy="73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7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Published CUSIP Number: 57632EAM7</w:t>
      </w:r>
    </w:p>
    <w:p>
      <w:pPr>
        <w:jc w:val="right"/>
        <w:spacing w:after="0" w:line="236" w:lineRule="auto"/>
        <w:rPr>
          <w:sz w:val="20"/>
          <w:szCs w:val="20"/>
          <w:color w:val="auto"/>
        </w:rPr>
      </w:pPr>
      <w:r>
        <w:rPr>
          <w:rFonts w:ascii="Times New Roman" w:cs="Times New Roman" w:eastAsia="Times New Roman" w:hAnsi="Times New Roman"/>
          <w:sz w:val="19"/>
          <w:szCs w:val="19"/>
          <w:color w:val="auto"/>
        </w:rPr>
        <w:t>Published Committed (USD) Facility CUSIP Number: 57632EAN5</w:t>
      </w:r>
    </w:p>
    <w:p>
      <w:pPr>
        <w:jc w:val="right"/>
        <w:spacing w:after="0" w:line="227" w:lineRule="auto"/>
        <w:rPr>
          <w:sz w:val="20"/>
          <w:szCs w:val="20"/>
          <w:color w:val="auto"/>
        </w:rPr>
      </w:pPr>
      <w:r>
        <w:rPr>
          <w:rFonts w:ascii="Times New Roman" w:cs="Times New Roman" w:eastAsia="Times New Roman" w:hAnsi="Times New Roman"/>
          <w:sz w:val="19"/>
          <w:szCs w:val="19"/>
          <w:color w:val="auto"/>
        </w:rPr>
        <w:t>Published Committed (MC) Facility CUSIP Number: 57632EAP0</w:t>
      </w:r>
    </w:p>
    <w:p>
      <w:pPr>
        <w:jc w:val="right"/>
        <w:spacing w:after="0"/>
        <w:rPr>
          <w:sz w:val="20"/>
          <w:szCs w:val="20"/>
          <w:color w:val="auto"/>
        </w:rPr>
      </w:pPr>
      <w:r>
        <w:rPr>
          <w:rFonts w:ascii="Times New Roman" w:cs="Times New Roman" w:eastAsia="Times New Roman" w:hAnsi="Times New Roman"/>
          <w:sz w:val="19"/>
          <w:szCs w:val="19"/>
          <w:color w:val="auto"/>
        </w:rPr>
        <w:t>Published Term Loan Facility CUSIP Number: 57632EAQ8</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FIFTH AMENDED AND RESTATED CREDIT AGREEMENT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Dated as of September 19, 2019</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among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MASTEC,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MASTEC NORTH AMERICA,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Borrowers,</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BANK OF AMERICA, 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Administrative Agent, Swing Line Lender and L/C Issuer,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OTHER LENDERS PARTY HERETO</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BOFA SECURITIES,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SUNTRUST ROBINSON HUMPHREY, INC.,</w:t>
      </w:r>
    </w:p>
    <w:p>
      <w:pPr>
        <w:spacing w:after="0" w:line="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BMO CAPITAL MARKETS CORP.,</w:t>
      </w:r>
    </w:p>
    <w:p>
      <w:pPr>
        <w:spacing w:after="0" w:line="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JPMORGAN CHASE BANK, N.A.,</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WELLS FARGO SECURITIES, LLC,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Joint Lead Arrangers and Joint Bookrunners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SUNTRUST BANK,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BANK OF MONTREAL,</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JPMORGAN CHASE BANK, N.A.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WELLS FARGO BANK, NATIONAL ASSOCIATION,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Co-Syndication Agents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MORGAN STANLEY MUFG LOAN PARTNERS,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CAPITAL ONE, NATIONAL ASSOCIATION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BBVA USA,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HSBC BANK USA, N.A.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PNC BANK, NATIONAL ASSOCIATION,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Co-Documentation Agents</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119889268</w:t>
      </w:r>
    </w:p>
    <w:p>
      <w:pPr>
        <w:sectPr>
          <w:pgSz w:w="11900" w:h="16838" w:orient="portrait"/>
          <w:cols w:equalWidth="0" w:num="1">
            <w:col w:w="11420"/>
          </w:cols>
          <w:pgMar w:left="240" w:top="395" w:right="239" w:bottom="1440" w:gutter="0" w:footer="0" w:header="0"/>
          <w:type w:val="continuous"/>
        </w:sectPr>
      </w:pPr>
    </w:p>
    <w:bookmarkStart w:id="45" w:name="page46"/>
    <w:bookmarkEnd w:id="45"/>
    <w:tbl>
      <w:tblPr>
        <w:tblLayout w:type="fixed"/>
        <w:tblInd w:w="40" w:type="dxa"/>
        <w:tblCellMar>
          <w:top w:w="0" w:type="dxa"/>
          <w:left w:w="0" w:type="dxa"/>
          <w:bottom w:w="0" w:type="dxa"/>
          <w:right w:w="0" w:type="dxa"/>
        </w:tblCellMar>
      </w:tblPr>
      <w:tr>
        <w:trPr>
          <w:trHeight w:val="249"/>
        </w:trPr>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40" w:type="dxa"/>
            <w:vAlign w:val="bottom"/>
          </w:tcPr>
          <w:p>
            <w:pPr>
              <w:ind w:left="292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45"/>
        </w:trPr>
        <w:tc>
          <w:tcPr>
            <w:tcW w:w="17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Section</w:t>
            </w:r>
          </w:p>
        </w:tc>
        <w:tc>
          <w:tcPr>
            <w:tcW w:w="90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w w:val="97"/>
              </w:rPr>
              <w:t>Page</w:t>
            </w:r>
          </w:p>
        </w:tc>
      </w:tr>
      <w:tr>
        <w:trPr>
          <w:trHeight w:val="20"/>
        </w:trPr>
        <w:tc>
          <w:tcPr>
            <w:tcW w:w="580" w:type="dxa"/>
            <w:vAlign w:val="bottom"/>
            <w:shd w:val="clear" w:color="auto" w:fill="000000"/>
          </w:tcPr>
          <w:p>
            <w:pPr>
              <w:spacing w:after="0" w:line="20" w:lineRule="exact"/>
              <w:rPr>
                <w:sz w:val="1"/>
                <w:szCs w:val="1"/>
                <w:color w:val="auto"/>
              </w:rPr>
            </w:pPr>
          </w:p>
        </w:tc>
        <w:tc>
          <w:tcPr>
            <w:tcW w:w="102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107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ARTICLE I. ASSIGNMENTS; AMENDMENT AND RESTATEMENT;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10200" w:type="dxa"/>
            <w:vAlign w:val="bottom"/>
            <w:gridSpan w:val="2"/>
          </w:tcPr>
          <w:p>
            <w:pPr>
              <w:ind w:left="1040"/>
              <w:spacing w:after="0"/>
              <w:rPr>
                <w:sz w:val="20"/>
                <w:szCs w:val="20"/>
                <w:color w:val="auto"/>
              </w:rPr>
            </w:pPr>
            <w:r>
              <w:rPr>
                <w:rFonts w:ascii="Times New Roman" w:cs="Times New Roman" w:eastAsia="Times New Roman" w:hAnsi="Times New Roman"/>
                <w:sz w:val="19"/>
                <w:szCs w:val="19"/>
                <w:color w:val="auto"/>
              </w:rPr>
              <w:t>DEFINITIONS AND ACCOUNTING TERMS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556"/>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Assignments; Amendment and Restatement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Defined Terms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Other Interpretive Provisions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Accounting Terms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Rounding</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Exchange Rates; Currency Equivalents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Change of Currency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1.08</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Times of Day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1.09</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Letter of Credit Amounts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1.10</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Making Calculations on a Pro Forma Basis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Interest Rates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55</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Currency Equivalents Generally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55</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Limited Condition Transactions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55</w:t>
            </w:r>
          </w:p>
        </w:tc>
      </w:tr>
      <w:tr>
        <w:trPr>
          <w:trHeight w:val="556"/>
        </w:trPr>
        <w:tc>
          <w:tcPr>
            <w:tcW w:w="107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ARTICLE II. COMMITMENTS AND CREDIT EXTENSIONS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58</w:t>
            </w:r>
          </w:p>
        </w:tc>
      </w:tr>
      <w:tr>
        <w:trPr>
          <w:trHeight w:val="556"/>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Loans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Borrowings, Conversions and Continuations of Loans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Letters of Credit and Bankers’ Acceptances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Swing Line Loans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Prepayments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Termination or Reduction of Commitments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Repayment of Loans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2.08</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Interest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2.09</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Fees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Computation of Interest and Fees; Retroactive Adjustments of Applicable Rate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81</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Evidence of Debt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Payments Generally; Administrative Agent’s Clawback</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Sharing of Payments by Lenders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Company as Borrowing Agent; Joint and Several Liability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85</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Incremental Increases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Cash Collateral</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Defaulting Lenders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2.18</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Extensions of Maturity Date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96</w:t>
            </w:r>
          </w:p>
        </w:tc>
      </w:tr>
      <w:tr>
        <w:trPr>
          <w:trHeight w:val="556"/>
        </w:trPr>
        <w:tc>
          <w:tcPr>
            <w:tcW w:w="107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ARTICLE III. TAXES, YIELD PROTECTION AND ILLEGALITY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556"/>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Taxes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Illegality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105</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Inability to Determine Rates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106</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Increased Costs; Reserves on Eurocurrency Rate Loans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Compensation for Losses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111</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Mitigation Obligations; Replacement of Lenders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112</w:t>
            </w:r>
          </w:p>
        </w:tc>
      </w:tr>
    </w:tbl>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320"/>
          </w:cols>
          <w:pgMar w:left="240" w:top="955" w:right="339" w:bottom="1005" w:gutter="0" w:footer="0" w:header="0"/>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119889268</w:t>
      </w:r>
    </w:p>
    <w:p>
      <w:pPr>
        <w:sectPr>
          <w:pgSz w:w="11900" w:h="16838" w:orient="portrait"/>
          <w:cols w:equalWidth="0" w:num="1">
            <w:col w:w="11320"/>
          </w:cols>
          <w:pgMar w:left="240" w:top="955" w:right="339" w:bottom="1005" w:gutter="0" w:footer="0" w:header="0"/>
          <w:type w:val="continuous"/>
        </w:sectPr>
      </w:pPr>
    </w:p>
    <w:bookmarkStart w:id="46" w:name="page47"/>
    <w:bookmarkEnd w:id="46"/>
    <w:tbl>
      <w:tblPr>
        <w:tblLayout w:type="fixed"/>
        <w:tblInd w:w="40" w:type="dxa"/>
        <w:tblCellMar>
          <w:top w:w="0" w:type="dxa"/>
          <w:left w:w="0" w:type="dxa"/>
          <w:bottom w:w="0" w:type="dxa"/>
          <w:right w:w="0" w:type="dxa"/>
        </w:tblCellMar>
      </w:tblPr>
      <w:tr>
        <w:trPr>
          <w:trHeight w:val="249"/>
        </w:trPr>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40" w:type="dxa"/>
            <w:vAlign w:val="bottom"/>
          </w:tcPr>
          <w:p>
            <w:pPr>
              <w:ind w:left="292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45"/>
        </w:trPr>
        <w:tc>
          <w:tcPr>
            <w:tcW w:w="17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Section</w:t>
            </w:r>
          </w:p>
        </w:tc>
        <w:tc>
          <w:tcPr>
            <w:tcW w:w="90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w w:val="97"/>
              </w:rPr>
              <w:t>Page</w:t>
            </w:r>
          </w:p>
        </w:tc>
      </w:tr>
      <w:tr>
        <w:trPr>
          <w:trHeight w:val="20"/>
        </w:trPr>
        <w:tc>
          <w:tcPr>
            <w:tcW w:w="5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9"/>
        </w:trPr>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Survival</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112</w:t>
            </w:r>
          </w:p>
        </w:tc>
      </w:tr>
      <w:tr>
        <w:trPr>
          <w:trHeight w:val="556"/>
        </w:trPr>
        <w:tc>
          <w:tcPr>
            <w:tcW w:w="107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ARTICLE IV. CONDITIONS PRECEDENT TO CREDIT EXTENSIONS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112</w:t>
            </w:r>
          </w:p>
        </w:tc>
      </w:tr>
      <w:tr>
        <w:trPr>
          <w:trHeight w:val="556"/>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4.01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Conditions of Initial Credit Extension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4.02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Conditions to all Credit Extensions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115</w:t>
            </w:r>
          </w:p>
        </w:tc>
      </w:tr>
      <w:tr>
        <w:trPr>
          <w:trHeight w:val="556"/>
        </w:trPr>
        <w:tc>
          <w:tcPr>
            <w:tcW w:w="107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ARTICLE V. REPRESENTATIONS AND WARRANTIES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556"/>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Existence, Qualification and Power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Authorization; No Contravention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Governmental Authorization; Other Consents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117</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Binding Effect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117</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Financial Statements; No Material Adverse Effect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117</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Litigation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 Default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5.08</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Ownership of Property; Liens; Investments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5.09</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Environmental Compliance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5.10</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Insurance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Taxes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ERISA Compliance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Subsidiaries; Equity Interests; Loan Parties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Margin Regulations; Investment Company Act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Disclosure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Compliance with Laws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Taxpayer Identification Number; Other Identifying Information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5.18</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Intellectual Property; Licenses, Etc</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5.19</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Solvency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5.20</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Casualty, Etc</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Labor Matters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Collateral Documents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OFAC; Anti-Corruption Laws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Excluded Subsidiaries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EEA Financial Institution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Beneficial Ownership Certification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Covered Entities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124</w:t>
            </w:r>
          </w:p>
        </w:tc>
      </w:tr>
      <w:tr>
        <w:trPr>
          <w:trHeight w:val="556"/>
        </w:trPr>
        <w:tc>
          <w:tcPr>
            <w:tcW w:w="107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ARTICLE VI. AFFIRMATIVE COVENANTS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124</w:t>
            </w:r>
          </w:p>
        </w:tc>
      </w:tr>
      <w:tr>
        <w:trPr>
          <w:trHeight w:val="556"/>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Financial Statements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125</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Certificates; Other Information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126</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Notices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Payment of Obligations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Preservation of Existence, Etc</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Maintenance of Properties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Maintenance of Insurance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129</w:t>
            </w:r>
          </w:p>
        </w:tc>
      </w:tr>
    </w:tbl>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320"/>
          </w:cols>
          <w:pgMar w:left="240" w:top="955" w:right="339" w:bottom="940" w:gutter="0" w:footer="0" w:header="0"/>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119889268</w:t>
      </w:r>
    </w:p>
    <w:p>
      <w:pPr>
        <w:sectPr>
          <w:pgSz w:w="11900" w:h="16838" w:orient="portrait"/>
          <w:cols w:equalWidth="0" w:num="1">
            <w:col w:w="11320"/>
          </w:cols>
          <w:pgMar w:left="240" w:top="955" w:right="339" w:bottom="940" w:gutter="0" w:footer="0" w:header="0"/>
          <w:type w:val="continuous"/>
        </w:sectPr>
      </w:pPr>
    </w:p>
    <w:bookmarkStart w:id="47" w:name="page48"/>
    <w:bookmarkEnd w:id="47"/>
    <w:tbl>
      <w:tblPr>
        <w:tblLayout w:type="fixed"/>
        <w:tblInd w:w="40" w:type="dxa"/>
        <w:tblCellMar>
          <w:top w:w="0" w:type="dxa"/>
          <w:left w:w="0" w:type="dxa"/>
          <w:bottom w:w="0" w:type="dxa"/>
          <w:right w:w="0" w:type="dxa"/>
        </w:tblCellMar>
      </w:tblPr>
      <w:tr>
        <w:trPr>
          <w:trHeight w:val="249"/>
        </w:trPr>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40" w:type="dxa"/>
            <w:vAlign w:val="bottom"/>
          </w:tcPr>
          <w:p>
            <w:pPr>
              <w:ind w:left="292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45"/>
        </w:trPr>
        <w:tc>
          <w:tcPr>
            <w:tcW w:w="17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Section</w:t>
            </w:r>
          </w:p>
        </w:tc>
        <w:tc>
          <w:tcPr>
            <w:tcW w:w="90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w w:val="97"/>
              </w:rPr>
              <w:t>Page</w:t>
            </w:r>
          </w:p>
        </w:tc>
      </w:tr>
      <w:tr>
        <w:trPr>
          <w:trHeight w:val="20"/>
        </w:trPr>
        <w:tc>
          <w:tcPr>
            <w:tcW w:w="5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9"/>
        </w:trPr>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6.08</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Compliance with Laws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6.09</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Books and Records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6.10</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Inspection Rights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Use of Proceeds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Covenant to Guarantee Obligations and Give Security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Compliance with Environmental Laws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136</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Further Assurances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136</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Material Contracts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Designation as Senior Debt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Acquired Surety Bond Obligations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6.18</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Foreign Finance Company Plan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6.19</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Anti-Corruption Laws; Anti-Money Laundering Laws; Sanctions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556"/>
        </w:trPr>
        <w:tc>
          <w:tcPr>
            <w:tcW w:w="107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ARTICLE VII. NEGATIVE COVENANTS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556"/>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Liens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Investments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Indebtedness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Fundamental Changes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145</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Dispositions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146</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Restricted Payments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147</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Change in Nature of Business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7.08</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Transactions with Affiliates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7.09</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Burdensome Agreements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7.10</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Use of Proceeds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Financial Covenants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[Reserved.]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Amendments of Organization Documents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Accounting Changes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Prepayments, Etc. of Indebtedness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Amendment, Etc. of Indebtedness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Sale and Leaseback Transactions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151</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7.18</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Designation of Senior Debt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151</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7.19</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Holding Company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151</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7.20</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Excluded Subsidiaries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151</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7.21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Operations of US Holdco and Luxco</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151</w:t>
            </w:r>
          </w:p>
        </w:tc>
      </w:tr>
      <w:tr>
        <w:trPr>
          <w:trHeight w:val="556"/>
        </w:trPr>
        <w:tc>
          <w:tcPr>
            <w:tcW w:w="107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ARTICLE VIII. EVENTS OF DEFAULT AND REMEDIES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151</w:t>
            </w:r>
          </w:p>
        </w:tc>
      </w:tr>
      <w:tr>
        <w:trPr>
          <w:trHeight w:val="556"/>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8.01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Events of Default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8.02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Remedies Upon Event of Default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8.03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Application of Funds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154</w:t>
            </w:r>
          </w:p>
        </w:tc>
      </w:tr>
      <w:tr>
        <w:trPr>
          <w:trHeight w:val="556"/>
        </w:trPr>
        <w:tc>
          <w:tcPr>
            <w:tcW w:w="107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ARTICLE IX. ADMINISTRATIVE AGENT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156</w:t>
            </w:r>
          </w:p>
        </w:tc>
      </w:tr>
      <w:tr>
        <w:trPr>
          <w:trHeight w:val="556"/>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9.01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Appointment and Authority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156</w:t>
            </w:r>
          </w:p>
        </w:tc>
      </w:tr>
    </w:tbl>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1320"/>
          </w:cols>
          <w:pgMar w:left="240" w:top="955" w:right="339" w:bottom="940" w:gutter="0" w:footer="0" w:header="0"/>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119889268</w:t>
      </w:r>
    </w:p>
    <w:p>
      <w:pPr>
        <w:sectPr>
          <w:pgSz w:w="11900" w:h="16838" w:orient="portrait"/>
          <w:cols w:equalWidth="0" w:num="1">
            <w:col w:w="11320"/>
          </w:cols>
          <w:pgMar w:left="240" w:top="955" w:right="339" w:bottom="940" w:gutter="0" w:footer="0" w:header="0"/>
          <w:type w:val="continuous"/>
        </w:sectPr>
      </w:pPr>
    </w:p>
    <w:bookmarkStart w:id="48" w:name="page49"/>
    <w:bookmarkEnd w:id="48"/>
    <w:tbl>
      <w:tblPr>
        <w:tblLayout w:type="fixed"/>
        <w:tblInd w:w="40" w:type="dxa"/>
        <w:tblCellMar>
          <w:top w:w="0" w:type="dxa"/>
          <w:left w:w="0" w:type="dxa"/>
          <w:bottom w:w="0" w:type="dxa"/>
          <w:right w:w="0" w:type="dxa"/>
        </w:tblCellMar>
      </w:tblPr>
      <w:tr>
        <w:trPr>
          <w:trHeight w:val="249"/>
        </w:trPr>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40" w:type="dxa"/>
            <w:vAlign w:val="bottom"/>
          </w:tcPr>
          <w:p>
            <w:pPr>
              <w:ind w:left="292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45"/>
        </w:trPr>
        <w:tc>
          <w:tcPr>
            <w:tcW w:w="17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Section</w:t>
            </w:r>
          </w:p>
        </w:tc>
        <w:tc>
          <w:tcPr>
            <w:tcW w:w="90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w w:val="97"/>
              </w:rPr>
              <w:t>Page</w:t>
            </w:r>
          </w:p>
        </w:tc>
      </w:tr>
      <w:tr>
        <w:trPr>
          <w:trHeight w:val="20"/>
        </w:trPr>
        <w:tc>
          <w:tcPr>
            <w:tcW w:w="5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9"/>
        </w:trPr>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Rights as a Lender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156</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9.03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Exculpatory Provisions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157</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9.04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Reliance by Administrative Agent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9.05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Delegation of Duties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9.06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Resignation of Administrative Agent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9.07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Non-Reliance on Administrative Agent and Other Lenders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9.08</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 Other Duties, Etc</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9.09</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Administrative Agent May File Proofs of Claim; Credit Bidding</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9.10</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Collateral and Guaranty Matters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162</w:t>
            </w:r>
          </w:p>
        </w:tc>
      </w:tr>
      <w:tr>
        <w:trPr>
          <w:trHeight w:val="246"/>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9.11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Secured Cash Management Agreements, Secured Hedge Agreements and Secured Permitted Standalone Letter of</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162</w:t>
            </w:r>
          </w:p>
        </w:tc>
      </w:tr>
      <w:tr>
        <w:trPr>
          <w:trHeight w:val="245"/>
        </w:trPr>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Credit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9.12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Certain ERISA Matters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163</w:t>
            </w:r>
          </w:p>
        </w:tc>
      </w:tr>
      <w:tr>
        <w:trPr>
          <w:trHeight w:val="556"/>
        </w:trPr>
        <w:tc>
          <w:tcPr>
            <w:tcW w:w="107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ARTICLE X. MISCELLANEOUS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164</w:t>
            </w:r>
          </w:p>
        </w:tc>
      </w:tr>
      <w:tr>
        <w:trPr>
          <w:trHeight w:val="556"/>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Amendments, Etc</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Notices; Effectiveness; Electronic Communication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166</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 Waiver; Cumulative Remedies; Enforcement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Expenses; Indemnity; Damage Waiver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Payments Set Aside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171</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Successors and Assigns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Treatment of Certain Information; Confidentiality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177</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10.08</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Right of Setoff</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10.09</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Interest Rate Limitation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178</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10.10</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Counterparts; Integration; Effectiveness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Survival of Representations and Warranties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Severability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179</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Replacement of Lenders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180</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10.14</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Governing Law; Jurisdiction; Etc</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181</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10.15</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Waiver of Jury Trial</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10.16</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 Advisory or Fiduciary Responsibility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182</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10.17</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Electronic Execution of Assignments and Certain Other Documents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10.18</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USA PATRIOT Act Notice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10.19</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Judgment Currency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183</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10.20</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Designation as Senior Debt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10.21</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Keepwell</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10.22</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Acknowledgement and Consent to Bail-In of EEA Financial Institutions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184</w:t>
            </w:r>
          </w:p>
        </w:tc>
      </w:tr>
      <w:tr>
        <w:trPr>
          <w:trHeight w:val="271"/>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10.23</w:t>
            </w:r>
          </w:p>
        </w:tc>
        <w:tc>
          <w:tcPr>
            <w:tcW w:w="90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Acknowledgement Regarding Any Supported QFCs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185</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iv</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320"/>
          </w:cols>
          <w:pgMar w:left="240" w:top="955" w:right="339" w:bottom="1440" w:gutter="0" w:footer="0" w:header="0"/>
        </w:sectPr>
      </w:pPr>
    </w:p>
    <w:bookmarkStart w:id="49" w:name="page50"/>
    <w:bookmarkEnd w:id="49"/>
    <w:tbl>
      <w:tblPr>
        <w:tblLayout w:type="fixed"/>
        <w:tblInd w:w="20" w:type="dxa"/>
        <w:tblCellMar>
          <w:top w:w="0" w:type="dxa"/>
          <w:left w:w="0" w:type="dxa"/>
          <w:bottom w:w="0" w:type="dxa"/>
          <w:right w:w="0" w:type="dxa"/>
        </w:tblCellMar>
      </w:tblPr>
      <w:tr>
        <w:trPr>
          <w:trHeight w:val="227"/>
        </w:trPr>
        <w:tc>
          <w:tcPr>
            <w:tcW w:w="1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ANNEXES</w:t>
            </w:r>
          </w:p>
        </w:tc>
        <w:tc>
          <w:tcPr>
            <w:tcW w:w="4580" w:type="dxa"/>
            <w:vAlign w:val="bottom"/>
          </w:tcPr>
          <w:p>
            <w:pPr>
              <w:spacing w:after="0"/>
              <w:rPr>
                <w:sz w:val="19"/>
                <w:szCs w:val="19"/>
                <w:color w:val="auto"/>
              </w:rPr>
            </w:pPr>
          </w:p>
        </w:tc>
      </w:tr>
      <w:tr>
        <w:trPr>
          <w:trHeight w:val="56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Existing Letters of Credit</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II</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Commitments and Applicable Percentages</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III</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Term Loan Facility Amortization Schedule</w:t>
            </w:r>
          </w:p>
        </w:tc>
      </w:tr>
      <w:tr>
        <w:trPr>
          <w:trHeight w:val="568"/>
        </w:trPr>
        <w:tc>
          <w:tcPr>
            <w:tcW w:w="1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SCHEDULES</w:t>
            </w:r>
          </w:p>
        </w:tc>
        <w:tc>
          <w:tcPr>
            <w:tcW w:w="4580" w:type="dxa"/>
            <w:vAlign w:val="bottom"/>
          </w:tcPr>
          <w:p>
            <w:pPr>
              <w:spacing w:after="0"/>
              <w:rPr>
                <w:sz w:val="24"/>
                <w:szCs w:val="24"/>
                <w:color w:val="auto"/>
              </w:rPr>
            </w:pPr>
          </w:p>
        </w:tc>
      </w:tr>
      <w:tr>
        <w:trPr>
          <w:trHeight w:val="543"/>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5.05</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Supplement to Interim Financial Statements</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5.08(b)</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Existing Liens</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5.08(c)</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Owned Real Property</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5.08(d)(i)</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Leased Real Property (Lessee)</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5.08(d)(ii)</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Leased Real Property (Lessor)</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5.12(c)</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Closing Date ERISA Events</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5.12(d)</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Closing Date Pension Plans</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5.13</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Subsidiaries; Other Equity Investments; Loan Parties</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5.21</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Labor Matters</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6.12(f)</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Excluded Subsidiaries</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7.03</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Existing Indebtedness</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7.08</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Existing Transactions with Affiliates</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7.09</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Existing Burdensome Agreements</w:t>
            </w:r>
          </w:p>
        </w:tc>
      </w:tr>
      <w:tr>
        <w:trPr>
          <w:trHeight w:val="258"/>
        </w:trPr>
        <w:tc>
          <w:tcPr>
            <w:tcW w:w="15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10.02</w:t>
            </w: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Administrative Agent’s Office; Certain Addresses for Notices</w:t>
            </w:r>
          </w:p>
        </w:tc>
      </w:tr>
    </w:tbl>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3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Form of</w:t>
      </w:r>
    </w:p>
    <w:p>
      <w:pPr>
        <w:spacing w:after="0" w:line="353" w:lineRule="exact"/>
        <w:rPr>
          <w:sz w:val="20"/>
          <w:szCs w:val="20"/>
          <w:color w:val="auto"/>
        </w:rPr>
      </w:pPr>
    </w:p>
    <w:p>
      <w:pPr>
        <w:ind w:left="1860" w:hanging="1366"/>
        <w:spacing w:after="0"/>
        <w:tabs>
          <w:tab w:leader="none" w:pos="18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Notice</w:t>
      </w:r>
    </w:p>
    <w:p>
      <w:pPr>
        <w:spacing w:after="0" w:line="63" w:lineRule="exact"/>
        <w:rPr>
          <w:sz w:val="20"/>
          <w:szCs w:val="20"/>
          <w:color w:val="auto"/>
        </w:rPr>
      </w:pPr>
    </w:p>
    <w:p>
      <w:pPr>
        <w:ind w:left="1860" w:hanging="1366"/>
        <w:spacing w:after="0"/>
        <w:tabs>
          <w:tab w:leader="none" w:pos="18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Swing Line Loan Notice</w:t>
      </w:r>
    </w:p>
    <w:p>
      <w:pPr>
        <w:spacing w:after="0" w:line="63" w:lineRule="exact"/>
        <w:rPr>
          <w:sz w:val="20"/>
          <w:szCs w:val="20"/>
          <w:color w:val="auto"/>
        </w:rPr>
      </w:pPr>
    </w:p>
    <w:p>
      <w:pPr>
        <w:ind w:left="1860" w:hanging="1366"/>
        <w:spacing w:after="0"/>
        <w:tabs>
          <w:tab w:leader="none" w:pos="18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w:t>
      </w:r>
    </w:p>
    <w:p>
      <w:pPr>
        <w:spacing w:after="0" w:line="63" w:lineRule="exact"/>
        <w:rPr>
          <w:sz w:val="20"/>
          <w:szCs w:val="20"/>
          <w:color w:val="auto"/>
        </w:rPr>
      </w:pPr>
    </w:p>
    <w:p>
      <w:pPr>
        <w:ind w:left="1860" w:hanging="1366"/>
        <w:spacing w:after="0"/>
        <w:tabs>
          <w:tab w:leader="none" w:pos="18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Certificate</w:t>
      </w:r>
    </w:p>
    <w:p>
      <w:pPr>
        <w:spacing w:after="0" w:line="63" w:lineRule="exact"/>
        <w:rPr>
          <w:sz w:val="20"/>
          <w:szCs w:val="20"/>
          <w:color w:val="auto"/>
        </w:rPr>
      </w:pPr>
    </w:p>
    <w:p>
      <w:pPr>
        <w:ind w:left="1860" w:hanging="1366"/>
        <w:spacing w:after="0"/>
        <w:tabs>
          <w:tab w:leader="none" w:pos="18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Assignment and Assumption</w:t>
      </w:r>
    </w:p>
    <w:p>
      <w:pPr>
        <w:spacing w:after="0" w:line="321" w:lineRule="exact"/>
        <w:rPr>
          <w:sz w:val="20"/>
          <w:szCs w:val="20"/>
          <w:color w:val="auto"/>
        </w:rPr>
      </w:pPr>
    </w:p>
    <w:p>
      <w:pPr>
        <w:ind w:left="1860" w:hanging="1366"/>
        <w:spacing w:after="0"/>
        <w:tabs>
          <w:tab w:leader="none" w:pos="1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Bankers’ Acceptance Request</w:t>
      </w:r>
    </w:p>
    <w:p>
      <w:pPr>
        <w:spacing w:after="0" w:line="63" w:lineRule="exact"/>
        <w:rPr>
          <w:sz w:val="20"/>
          <w:szCs w:val="20"/>
          <w:color w:val="auto"/>
        </w:rPr>
      </w:pPr>
    </w:p>
    <w:p>
      <w:pPr>
        <w:ind w:left="1860" w:hanging="1366"/>
        <w:spacing w:after="0"/>
        <w:tabs>
          <w:tab w:leader="none" w:pos="1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Letter of Credit Report</w:t>
      </w:r>
    </w:p>
    <w:p>
      <w:pPr>
        <w:spacing w:after="0" w:line="63" w:lineRule="exact"/>
        <w:rPr>
          <w:sz w:val="20"/>
          <w:szCs w:val="20"/>
          <w:color w:val="auto"/>
        </w:rPr>
      </w:pPr>
    </w:p>
    <w:p>
      <w:pPr>
        <w:ind w:left="500"/>
        <w:spacing w:after="0"/>
        <w:tabs>
          <w:tab w:leader="none" w:pos="1840" w:val="left"/>
        </w:tabs>
        <w:rPr>
          <w:sz w:val="20"/>
          <w:szCs w:val="20"/>
          <w:color w:val="auto"/>
        </w:rPr>
      </w:pPr>
      <w:r>
        <w:rPr>
          <w:rFonts w:ascii="Times New Roman" w:cs="Times New Roman" w:eastAsia="Times New Roman" w:hAnsi="Times New Roman"/>
          <w:sz w:val="17"/>
          <w:szCs w:val="17"/>
          <w:color w:val="auto"/>
        </w:rPr>
        <w:t>I</w:t>
      </w:r>
      <w:r>
        <w:rPr>
          <w:sz w:val="20"/>
          <w:szCs w:val="20"/>
          <w:color w:val="auto"/>
        </w:rPr>
        <w:tab/>
      </w:r>
      <w:r>
        <w:rPr>
          <w:rFonts w:ascii="Times New Roman" w:cs="Times New Roman" w:eastAsia="Times New Roman" w:hAnsi="Times New Roman"/>
          <w:sz w:val="17"/>
          <w:szCs w:val="17"/>
          <w:color w:val="auto"/>
        </w:rPr>
        <w:t>Notice of Loan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752"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1"/>
          <w:szCs w:val="21"/>
          <w:b w:val="1"/>
          <w:bCs w:val="1"/>
          <w:color w:val="auto"/>
        </w:rPr>
        <w:t>FIFTH AMENDED AND RESTATED CREDIT AGREEMENT</w:t>
      </w:r>
    </w:p>
    <w:p>
      <w:pPr>
        <w:spacing w:after="0" w:line="211"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FIFTH AMENDED AND RESTATED CREDIT AGREEMENT</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xml:space="preserve">”) is entered into as of September 19, 2019, among </w:t>
      </w:r>
      <w:r>
        <w:rPr>
          <w:rFonts w:ascii="Times New Roman" w:cs="Times New Roman" w:eastAsia="Times New Roman" w:hAnsi="Times New Roman"/>
          <w:sz w:val="21"/>
          <w:szCs w:val="21"/>
          <w:b w:val="1"/>
          <w:bCs w:val="1"/>
          <w:color w:val="auto"/>
        </w:rPr>
        <w:t>MASTEC, INC</w:t>
      </w:r>
      <w:r>
        <w:rPr>
          <w:rFonts w:ascii="Times New Roman" w:cs="Times New Roman" w:eastAsia="Times New Roman" w:hAnsi="Times New Roman"/>
          <w:sz w:val="21"/>
          <w:szCs w:val="21"/>
          <w:color w:val="auto"/>
        </w:rPr>
        <w:t>., a Florida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MASTEC NORTH AMERICA, INC.</w:t>
      </w:r>
      <w:r>
        <w:rPr>
          <w:rFonts w:ascii="Times New Roman" w:cs="Times New Roman" w:eastAsia="Times New Roman" w:hAnsi="Times New Roman"/>
          <w:sz w:val="21"/>
          <w:szCs w:val="21"/>
          <w:color w:val="auto"/>
        </w:rPr>
        <w:t>, a Florida corporation (together with the Company, collectively,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each lender from time to time party hereto (collectively,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BANK OF AMERICA, N.A.</w:t>
      </w:r>
      <w:r>
        <w:rPr>
          <w:rFonts w:ascii="Times New Roman" w:cs="Times New Roman" w:eastAsia="Times New Roman" w:hAnsi="Times New Roman"/>
          <w:sz w:val="21"/>
          <w:szCs w:val="21"/>
          <w:color w:val="auto"/>
        </w:rPr>
        <w:t>, as Administrative Agent, Swing Line Lender and L/C Issuer.</w:t>
      </w:r>
    </w:p>
    <w:p>
      <w:pPr>
        <w:spacing w:after="0" w:line="175"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WHEREAS, the Borrowers, the lenders party thereto (the “</w:t>
      </w:r>
      <w:r>
        <w:rPr>
          <w:rFonts w:ascii="Times New Roman" w:cs="Times New Roman" w:eastAsia="Times New Roman" w:hAnsi="Times New Roman"/>
          <w:sz w:val="21"/>
          <w:szCs w:val="21"/>
          <w:u w:val="single" w:color="auto"/>
          <w:color w:val="auto"/>
        </w:rPr>
        <w:t>Existing Lenders</w:t>
      </w:r>
      <w:r>
        <w:rPr>
          <w:rFonts w:ascii="Times New Roman" w:cs="Times New Roman" w:eastAsia="Times New Roman" w:hAnsi="Times New Roman"/>
          <w:sz w:val="21"/>
          <w:szCs w:val="21"/>
          <w:color w:val="auto"/>
        </w:rPr>
        <w:t>”) and the Administrative Agent are parties to that certain Fourth Amended and Restated Credit Agreement dated as of February 22, 2017 (as amended, supplemented or otherwise modified prior to the date hereof,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pursuant to which the Existing Lenders agreed to provide a revolving credit facility, a multi-currency revolving credit facility and a term loan facility to the Company and its Subsidiaries; and</w:t>
      </w:r>
    </w:p>
    <w:p>
      <w:pPr>
        <w:spacing w:after="0" w:line="17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WHEREAS, the Borrowers have requested that the Existing Credit Agreement be amended and restated as described herein, and the Administrative Agent and the Lenders are willing to so amend and restate the Existing Credit Agreement;</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NOW, THEREFORE, the Borrowers, the Lenders and the Administrative Agent, subject to the terms and conditions herein, hereby amend and restate the Existing Credit Agreement and agree as follows: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ASSIGNMENTS; AMENDMENT AND RESTATEMENT; DEFINITIONS AND ACCOUNTING TERMS</w:t>
      </w:r>
    </w:p>
    <w:p>
      <w:pPr>
        <w:spacing w:after="0" w:line="223"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1.01</w:t>
      </w:r>
      <w:r>
        <w:rPr>
          <w:sz w:val="20"/>
          <w:szCs w:val="20"/>
          <w:color w:val="auto"/>
        </w:rPr>
        <w:tab/>
      </w:r>
      <w:r>
        <w:rPr>
          <w:rFonts w:ascii="Times New Roman" w:cs="Times New Roman" w:eastAsia="Times New Roman" w:hAnsi="Times New Roman"/>
          <w:sz w:val="20"/>
          <w:szCs w:val="20"/>
          <w:b w:val="1"/>
          <w:bCs w:val="1"/>
          <w:color w:val="auto"/>
        </w:rPr>
        <w:t>Assignments; Amendment and Restatement</w:t>
      </w:r>
      <w:r>
        <w:rPr>
          <w:rFonts w:ascii="Times New Roman" w:cs="Times New Roman" w:eastAsia="Times New Roman" w:hAnsi="Times New Roman"/>
          <w:sz w:val="20"/>
          <w:szCs w:val="20"/>
          <w:color w:val="auto"/>
        </w:rPr>
        <w:t>. In order to facilitate the amendment and restatement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and otherwise to effectuate the desires of the Borrowers, the Administrative Agent and the Lenders agree that:</w:t>
      </w:r>
    </w:p>
    <w:p>
      <w:pPr>
        <w:spacing w:after="0" w:line="201" w:lineRule="exact"/>
        <w:rPr>
          <w:sz w:val="20"/>
          <w:szCs w:val="20"/>
          <w:color w:val="auto"/>
        </w:rPr>
      </w:pPr>
    </w:p>
    <w:p>
      <w:pPr>
        <w:jc w:val="both"/>
        <w:ind w:firstLine="624"/>
        <w:spacing w:after="0" w:line="248" w:lineRule="auto"/>
        <w:tabs>
          <w:tab w:leader="none" w:pos="1047"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effectiveness of this Agreement, the parties hereby agree that (i) the Commitments and Applicable Percentages of each of the Lenders shall be as set forth on </w:t>
      </w:r>
      <w:r>
        <w:rPr>
          <w:rFonts w:ascii="Times New Roman" w:cs="Times New Roman" w:eastAsia="Times New Roman" w:hAnsi="Times New Roman"/>
          <w:sz w:val="21"/>
          <w:szCs w:val="21"/>
          <w:u w:val="single" w:color="auto"/>
          <w:color w:val="auto"/>
        </w:rPr>
        <w:t>Annex II</w:t>
      </w:r>
      <w:r>
        <w:rPr>
          <w:rFonts w:ascii="Times New Roman" w:cs="Times New Roman" w:eastAsia="Times New Roman" w:hAnsi="Times New Roman"/>
          <w:sz w:val="21"/>
          <w:szCs w:val="21"/>
          <w:color w:val="auto"/>
        </w:rPr>
        <w:t>, and the outstanding principal amount of Committed (USD) Loans and Committed (MC) Loans (each as defined in the Existing Credit Agreement) under the Existing Credit Agreement shall be reallocated as outstanding Committed (USD) Loans and Committed (MC) Loans, respectively, hereunder in accordance with such Commitments and Applicable Percentages and the requisite assignments shall be deemed to be made in such amounts among the Lenders and from each Lender to each other Lender (including to Lenders who reduce their commitments in connection with this Agreement), with the same force and effect as if such assignments were evidenced by applicable Assignments and Assumptions (as defined in the Existing Credit Agreement) under the Existing Credit Agreement or applicable Assignments and Assumptions hereunder, but without the payment of any related assignment fee and (ii) all Letters of Credit (as defined in the Existing Credit Agreement) outstanding under the Existing Credit Agreement shall continue as Letters of Credit outstanding under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1" w:right="239" w:bottom="1440" w:gutter="0" w:footer="0" w:header="0"/>
        </w:sectPr>
      </w:pPr>
    </w:p>
    <w:bookmarkStart w:id="51" w:name="page52"/>
    <w:bookmarkEnd w:id="51"/>
    <w:p>
      <w:pPr>
        <w:jc w:val="both"/>
        <w:ind w:firstLine="624"/>
        <w:spacing w:after="0" w:line="248" w:lineRule="auto"/>
        <w:tabs>
          <w:tab w:leader="none" w:pos="1033"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hereby consent to all reallocations and assignments of Commitments and Outstanding Amounts effected pursuant to </w:t>
      </w:r>
      <w:r>
        <w:rPr>
          <w:rFonts w:ascii="Times New Roman" w:cs="Times New Roman" w:eastAsia="Times New Roman" w:hAnsi="Times New Roman"/>
          <w:sz w:val="21"/>
          <w:szCs w:val="21"/>
          <w:u w:val="single" w:color="auto"/>
          <w:color w:val="auto"/>
        </w:rPr>
        <w:t>Section 1.01(a)</w:t>
      </w:r>
      <w:r>
        <w:rPr>
          <w:rFonts w:ascii="Times New Roman" w:cs="Times New Roman" w:eastAsia="Times New Roman" w:hAnsi="Times New Roman"/>
          <w:sz w:val="21"/>
          <w:szCs w:val="21"/>
          <w:color w:val="auto"/>
        </w:rPr>
        <w:t xml:space="preserve"> and, subject to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hereof, waive any requirement for any other document or instrument, including any Assignment and Assumption (as defined in the Existing Credit Agreement) under the Existing Credit Agreement or any Assignment and Assumption hereunder, necessary to give effect to any reallocation or assignment. On the Closing Date the Lenders shall make full cash settlement with each other (and with the Existing Lenders whose Commitments and Outstanding Amounts are being decreased) through the Administrative Agent, as the Administrative Agent may direct or approve, with respect to all assignments and reallocations in Commitments and Outstanding Amounts as reflected in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such that after giving effect to such settlements the outstanding principal amount of all Committed (USD) Loans, Committed (MC) Loans and Swing Line Loans of each Lender on the Closing Date (after giving effect to all Credit Extensions on such date) reflect such Lender’s Applicable Percentages on the Closing Date as set forth on </w:t>
      </w:r>
      <w:r>
        <w:rPr>
          <w:rFonts w:ascii="Times New Roman" w:cs="Times New Roman" w:eastAsia="Times New Roman" w:hAnsi="Times New Roman"/>
          <w:sz w:val="21"/>
          <w:szCs w:val="21"/>
          <w:u w:val="single" w:color="auto"/>
          <w:color w:val="auto"/>
        </w:rPr>
        <w:t>Annex II</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jc w:val="both"/>
        <w:ind w:firstLine="624"/>
        <w:spacing w:after="0" w:line="253" w:lineRule="auto"/>
        <w:tabs>
          <w:tab w:leader="none" w:pos="1073"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the Administrative Agent and the Lenders hereby agree that upon the effectiveness of this Agreement, the terms and provisions of the Existing Credit Agreement which in any manner govern or evidence the obligations arising hereunder, the rights and interests of the Administrative Agent and the Lenders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174" w:lineRule="exact"/>
        <w:rPr>
          <w:rFonts w:ascii="Times New Roman" w:cs="Times New Roman" w:eastAsia="Times New Roman" w:hAnsi="Times New Roman"/>
          <w:sz w:val="21"/>
          <w:szCs w:val="21"/>
          <w:color w:val="auto"/>
        </w:rPr>
      </w:pPr>
    </w:p>
    <w:p>
      <w:pPr>
        <w:jc w:val="both"/>
        <w:ind w:firstLine="624"/>
        <w:spacing w:after="0" w:line="249" w:lineRule="auto"/>
        <w:tabs>
          <w:tab w:leader="none" w:pos="105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this amendment and restatement of the Existing Credit Agreement, including anything in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and of any related “Loan Document” (as such term is defined in the Existing Credit Agreement and referred to herein, individually or collectively, as the “</w:t>
      </w:r>
      <w:r>
        <w:rPr>
          <w:rFonts w:ascii="Times New Roman" w:cs="Times New Roman" w:eastAsia="Times New Roman" w:hAnsi="Times New Roman"/>
          <w:sz w:val="21"/>
          <w:szCs w:val="21"/>
          <w:u w:val="single" w:color="auto"/>
          <w:color w:val="auto"/>
        </w:rPr>
        <w:t>Existing Loan Documents</w:t>
      </w:r>
      <w:r>
        <w:rPr>
          <w:rFonts w:ascii="Times New Roman" w:cs="Times New Roman" w:eastAsia="Times New Roman" w:hAnsi="Times New Roman"/>
          <w:sz w:val="21"/>
          <w:szCs w:val="21"/>
          <w:color w:val="auto"/>
        </w:rPr>
        <w:t>”), (i) all of the indebtedness, liabilities and obligations owing by any Borrower or any other Person under the Existing Credit Agreement and other Existing Loan Documents shall continue as indebtedness, liabilities and obligations hereunder and thereunder and shall be and remain secured by the Collateral Documents and (ii) neither the execution and delivery of this Agreement or any other Loan Document nor the consummation of any other transaction contemplated hereunder or thereunder is intended to constitute a novation of the Existing Credit Agreement or of any of the other Existing Loan Documents or any obligations thereunder.</w:t>
      </w:r>
    </w:p>
    <w:p>
      <w:pPr>
        <w:spacing w:after="0" w:line="175"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1.02</w:t>
      </w:r>
      <w:r>
        <w:rPr>
          <w:sz w:val="20"/>
          <w:szCs w:val="20"/>
          <w:color w:val="auto"/>
        </w:rPr>
        <w:tab/>
      </w:r>
      <w:r>
        <w:rPr>
          <w:rFonts w:ascii="Times New Roman" w:cs="Times New Roman" w:eastAsia="Times New Roman" w:hAnsi="Times New Roman"/>
          <w:sz w:val="20"/>
          <w:szCs w:val="20"/>
          <w:b w:val="1"/>
          <w:bCs w:val="1"/>
          <w:color w:val="auto"/>
        </w:rPr>
        <w:t xml:space="preserve">Defined Terms. </w:t>
      </w:r>
      <w:r>
        <w:rPr>
          <w:rFonts w:ascii="Times New Roman" w:cs="Times New Roman" w:eastAsia="Times New Roman" w:hAnsi="Times New Roman"/>
          <w:sz w:val="20"/>
          <w:szCs w:val="20"/>
          <w:color w:val="auto"/>
        </w:rPr>
        <w:t>As used in this Agreement, the following terms shall have the meanings set forth below:</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70% Guaranty Threshold</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6.12(e)</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80% Guaranty Threshold</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6.12(e)</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Acceptance Credit</w:t>
      </w:r>
      <w:r>
        <w:rPr>
          <w:rFonts w:ascii="Times New Roman" w:cs="Times New Roman" w:eastAsia="Times New Roman" w:hAnsi="Times New Roman"/>
          <w:sz w:val="21"/>
          <w:szCs w:val="21"/>
          <w:color w:val="auto"/>
        </w:rPr>
        <w:t>” means a commercial Letter of Credit in which the L/C Issuer engages with the beneficiary of such Letter of Credit to accept a time draft.</w:t>
      </w:r>
    </w:p>
    <w:p>
      <w:pPr>
        <w:spacing w:after="0" w:line="116"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Acceptance Documents</w:t>
      </w:r>
      <w:r>
        <w:rPr>
          <w:rFonts w:ascii="Times New Roman" w:cs="Times New Roman" w:eastAsia="Times New Roman" w:hAnsi="Times New Roman"/>
          <w:sz w:val="21"/>
          <w:szCs w:val="21"/>
          <w:color w:val="auto"/>
        </w:rPr>
        <w:t>” means such general acceptance agreements, drafts, applications, certificates and other documents as the L/C Issuer may require in connection with the creation of L/C Issued BAs.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52" w:name="page53"/>
    <w:bookmarkEnd w:id="52"/>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by any Person, the acquisition by such Person, in a single transaction or in a series of related transactions, of</w:t>
      </w:r>
    </w:p>
    <w:p>
      <w:pPr>
        <w:spacing w:after="0" w:line="38" w:lineRule="exact"/>
        <w:rPr>
          <w:sz w:val="20"/>
          <w:szCs w:val="20"/>
          <w:color w:val="auto"/>
        </w:rPr>
      </w:pPr>
    </w:p>
    <w:p>
      <w:pPr>
        <w:jc w:val="both"/>
        <w:ind w:firstLine="3"/>
        <w:spacing w:after="0" w:line="245" w:lineRule="auto"/>
        <w:tabs>
          <w:tab w:leader="none" w:pos="28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more than 50% of the voting Equity Interests of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(b) assets of another Person which constitute all or substantially all of the assets of such Person, a division of such Person or a line or lines of business conducted by such Person.</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10.18</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Consolidated EBITDA</w:t>
      </w:r>
      <w:r>
        <w:rPr>
          <w:rFonts w:ascii="Times New Roman" w:cs="Times New Roman" w:eastAsia="Times New Roman" w:hAnsi="Times New Roman"/>
          <w:sz w:val="21"/>
          <w:szCs w:val="21"/>
          <w:color w:val="auto"/>
        </w:rPr>
        <w:t>” means, for any period, the consolidated EBITDA (measured (i) on the same basis as “Consolidated EBITDA” provided herein, but for the Company and all of its Subsidiaries and (ii) after allocating corporate expenses to all Subsidiaries of the Company on a pro rata basis) of the Company and all its Subsidiaries.</w:t>
      </w:r>
    </w:p>
    <w:p>
      <w:pPr>
        <w:spacing w:after="0" w:line="20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means Bank of America in its capacity as administrative agent under any of the Loan Documents, or any successor administrative agent.</w:t>
      </w:r>
    </w:p>
    <w:p>
      <w:pPr>
        <w:spacing w:after="0" w:line="11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Agent’s Office</w:t>
      </w:r>
      <w:r>
        <w:rPr>
          <w:rFonts w:ascii="Times New Roman" w:cs="Times New Roman" w:eastAsia="Times New Roman" w:hAnsi="Times New Roman"/>
          <w:sz w:val="21"/>
          <w:szCs w:val="21"/>
          <w:color w:val="auto"/>
        </w:rPr>
        <w:t xml:space="preserve">” means, with respect to any currency, the Administrative Agent’s address and, as appropriate, account as set forth on </w:t>
      </w:r>
      <w:r>
        <w:rPr>
          <w:rFonts w:ascii="Times New Roman" w:cs="Times New Roman" w:eastAsia="Times New Roman" w:hAnsi="Times New Roman"/>
          <w:sz w:val="21"/>
          <w:szCs w:val="21"/>
          <w:u w:val="single" w:color="auto"/>
          <w:color w:val="auto"/>
        </w:rPr>
        <w:t>Schedule 10.02</w:t>
      </w:r>
      <w:r>
        <w:rPr>
          <w:rFonts w:ascii="Times New Roman" w:cs="Times New Roman" w:eastAsia="Times New Roman" w:hAnsi="Times New Roman"/>
          <w:sz w:val="21"/>
          <w:szCs w:val="21"/>
          <w:color w:val="auto"/>
        </w:rPr>
        <w:t xml:space="preserve"> with respect to such currency, or such other address or account with respect to such currency as the Administrative Agent may from time to time notify the Company and the Lenders.</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the form approved by the Administrative Agent.</w:t>
      </w:r>
    </w:p>
    <w:p>
      <w:pPr>
        <w:spacing w:after="0" w:line="17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Person, another Person that directly, or indirectly through one or more intermediaries, Controls or is Controlled by or is under common Control with the Person specified.</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Commitments</w:t>
      </w:r>
      <w:r>
        <w:rPr>
          <w:rFonts w:ascii="Times New Roman" w:cs="Times New Roman" w:eastAsia="Times New Roman" w:hAnsi="Times New Roman"/>
          <w:sz w:val="21"/>
          <w:szCs w:val="21"/>
          <w:color w:val="auto"/>
        </w:rPr>
        <w:t>” means the Commitments of all the Lenders.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(MC) Commitments</w:t>
      </w:r>
      <w:r>
        <w:rPr>
          <w:rFonts w:ascii="Times New Roman" w:cs="Times New Roman" w:eastAsia="Times New Roman" w:hAnsi="Times New Roman"/>
          <w:sz w:val="21"/>
          <w:szCs w:val="21"/>
          <w:color w:val="auto"/>
        </w:rPr>
        <w:t>” means the MC Commitments of all the Lenders.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(USD) Commitments</w:t>
      </w:r>
      <w:r>
        <w:rPr>
          <w:rFonts w:ascii="Times New Roman" w:cs="Times New Roman" w:eastAsia="Times New Roman" w:hAnsi="Times New Roman"/>
          <w:sz w:val="21"/>
          <w:szCs w:val="21"/>
          <w:color w:val="auto"/>
        </w:rPr>
        <w:t>” means the USD Commitments of all the Lenders.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means this Credit Agreement.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 Currency</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10.19</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w:t>
      </w:r>
      <w:r>
        <w:rPr>
          <w:rFonts w:ascii="Times New Roman" w:cs="Times New Roman" w:eastAsia="Times New Roman" w:hAnsi="Times New Roman"/>
          <w:sz w:val="21"/>
          <w:szCs w:val="21"/>
          <w:color w:val="auto"/>
        </w:rPr>
        <w:t>” means each of the following currencies: Canadian Dollars and Mexican Pesos.</w:t>
      </w:r>
    </w:p>
    <w:p>
      <w:pPr>
        <w:spacing w:after="0" w:line="172"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Equivalent</w:t>
      </w:r>
      <w:r>
        <w:rPr>
          <w:rFonts w:ascii="Times New Roman" w:cs="Times New Roman" w:eastAsia="Times New Roman" w:hAnsi="Times New Roman"/>
          <w:sz w:val="21"/>
          <w:szCs w:val="21"/>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53" w:name="page54"/>
    <w:bookmarkEnd w:id="53"/>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Letter of Credit Sublimit</w:t>
      </w:r>
      <w:r>
        <w:rPr>
          <w:rFonts w:ascii="Times New Roman" w:cs="Times New Roman" w:eastAsia="Times New Roman" w:hAnsi="Times New Roman"/>
          <w:sz w:val="21"/>
          <w:szCs w:val="21"/>
          <w:color w:val="auto"/>
        </w:rPr>
        <w:t>” means an amount equal to the lesser of the Letter of Credit Sublimit and $200,000,000. The Alternative Currency Letter of Credit Sublimit is part of, and not in addition to, the Letter of Credit Sublimit.</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means the United States Foreign Corrupt Practices Act of 1977, the UK Bribery Act of 2010, and all other similar applicable anti-corruption legislation in other jurisdictions.</w:t>
      </w:r>
    </w:p>
    <w:p>
      <w:pPr>
        <w:spacing w:after="0" w:line="116"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Anti-Money Laundering Laws</w:t>
      </w:r>
      <w:r>
        <w:rPr>
          <w:rFonts w:ascii="Times New Roman" w:cs="Times New Roman" w:eastAsia="Times New Roman" w:hAnsi="Times New Roman"/>
          <w:sz w:val="21"/>
          <w:szCs w:val="21"/>
          <w:color w:val="auto"/>
        </w:rPr>
        <w:t>” means any and all laws, statutes, regulations or obligatory government orders, decrees, ordinances or rules related to terrorism financing, money laundering, any predicate crime to money laundering or any financial record keeping, including any applicable provision of the Act and The Currency and Foreign Transactions Reporting Act (also known as the “Bank Secrecy Act,” 31 U.S.C. §§ 5311-5330 and 12 U.S.C. §§ 1818(s), 1820(b) and 1951-1959).</w:t>
      </w:r>
    </w:p>
    <w:p>
      <w:pPr>
        <w:spacing w:after="0" w:line="136" w:lineRule="exact"/>
        <w:rPr>
          <w:sz w:val="20"/>
          <w:szCs w:val="20"/>
          <w:color w:val="auto"/>
        </w:rPr>
      </w:pPr>
    </w:p>
    <w:p>
      <w:pPr>
        <w:jc w:val="both"/>
        <w:ind w:firstLine="620"/>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Percentage</w:t>
      </w:r>
      <w:r>
        <w:rPr>
          <w:rFonts w:ascii="Times New Roman" w:cs="Times New Roman" w:eastAsia="Times New Roman" w:hAnsi="Times New Roman"/>
          <w:sz w:val="21"/>
          <w:szCs w:val="21"/>
          <w:color w:val="auto"/>
        </w:rPr>
        <w:t xml:space="preserve">” means (a) in respect of the Term Loan Facility, with respect to any Lender at any time, the percentage (carried out to the ninth decimal place) of the sum of the aggregate unused Term Loan Commitments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aggregate outstanding principal amount of the Term Loans represented by the sum of such Lender’s unused Term Loan Commitment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aggregate outstanding principal amount of such Lender’s Term Loan(s) at such time, (b) in respect of the Committed (USD) Facility, with respect to any Lender at any time, the percentage (carried out to the ninth decimal place) of the Aggregate (USD) Commitments represented by such Lender’s USD Commitment at such time, subject to adjustment as provided in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and (c) in respect of the Committed (MC) Facility, with respect to any Lender at any time, the percentage (carried out to the ninth decimal place) of the Aggregate (MC) Commitments represented by such Lender’s MC Commitment at such time. If the commitment of each Lender to make Committed (USD) Loans and the obligation of the L/C Issuer to make L/C Credit Extensions have been terminated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or if the Aggregate (USD) Commitments have expired, then the Applicable Percentage of each Lender in respect of the Committed (USD) Facility shall be determined based on the Applicable Percentage of such Lender in respect of the Committed (USD) Facility most recently in effect, giving effect to any subsequent assignments. If the commitment of each Lender to make Committed (MC) Loans has been terminated, or if the Aggregate (MC) Commitments have expired, then the Applicable Percentage of each Lender in respect of the Committed (MC) Facility shall be determined based on the Applicable Percentage of such Lender in respect of the Committed (MC) Facility most recently in effect, giving effect to any subsequent assignments. The initial Applicable Percentage of each Lender in respect of each Facility is set forth opposite the name of such Lender on </w:t>
      </w:r>
      <w:r>
        <w:rPr>
          <w:rFonts w:ascii="Times New Roman" w:cs="Times New Roman" w:eastAsia="Times New Roman" w:hAnsi="Times New Roman"/>
          <w:sz w:val="21"/>
          <w:szCs w:val="21"/>
          <w:u w:val="single" w:color="auto"/>
          <w:color w:val="auto"/>
        </w:rPr>
        <w:t>Annex II</w:t>
      </w:r>
      <w:r>
        <w:rPr>
          <w:rFonts w:ascii="Times New Roman" w:cs="Times New Roman" w:eastAsia="Times New Roman" w:hAnsi="Times New Roman"/>
          <w:sz w:val="21"/>
          <w:szCs w:val="21"/>
          <w:color w:val="auto"/>
        </w:rPr>
        <w:t xml:space="preserve"> or in the Assignment and Assumption pursuant to which such Lender becomes a party hereto, as applicable.</w:t>
      </w:r>
    </w:p>
    <w:p>
      <w:pPr>
        <w:spacing w:after="0" w:line="15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(USD) Percentage</w:t>
      </w:r>
      <w:r>
        <w:rPr>
          <w:rFonts w:ascii="Times New Roman" w:cs="Times New Roman" w:eastAsia="Times New Roman" w:hAnsi="Times New Roman"/>
          <w:sz w:val="21"/>
          <w:szCs w:val="21"/>
          <w:color w:val="auto"/>
        </w:rPr>
        <w:t>” means, with respect to any Lender at any time, such Lender’s Applicable Percentage in respect of the Committed (USD) Facility at such time.</w:t>
      </w:r>
    </w:p>
    <w:p>
      <w:pPr>
        <w:spacing w:after="0" w:line="116"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Rate</w:t>
      </w:r>
      <w:r>
        <w:rPr>
          <w:rFonts w:ascii="Times New Roman" w:cs="Times New Roman" w:eastAsia="Times New Roman" w:hAnsi="Times New Roman"/>
          <w:sz w:val="21"/>
          <w:szCs w:val="21"/>
          <w:color w:val="auto"/>
        </w:rPr>
        <w:t xml:space="preserve">” means (a) from the Closing Date to the first Business Day immediately following the date on which the Administrative Agent receives a Compliance Certificate pursuant to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for the fiscal quarter ending September 30, 2019, the applicable percentage per annum set forth below in Pricing Level 2 and (b) thereafter, the applicable percentage per annum set forth below determined by reference to the Consolidated Leverage Ratio as set forth in the most recent Compliance Certificate received by the Administrative Agent pursuant to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00000A"/>
              <w:left w:val="single" w:sz="8" w:color="00000A"/>
              <w:right w:val="single" w:sz="8" w:color="00000A"/>
            </w:tcBorders>
            <w:shd w:val="clear" w:color="auto" w:fill="D9D9D9"/>
          </w:tcPr>
          <w:p>
            <w:pPr>
              <w:spacing w:after="0"/>
              <w:rPr>
                <w:sz w:val="19"/>
                <w:szCs w:val="19"/>
                <w:color w:val="auto"/>
              </w:rPr>
            </w:pPr>
          </w:p>
        </w:tc>
        <w:tc>
          <w:tcPr>
            <w:tcW w:w="2400" w:type="dxa"/>
            <w:vAlign w:val="bottom"/>
            <w:tcBorders>
              <w:top w:val="single" w:sz="8" w:color="00000A"/>
              <w:right w:val="single" w:sz="8" w:color="00000A"/>
            </w:tcBorders>
            <w:shd w:val="clear" w:color="auto" w:fill="D9D9D9"/>
          </w:tcPr>
          <w:p>
            <w:pPr>
              <w:spacing w:after="0"/>
              <w:rPr>
                <w:sz w:val="19"/>
                <w:szCs w:val="19"/>
                <w:color w:val="auto"/>
              </w:rPr>
            </w:pPr>
          </w:p>
        </w:tc>
        <w:tc>
          <w:tcPr>
            <w:tcW w:w="1600" w:type="dxa"/>
            <w:vAlign w:val="bottom"/>
            <w:tcBorders>
              <w:top w:val="single" w:sz="8" w:color="00000A"/>
              <w:right w:val="single" w:sz="8" w:color="00000A"/>
            </w:tcBorders>
            <w:shd w:val="clear" w:color="auto" w:fill="D9D9D9"/>
          </w:tcPr>
          <w:p>
            <w:pPr>
              <w:spacing w:after="0"/>
              <w:rPr>
                <w:sz w:val="19"/>
                <w:szCs w:val="19"/>
                <w:color w:val="auto"/>
              </w:rPr>
            </w:pPr>
          </w:p>
        </w:tc>
        <w:tc>
          <w:tcPr>
            <w:tcW w:w="206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rPr>
              <w:t>Eurocurrency</w:t>
            </w:r>
          </w:p>
        </w:tc>
        <w:tc>
          <w:tcPr>
            <w:tcW w:w="1120" w:type="dxa"/>
            <w:vAlign w:val="bottom"/>
            <w:tcBorders>
              <w:top w:val="single" w:sz="8" w:color="00000A"/>
              <w:right w:val="single" w:sz="8" w:color="00000A"/>
            </w:tcBorders>
            <w:shd w:val="clear" w:color="auto" w:fill="D9D9D9"/>
          </w:tcPr>
          <w:p>
            <w:pPr>
              <w:spacing w:after="0"/>
              <w:rPr>
                <w:sz w:val="19"/>
                <w:szCs w:val="19"/>
                <w:color w:val="auto"/>
              </w:rPr>
            </w:pPr>
          </w:p>
        </w:tc>
        <w:tc>
          <w:tcPr>
            <w:tcW w:w="1940" w:type="dxa"/>
            <w:vAlign w:val="bottom"/>
            <w:tcBorders>
              <w:top w:val="single" w:sz="8" w:color="00000A"/>
              <w:right w:val="single" w:sz="8" w:color="00000A"/>
            </w:tcBorders>
            <w:shd w:val="clear" w:color="auto" w:fill="D9D9D9"/>
          </w:tcPr>
          <w:p>
            <w:pPr>
              <w:spacing w:after="0"/>
              <w:rPr>
                <w:sz w:val="19"/>
                <w:szCs w:val="19"/>
                <w:color w:val="auto"/>
              </w:rPr>
            </w:pPr>
          </w:p>
        </w:tc>
        <w:tc>
          <w:tcPr>
            <w:tcW w:w="1140" w:type="dxa"/>
            <w:vAlign w:val="bottom"/>
            <w:tcBorders>
              <w:top w:val="single" w:sz="8" w:color="00000A"/>
              <w:right w:val="single" w:sz="8" w:color="00000A"/>
            </w:tcBorders>
            <w:shd w:val="clear" w:color="auto" w:fill="D9D9D9"/>
          </w:tcPr>
          <w:p>
            <w:pPr>
              <w:spacing w:after="0"/>
              <w:rPr>
                <w:sz w:val="19"/>
                <w:szCs w:val="19"/>
                <w:color w:val="auto"/>
              </w:rPr>
            </w:pPr>
          </w:p>
        </w:tc>
      </w:tr>
      <w:tr>
        <w:trPr>
          <w:trHeight w:val="207"/>
        </w:trPr>
        <w:tc>
          <w:tcPr>
            <w:tcW w:w="1180" w:type="dxa"/>
            <w:vAlign w:val="bottom"/>
            <w:tcBorders>
              <w:left w:val="single" w:sz="8" w:color="00000A"/>
              <w:right w:val="single" w:sz="8" w:color="00000A"/>
            </w:tcBorders>
            <w:shd w:val="clear" w:color="auto" w:fill="D9D9D9"/>
          </w:tcPr>
          <w:p>
            <w:pPr>
              <w:spacing w:after="0"/>
              <w:rPr>
                <w:sz w:val="17"/>
                <w:szCs w:val="17"/>
                <w:color w:val="auto"/>
              </w:rPr>
            </w:pPr>
          </w:p>
        </w:tc>
        <w:tc>
          <w:tcPr>
            <w:tcW w:w="2400" w:type="dxa"/>
            <w:vAlign w:val="bottom"/>
            <w:tcBorders>
              <w:right w:val="single" w:sz="8" w:color="00000A"/>
            </w:tcBorders>
            <w:shd w:val="clear" w:color="auto" w:fill="D9D9D9"/>
          </w:tcPr>
          <w:p>
            <w:pPr>
              <w:spacing w:after="0"/>
              <w:rPr>
                <w:sz w:val="17"/>
                <w:szCs w:val="17"/>
                <w:color w:val="auto"/>
              </w:rPr>
            </w:pPr>
          </w:p>
        </w:tc>
        <w:tc>
          <w:tcPr>
            <w:tcW w:w="1600" w:type="dxa"/>
            <w:vAlign w:val="bottom"/>
            <w:tcBorders>
              <w:right w:val="single" w:sz="8" w:color="00000A"/>
            </w:tcBorders>
            <w:shd w:val="clear" w:color="auto" w:fill="D9D9D9"/>
          </w:tcPr>
          <w:p>
            <w:pPr>
              <w:spacing w:after="0"/>
              <w:rPr>
                <w:sz w:val="17"/>
                <w:szCs w:val="17"/>
                <w:color w:val="auto"/>
              </w:rPr>
            </w:pPr>
          </w:p>
        </w:tc>
        <w:tc>
          <w:tcPr>
            <w:tcW w:w="2060" w:type="dxa"/>
            <w:vAlign w:val="bottom"/>
            <w:tcBorders>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rPr>
              <w:t>Rate Loans / Letter of Credit</w:t>
            </w:r>
          </w:p>
        </w:tc>
        <w:tc>
          <w:tcPr>
            <w:tcW w:w="1120" w:type="dxa"/>
            <w:vAlign w:val="bottom"/>
            <w:tcBorders>
              <w:right w:val="single" w:sz="8" w:color="00000A"/>
            </w:tcBorders>
            <w:shd w:val="clear" w:color="auto" w:fill="D9D9D9"/>
          </w:tcPr>
          <w:p>
            <w:pPr>
              <w:spacing w:after="0"/>
              <w:rPr>
                <w:sz w:val="17"/>
                <w:szCs w:val="17"/>
                <w:color w:val="auto"/>
              </w:rPr>
            </w:pPr>
          </w:p>
        </w:tc>
        <w:tc>
          <w:tcPr>
            <w:tcW w:w="1940" w:type="dxa"/>
            <w:vAlign w:val="bottom"/>
            <w:tcBorders>
              <w:right w:val="single" w:sz="8" w:color="00000A"/>
            </w:tcBorders>
            <w:shd w:val="clear" w:color="auto" w:fill="D9D9D9"/>
          </w:tcPr>
          <w:p>
            <w:pPr>
              <w:spacing w:after="0"/>
              <w:rPr>
                <w:sz w:val="17"/>
                <w:szCs w:val="17"/>
                <w:color w:val="auto"/>
              </w:rPr>
            </w:pPr>
          </w:p>
        </w:tc>
        <w:tc>
          <w:tcPr>
            <w:tcW w:w="1140" w:type="dxa"/>
            <w:vAlign w:val="bottom"/>
            <w:tcBorders>
              <w:right w:val="single" w:sz="8" w:color="00000A"/>
            </w:tcBorders>
            <w:shd w:val="clear" w:color="auto" w:fill="D9D9D9"/>
          </w:tcPr>
          <w:p>
            <w:pPr>
              <w:spacing w:after="0"/>
              <w:rPr>
                <w:sz w:val="17"/>
                <w:szCs w:val="17"/>
                <w:color w:val="auto"/>
              </w:rPr>
            </w:pPr>
          </w:p>
        </w:tc>
      </w:tr>
      <w:tr>
        <w:trPr>
          <w:trHeight w:val="207"/>
        </w:trPr>
        <w:tc>
          <w:tcPr>
            <w:tcW w:w="1180" w:type="dxa"/>
            <w:vAlign w:val="bottom"/>
            <w:tcBorders>
              <w:left w:val="single" w:sz="8" w:color="00000A"/>
              <w:right w:val="single" w:sz="8" w:color="00000A"/>
            </w:tcBorders>
            <w:shd w:val="clear" w:color="auto" w:fill="D9D9D9"/>
          </w:tcPr>
          <w:p>
            <w:pPr>
              <w:spacing w:after="0"/>
              <w:rPr>
                <w:sz w:val="17"/>
                <w:szCs w:val="17"/>
                <w:color w:val="auto"/>
              </w:rPr>
            </w:pPr>
          </w:p>
        </w:tc>
        <w:tc>
          <w:tcPr>
            <w:tcW w:w="2400" w:type="dxa"/>
            <w:vAlign w:val="bottom"/>
            <w:tcBorders>
              <w:right w:val="single" w:sz="8" w:color="00000A"/>
            </w:tcBorders>
            <w:shd w:val="clear" w:color="auto" w:fill="D9D9D9"/>
          </w:tcPr>
          <w:p>
            <w:pPr>
              <w:spacing w:after="0"/>
              <w:rPr>
                <w:sz w:val="17"/>
                <w:szCs w:val="17"/>
                <w:color w:val="auto"/>
              </w:rPr>
            </w:pPr>
          </w:p>
        </w:tc>
        <w:tc>
          <w:tcPr>
            <w:tcW w:w="1600" w:type="dxa"/>
            <w:vAlign w:val="bottom"/>
            <w:tcBorders>
              <w:right w:val="single" w:sz="8" w:color="00000A"/>
            </w:tcBorders>
            <w:shd w:val="clear" w:color="auto" w:fill="D9D9D9"/>
          </w:tcPr>
          <w:p>
            <w:pPr>
              <w:spacing w:after="0"/>
              <w:rPr>
                <w:sz w:val="17"/>
                <w:szCs w:val="17"/>
                <w:color w:val="auto"/>
              </w:rPr>
            </w:pPr>
          </w:p>
        </w:tc>
        <w:tc>
          <w:tcPr>
            <w:tcW w:w="2060" w:type="dxa"/>
            <w:vAlign w:val="bottom"/>
            <w:tcBorders>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rPr>
              <w:t>Fees (Financial Standby and</w:t>
            </w:r>
          </w:p>
        </w:tc>
        <w:tc>
          <w:tcPr>
            <w:tcW w:w="1120" w:type="dxa"/>
            <w:vAlign w:val="bottom"/>
            <w:tcBorders>
              <w:right w:val="single" w:sz="8" w:color="00000A"/>
            </w:tcBorders>
            <w:shd w:val="clear" w:color="auto" w:fill="D9D9D9"/>
          </w:tcPr>
          <w:p>
            <w:pPr>
              <w:spacing w:after="0"/>
              <w:rPr>
                <w:sz w:val="17"/>
                <w:szCs w:val="17"/>
                <w:color w:val="auto"/>
              </w:rPr>
            </w:pPr>
          </w:p>
        </w:tc>
        <w:tc>
          <w:tcPr>
            <w:tcW w:w="1940" w:type="dxa"/>
            <w:vAlign w:val="bottom"/>
            <w:tcBorders>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rPr>
              <w:t>Letter of Credit Fees</w:t>
            </w:r>
          </w:p>
        </w:tc>
        <w:tc>
          <w:tcPr>
            <w:tcW w:w="1140" w:type="dxa"/>
            <w:vAlign w:val="bottom"/>
            <w:tcBorders>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w w:val="99"/>
              </w:rPr>
              <w:t>Base Rate</w:t>
            </w:r>
          </w:p>
        </w:tc>
      </w:tr>
      <w:tr>
        <w:trPr>
          <w:trHeight w:val="254"/>
        </w:trPr>
        <w:tc>
          <w:tcPr>
            <w:tcW w:w="1180" w:type="dxa"/>
            <w:vAlign w:val="bottom"/>
            <w:tcBorders>
              <w:left w:val="single" w:sz="8" w:color="00000A"/>
              <w:bottom w:val="single" w:sz="8" w:color="D9D9D9"/>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rPr>
              <w:t>Pricing Level</w:t>
            </w:r>
          </w:p>
        </w:tc>
        <w:tc>
          <w:tcPr>
            <w:tcW w:w="24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rPr>
              <w:t>Consolidated Leverage Ratio</w:t>
            </w:r>
          </w:p>
        </w:tc>
        <w:tc>
          <w:tcPr>
            <w:tcW w:w="16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rPr>
              <w:t>Commitment Fee</w:t>
            </w:r>
          </w:p>
        </w:tc>
        <w:tc>
          <w:tcPr>
            <w:tcW w:w="206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rPr>
              <w:t>Commercial)</w:t>
            </w:r>
          </w:p>
        </w:tc>
        <w:tc>
          <w:tcPr>
            <w:tcW w:w="112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rPr>
              <w:t>BA Fees</w:t>
            </w:r>
          </w:p>
        </w:tc>
        <w:tc>
          <w:tcPr>
            <w:tcW w:w="194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rPr>
              <w:t>(Performance Standby)</w:t>
            </w:r>
          </w:p>
        </w:tc>
        <w:tc>
          <w:tcPr>
            <w:tcW w:w="114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rPr>
              <w:t>Loans</w:t>
            </w:r>
          </w:p>
        </w:tc>
      </w:tr>
      <w:tr>
        <w:trPr>
          <w:trHeight w:val="226"/>
        </w:trPr>
        <w:tc>
          <w:tcPr>
            <w:tcW w:w="118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&lt; 2.00 to 1.00</w:t>
            </w:r>
          </w:p>
        </w:tc>
        <w:tc>
          <w:tcPr>
            <w:tcW w:w="16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w w:val="99"/>
              </w:rPr>
              <w:t>0.200%</w:t>
            </w:r>
          </w:p>
        </w:tc>
        <w:tc>
          <w:tcPr>
            <w:tcW w:w="206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1.250%</w:t>
            </w:r>
          </w:p>
        </w:tc>
        <w:tc>
          <w:tcPr>
            <w:tcW w:w="11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0.750%</w:t>
            </w:r>
          </w:p>
        </w:tc>
        <w:tc>
          <w:tcPr>
            <w:tcW w:w="19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0.375%</w:t>
            </w:r>
          </w:p>
        </w:tc>
        <w:tc>
          <w:tcPr>
            <w:tcW w:w="11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w w:val="99"/>
              </w:rPr>
              <w:t>0.250%</w:t>
            </w:r>
          </w:p>
        </w:tc>
      </w:tr>
      <w:tr>
        <w:trPr>
          <w:trHeight w:val="26"/>
        </w:trPr>
        <w:tc>
          <w:tcPr>
            <w:tcW w:w="118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r>
      <w:tr>
        <w:trPr>
          <w:trHeight w:val="226"/>
        </w:trPr>
        <w:tc>
          <w:tcPr>
            <w:tcW w:w="118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24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 2.00 to 1.00 but &lt; 2.50 to 1.00</w:t>
            </w:r>
          </w:p>
        </w:tc>
        <w:tc>
          <w:tcPr>
            <w:tcW w:w="16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w w:val="99"/>
              </w:rPr>
              <w:t>0.225%</w:t>
            </w:r>
          </w:p>
        </w:tc>
        <w:tc>
          <w:tcPr>
            <w:tcW w:w="20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1.375%</w:t>
            </w:r>
          </w:p>
        </w:tc>
        <w:tc>
          <w:tcPr>
            <w:tcW w:w="11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1.000%</w:t>
            </w:r>
          </w:p>
        </w:tc>
        <w:tc>
          <w:tcPr>
            <w:tcW w:w="19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0.500%</w:t>
            </w:r>
          </w:p>
        </w:tc>
        <w:tc>
          <w:tcPr>
            <w:tcW w:w="11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w w:val="99"/>
              </w:rPr>
              <w:t>0.375%</w:t>
            </w:r>
          </w:p>
        </w:tc>
      </w:tr>
      <w:tr>
        <w:trPr>
          <w:trHeight w:val="26"/>
        </w:trPr>
        <w:tc>
          <w:tcPr>
            <w:tcW w:w="118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r>
      <w:tr>
        <w:trPr>
          <w:trHeight w:val="209"/>
        </w:trPr>
        <w:tc>
          <w:tcPr>
            <w:tcW w:w="118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24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 2.50 to 1.00 but</w:t>
            </w:r>
          </w:p>
        </w:tc>
        <w:tc>
          <w:tcPr>
            <w:tcW w:w="16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w w:val="99"/>
              </w:rPr>
              <w:t>0.250%</w:t>
            </w:r>
          </w:p>
        </w:tc>
        <w:tc>
          <w:tcPr>
            <w:tcW w:w="20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1.500%</w:t>
            </w:r>
          </w:p>
        </w:tc>
        <w:tc>
          <w:tcPr>
            <w:tcW w:w="11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1.250%</w:t>
            </w:r>
          </w:p>
        </w:tc>
        <w:tc>
          <w:tcPr>
            <w:tcW w:w="19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0.625%</w:t>
            </w:r>
          </w:p>
        </w:tc>
        <w:tc>
          <w:tcPr>
            <w:tcW w:w="11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w w:val="99"/>
              </w:rPr>
              <w:t>0.500%</w:t>
            </w:r>
          </w:p>
        </w:tc>
      </w:tr>
      <w:tr>
        <w:trPr>
          <w:trHeight w:val="223"/>
        </w:trPr>
        <w:tc>
          <w:tcPr>
            <w:tcW w:w="1180" w:type="dxa"/>
            <w:vAlign w:val="bottom"/>
            <w:tcBorders>
              <w:left w:val="single" w:sz="8" w:color="00000A"/>
              <w:right w:val="single" w:sz="8" w:color="00000A"/>
            </w:tcBorders>
          </w:tcPr>
          <w:p>
            <w:pPr>
              <w:spacing w:after="0"/>
              <w:rPr>
                <w:sz w:val="19"/>
                <w:szCs w:val="19"/>
                <w:color w:val="auto"/>
              </w:rPr>
            </w:pPr>
          </w:p>
        </w:tc>
        <w:tc>
          <w:tcPr>
            <w:tcW w:w="24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&lt; 3.00 to 1.00</w:t>
            </w:r>
          </w:p>
        </w:tc>
        <w:tc>
          <w:tcPr>
            <w:tcW w:w="1600" w:type="dxa"/>
            <w:vAlign w:val="bottom"/>
            <w:tcBorders>
              <w:right w:val="single" w:sz="8" w:color="00000A"/>
            </w:tcBorders>
          </w:tcPr>
          <w:p>
            <w:pPr>
              <w:spacing w:after="0"/>
              <w:rPr>
                <w:sz w:val="19"/>
                <w:szCs w:val="19"/>
                <w:color w:val="auto"/>
              </w:rPr>
            </w:pPr>
          </w:p>
        </w:tc>
        <w:tc>
          <w:tcPr>
            <w:tcW w:w="20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940" w:type="dxa"/>
            <w:vAlign w:val="bottom"/>
            <w:tcBorders>
              <w:right w:val="single" w:sz="8" w:color="00000A"/>
            </w:tcBorders>
          </w:tcPr>
          <w:p>
            <w:pPr>
              <w:spacing w:after="0"/>
              <w:rPr>
                <w:sz w:val="19"/>
                <w:szCs w:val="19"/>
                <w:color w:val="auto"/>
              </w:rPr>
            </w:pPr>
          </w:p>
        </w:tc>
        <w:tc>
          <w:tcPr>
            <w:tcW w:w="1140" w:type="dxa"/>
            <w:vAlign w:val="bottom"/>
            <w:tcBorders>
              <w:right w:val="single" w:sz="8" w:color="00000A"/>
            </w:tcBorders>
          </w:tcPr>
          <w:p>
            <w:pPr>
              <w:spacing w:after="0"/>
              <w:rPr>
                <w:sz w:val="19"/>
                <w:szCs w:val="19"/>
                <w:color w:val="auto"/>
              </w:rPr>
            </w:pPr>
          </w:p>
        </w:tc>
      </w:tr>
      <w:tr>
        <w:trPr>
          <w:trHeight w:val="26"/>
        </w:trPr>
        <w:tc>
          <w:tcPr>
            <w:tcW w:w="118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r>
      <w:tr>
        <w:trPr>
          <w:trHeight w:val="226"/>
        </w:trPr>
        <w:tc>
          <w:tcPr>
            <w:tcW w:w="118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24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 3.00 to 1.00</w:t>
            </w:r>
          </w:p>
        </w:tc>
        <w:tc>
          <w:tcPr>
            <w:tcW w:w="16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w w:val="99"/>
              </w:rPr>
              <w:t>0.300%</w:t>
            </w:r>
          </w:p>
        </w:tc>
        <w:tc>
          <w:tcPr>
            <w:tcW w:w="20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1.750%</w:t>
            </w:r>
          </w:p>
        </w:tc>
        <w:tc>
          <w:tcPr>
            <w:tcW w:w="11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1.500%</w:t>
            </w:r>
          </w:p>
        </w:tc>
        <w:tc>
          <w:tcPr>
            <w:tcW w:w="19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rPr>
              <w:t>0.750%</w:t>
            </w:r>
          </w:p>
        </w:tc>
        <w:tc>
          <w:tcPr>
            <w:tcW w:w="11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7"/>
                <w:szCs w:val="17"/>
                <w:color w:val="auto"/>
                <w:w w:val="99"/>
              </w:rPr>
              <w:t>0.750%</w:t>
            </w:r>
          </w:p>
        </w:tc>
      </w:tr>
      <w:tr>
        <w:trPr>
          <w:trHeight w:val="26"/>
        </w:trPr>
        <w:tc>
          <w:tcPr>
            <w:tcW w:w="118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r>
    </w:tbl>
    <w:p>
      <w:pPr>
        <w:spacing w:after="0" w:line="233" w:lineRule="exact"/>
        <w:rPr>
          <w:sz w:val="20"/>
          <w:szCs w:val="20"/>
          <w:color w:val="auto"/>
        </w:rPr>
      </w:pPr>
    </w:p>
    <w:p>
      <w:pPr>
        <w:jc w:val="both"/>
        <w:ind w:right="20" w:firstLine="620"/>
        <w:spacing w:after="0" w:line="250" w:lineRule="auto"/>
        <w:rPr>
          <w:sz w:val="20"/>
          <w:szCs w:val="20"/>
          <w:color w:val="auto"/>
        </w:rPr>
      </w:pPr>
      <w:r>
        <w:rPr>
          <w:rFonts w:ascii="Times New Roman" w:cs="Times New Roman" w:eastAsia="Times New Roman" w:hAnsi="Times New Roman"/>
          <w:sz w:val="21"/>
          <w:szCs w:val="21"/>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Compliance Certificate is not delivered when due in accordance with such Section, then, upon the request of the Required Lenders, Pricing Level 4 shall apply as of the first Business Day after the date on which such Compliance Certificate was required to have been delivered and shall remain in effect until the date on which such Compliance Certificate is delivered.</w:t>
      </w:r>
    </w:p>
    <w:p>
      <w:pPr>
        <w:spacing w:after="0" w:line="176" w:lineRule="exact"/>
        <w:rPr>
          <w:sz w:val="20"/>
          <w:szCs w:val="20"/>
          <w:color w:val="auto"/>
        </w:rPr>
      </w:pPr>
    </w:p>
    <w:p>
      <w:pPr>
        <w:jc w:val="both"/>
        <w:ind w:right="20" w:firstLine="620"/>
        <w:spacing w:after="0" w:line="270"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right="20"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Time</w:t>
      </w:r>
      <w:r>
        <w:rPr>
          <w:rFonts w:ascii="Times New Roman" w:cs="Times New Roman" w:eastAsia="Times New Roman" w:hAnsi="Times New Roman"/>
          <w:sz w:val="21"/>
          <w:szCs w:val="21"/>
          <w:color w:val="auto"/>
        </w:rPr>
        <w:t>” means, with respect to any borrowings and payments in an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67" w:lineRule="exact"/>
        <w:rPr>
          <w:sz w:val="20"/>
          <w:szCs w:val="20"/>
          <w:color w:val="auto"/>
        </w:rPr>
      </w:pPr>
    </w:p>
    <w:p>
      <w:pPr>
        <w:jc w:val="both"/>
        <w:ind w:right="20"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Fund</w:t>
      </w:r>
      <w:r>
        <w:rPr>
          <w:rFonts w:ascii="Times New Roman" w:cs="Times New Roman" w:eastAsia="Times New Roman" w:hAnsi="Times New Roman"/>
          <w:sz w:val="21"/>
          <w:szCs w:val="21"/>
          <w:color w:val="auto"/>
        </w:rPr>
        <w:t>” means any Fund that is administered or managed by (a) a Lender, (b) an Affiliate of a Lender or (c) an entity or an Affiliate of an entity that administers or manages a Lender.</w:t>
      </w:r>
    </w:p>
    <w:p>
      <w:pPr>
        <w:spacing w:after="0" w:line="154" w:lineRule="exact"/>
        <w:rPr>
          <w:sz w:val="20"/>
          <w:szCs w:val="20"/>
          <w:color w:val="auto"/>
        </w:rPr>
      </w:pPr>
    </w:p>
    <w:p>
      <w:pPr>
        <w:jc w:val="both"/>
        <w:ind w:right="20"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Arrangers</w:t>
      </w:r>
      <w:r>
        <w:rPr>
          <w:rFonts w:ascii="Times New Roman" w:cs="Times New Roman" w:eastAsia="Times New Roman" w:hAnsi="Times New Roman"/>
          <w:sz w:val="21"/>
          <w:szCs w:val="21"/>
          <w:color w:val="auto"/>
        </w:rPr>
        <w:t>” means, collectively, BAS, STRH, BMOCM, JPM and WFS in their capacities as joint lead arrangers and joint bookrunners.</w:t>
      </w:r>
    </w:p>
    <w:p>
      <w:pPr>
        <w:spacing w:after="0" w:line="154" w:lineRule="exact"/>
        <w:rPr>
          <w:sz w:val="20"/>
          <w:szCs w:val="20"/>
          <w:color w:val="auto"/>
        </w:rPr>
      </w:pPr>
    </w:p>
    <w:p>
      <w:pPr>
        <w:jc w:val="both"/>
        <w:ind w:right="20"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1"/>
          <w:szCs w:val="21"/>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1"/>
          <w:szCs w:val="21"/>
          <w:u w:val="single" w:color="auto"/>
          <w:color w:val="auto"/>
        </w:rPr>
        <w:t>Section 10.06(b)</w:t>
      </w:r>
      <w:r>
        <w:rPr>
          <w:rFonts w:ascii="Times New Roman" w:cs="Times New Roman" w:eastAsia="Times New Roman" w:hAnsi="Times New Roman"/>
          <w:sz w:val="21"/>
          <w:szCs w:val="21"/>
          <w:color w:val="auto"/>
        </w:rPr>
        <w:t xml:space="preserve">), and accepted by the Administrative Agent, in substantially the form of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or any other form (including electronic documentation generated by MarkitClear or other electronic platform) approved by the Administrative Agent.</w:t>
      </w:r>
    </w:p>
    <w:p>
      <w:pPr>
        <w:spacing w:after="0" w:line="174" w:lineRule="exact"/>
        <w:rPr>
          <w:sz w:val="20"/>
          <w:szCs w:val="20"/>
          <w:color w:val="auto"/>
        </w:rPr>
      </w:pPr>
    </w:p>
    <w:p>
      <w:pPr>
        <w:jc w:val="both"/>
        <w:ind w:right="20"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Attributable Indebtedness</w:t>
      </w:r>
      <w:r>
        <w:rPr>
          <w:rFonts w:ascii="Times New Roman" w:cs="Times New Roman" w:eastAsia="Times New Roman" w:hAnsi="Times New Roman"/>
          <w:sz w:val="21"/>
          <w:szCs w:val="21"/>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40"/>
          </w:cols>
          <w:pgMar w:left="240" w:top="727" w:right="219" w:bottom="1440" w:gutter="0" w:footer="0" w:header="0"/>
        </w:sectPr>
      </w:pPr>
    </w:p>
    <w:bookmarkStart w:id="55" w:name="page56"/>
    <w:bookmarkEnd w:id="55"/>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Audited Financial Statements</w:t>
      </w:r>
      <w:r>
        <w:rPr>
          <w:rFonts w:ascii="Times New Roman" w:cs="Times New Roman" w:eastAsia="Times New Roman" w:hAnsi="Times New Roman"/>
          <w:sz w:val="21"/>
          <w:szCs w:val="21"/>
          <w:color w:val="auto"/>
        </w:rPr>
        <w:t>” means the audited consolidated balance sheet of the Company and its Subsidiaries for the fiscal year ended December 31, 2018, and the related consolidated statements of income or operations, shareholders’ equity and cash flows for such fiscal year of the Company and its Subsidiaries, including the notes thereto.</w:t>
      </w:r>
    </w:p>
    <w:p>
      <w:pPr>
        <w:spacing w:after="0" w:line="167"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Liquidity</w:t>
      </w:r>
      <w:r>
        <w:rPr>
          <w:rFonts w:ascii="Times New Roman" w:cs="Times New Roman" w:eastAsia="Times New Roman" w:hAnsi="Times New Roman"/>
          <w:sz w:val="21"/>
          <w:szCs w:val="21"/>
          <w:color w:val="auto"/>
        </w:rPr>
        <w:t xml:space="preserve">” means, at any date of measurement thereof, the sum of (without duplication) (a) cash, Cash Equivalents (Available Liquidity) and readily marketable securities, in each case not subject to any Lien (including any Lien on Cash Collateral, but excluding any other Liens created pursuant to the Collateral Documents and Liens permitted by </w:t>
      </w:r>
      <w:r>
        <w:rPr>
          <w:rFonts w:ascii="Times New Roman" w:cs="Times New Roman" w:eastAsia="Times New Roman" w:hAnsi="Times New Roman"/>
          <w:sz w:val="21"/>
          <w:szCs w:val="21"/>
          <w:u w:val="single" w:color="auto"/>
          <w:color w:val="auto"/>
        </w:rPr>
        <w:t>Section 7.01(j)</w:t>
      </w:r>
      <w:r>
        <w:rPr>
          <w:rFonts w:ascii="Times New Roman" w:cs="Times New Roman" w:eastAsia="Times New Roman" w:hAnsi="Times New Roman"/>
          <w:sz w:val="21"/>
          <w:szCs w:val="21"/>
          <w:color w:val="auto"/>
        </w:rPr>
        <w:t xml:space="preserve">), then owned by the Company or Restricted Subsidiaries that would be reflected on a consolidated balance sheet of such Persons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amount by which the sum of the Aggregate (USD) Commitments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Aggregate (MC) Commitments (in each case, other than any USD Commitment or MC Commitment of any Defaulting Lender and any portion of the Aggregate (USD) Commitments or Aggregate (MC) Commitments which, if drawn, would result in the Company having secured Indebtedness under credit facilities in excess of the Senior Notes Indenture Secured Debt Cap) in effect on such date exceeds the aggregate Outstanding Amount of all Loans (other than Term Loans) and all L/C Obligations.</w:t>
      </w:r>
    </w:p>
    <w:p>
      <w:pPr>
        <w:spacing w:after="0" w:line="179"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Availability Period</w:t>
      </w:r>
      <w:r>
        <w:rPr>
          <w:rFonts w:ascii="Times New Roman" w:cs="Times New Roman" w:eastAsia="Times New Roman" w:hAnsi="Times New Roman"/>
          <w:sz w:val="21"/>
          <w:szCs w:val="21"/>
          <w:color w:val="auto"/>
        </w:rPr>
        <w:t xml:space="preserve">” means (a) in respect of the Committed (USD) Facility, the period from the Closing Date to the earliest of (i) the Maturity Date with respect to such Facility, (ii) the date of termination of the Aggregate (USD) Commitments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2.06</w:t>
      </w:r>
      <w:r>
        <w:rPr>
          <w:rFonts w:ascii="Times New Roman" w:cs="Times New Roman" w:eastAsia="Times New Roman" w:hAnsi="Times New Roman"/>
          <w:sz w:val="21"/>
          <w:szCs w:val="21"/>
          <w:color w:val="auto"/>
        </w:rPr>
        <w:t xml:space="preserve">, and (iii) the date of termination of the commitment of each Lender to make Committed (USD) Loans and of the obligation of the L/C Issuer to make L/C Credit Extensions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and (b) in respect of the Committed (MC) Facility, the period from the Closing Date to the earliest of (i) the Maturity Date with respect to such Facility, (ii) the date of termination of the Aggregate (MC) Commitments pursuant to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and (iii) the date of termination of the commitment of each Lender to make Committed (MC) Loans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 Fee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2.03(j)</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Action</w:t>
      </w:r>
      <w:r>
        <w:rPr>
          <w:rFonts w:ascii="Times New Roman" w:cs="Times New Roman" w:eastAsia="Times New Roman" w:hAnsi="Times New Roman"/>
          <w:sz w:val="21"/>
          <w:szCs w:val="21"/>
          <w:color w:val="auto"/>
        </w:rPr>
        <w:t>” means the exercise of any Write-Down and Conversion Powers by the applicable EEA Resolution Authority in respect of any liability of an EEA Financial Institution.</w:t>
      </w:r>
    </w:p>
    <w:p>
      <w:pPr>
        <w:spacing w:after="0" w:line="15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of America</w:t>
      </w:r>
      <w:r>
        <w:rPr>
          <w:rFonts w:ascii="Times New Roman" w:cs="Times New Roman" w:eastAsia="Times New Roman" w:hAnsi="Times New Roman"/>
          <w:sz w:val="21"/>
          <w:szCs w:val="21"/>
          <w:color w:val="auto"/>
        </w:rPr>
        <w:t>” means Bank of America, N.A. and its successors.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of America Fee Letter</w:t>
      </w:r>
      <w:r>
        <w:rPr>
          <w:rFonts w:ascii="Times New Roman" w:cs="Times New Roman" w:eastAsia="Times New Roman" w:hAnsi="Times New Roman"/>
          <w:sz w:val="21"/>
          <w:szCs w:val="21"/>
          <w:color w:val="auto"/>
        </w:rPr>
        <w:t>” means the letter agreement dated August 16, 2019, among the Borrowers, Bank of America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Bankers’ Acceptance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BA</w:t>
      </w:r>
      <w:r>
        <w:rPr>
          <w:rFonts w:ascii="Times New Roman" w:cs="Times New Roman" w:eastAsia="Times New Roman" w:hAnsi="Times New Roman"/>
          <w:sz w:val="21"/>
          <w:szCs w:val="21"/>
          <w:color w:val="auto"/>
        </w:rPr>
        <w:t>” means a Clean BA or an L/C Issued BA.</w:t>
      </w:r>
    </w:p>
    <w:p>
      <w:pPr>
        <w:spacing w:after="0" w:line="21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Bankers’ Acceptance Rate</w:t>
      </w:r>
      <w:r>
        <w:rPr>
          <w:rFonts w:ascii="Times New Roman" w:cs="Times New Roman" w:eastAsia="Times New Roman" w:hAnsi="Times New Roman"/>
          <w:sz w:val="21"/>
          <w:szCs w:val="21"/>
          <w:color w:val="auto"/>
        </w:rPr>
        <w:t>” means for any day a fluctuating rate per annum equal to the rate of interest in effect for such day as publicly announced from time to time by Bank of America as its “bankers’ acceptance rate”. Any change in such rate announced by Bank of America shall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1"/>
          <w:szCs w:val="21"/>
          <w:color w:val="auto"/>
        </w:rPr>
        <w:t>take effect at the opening of business on the day specified in the public announcement of such change.</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Bankers’ Acceptance Request</w:t>
      </w:r>
      <w:r>
        <w:rPr>
          <w:rFonts w:ascii="Times New Roman" w:cs="Times New Roman" w:eastAsia="Times New Roman" w:hAnsi="Times New Roman"/>
          <w:sz w:val="20"/>
          <w:szCs w:val="20"/>
          <w:color w:val="auto"/>
        </w:rPr>
        <w:t xml:space="preserve">” means the written request for the issuance of Clean BAs in the form attached hereto as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w:t>
      </w:r>
      <w:r>
        <w:rPr>
          <w:rFonts w:ascii="Times New Roman" w:cs="Times New Roman" w:eastAsia="Times New Roman" w:hAnsi="Times New Roman"/>
          <w:sz w:val="21"/>
          <w:szCs w:val="21"/>
          <w:color w:val="auto"/>
        </w:rPr>
        <w:t>” means BofA Securities, Inc. and its successors.</w:t>
      </w:r>
    </w:p>
    <w:p>
      <w:pPr>
        <w:spacing w:after="0" w:line="211"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w:t>
      </w:r>
      <w:r>
        <w:rPr>
          <w:rFonts w:ascii="Times New Roman" w:cs="Times New Roman" w:eastAsia="Times New Roman" w:hAnsi="Times New Roman"/>
          <w:sz w:val="21"/>
          <w:szCs w:val="21"/>
          <w:color w:val="auto"/>
        </w:rPr>
        <w:t xml:space="preserve">” means for any day a fluctuating rate per annum equal to the highest of (a) the Federal Funds Rate plus 1/2 of 1%, (b) the rate of interest in effect for such day as publicly announced from time to time by Bank of America as its “prime rate,” and (c) the Eurocurrency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hereof, then the Base Rate shall be the greater 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and shall be determined without reference to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above.</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Committed (USD) Loan</w:t>
      </w:r>
      <w:r>
        <w:rPr>
          <w:rFonts w:ascii="Times New Roman" w:cs="Times New Roman" w:eastAsia="Times New Roman" w:hAnsi="Times New Roman"/>
          <w:sz w:val="21"/>
          <w:szCs w:val="21"/>
          <w:color w:val="auto"/>
        </w:rPr>
        <w:t>” means a Committed (USD) Loan that is a Base Rate Loan.</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 All Base Rate Loans shall be denominated in Dollars.</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Certification</w:t>
      </w:r>
      <w:r>
        <w:rPr>
          <w:rFonts w:ascii="Times New Roman" w:cs="Times New Roman" w:eastAsia="Times New Roman" w:hAnsi="Times New Roman"/>
          <w:sz w:val="21"/>
          <w:szCs w:val="21"/>
          <w:color w:val="auto"/>
        </w:rPr>
        <w:t>” means a certification regarding beneficial ownership required by the Beneficial Ownership Regulation.</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Regulation</w:t>
      </w:r>
      <w:r>
        <w:rPr>
          <w:rFonts w:ascii="Times New Roman" w:cs="Times New Roman" w:eastAsia="Times New Roman" w:hAnsi="Times New Roman"/>
          <w:sz w:val="21"/>
          <w:szCs w:val="21"/>
          <w:color w:val="auto"/>
        </w:rPr>
        <w:t>” means 31 C.F.R. § 1010.230.</w:t>
      </w:r>
    </w:p>
    <w:p>
      <w:pPr>
        <w:spacing w:after="0" w:line="211" w:lineRule="exact"/>
        <w:rPr>
          <w:sz w:val="20"/>
          <w:szCs w:val="20"/>
          <w:color w:val="auto"/>
        </w:rPr>
      </w:pPr>
    </w:p>
    <w:p>
      <w:pPr>
        <w:jc w:val="both"/>
        <w:ind w:firstLine="620"/>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BMOCM</w:t>
      </w:r>
      <w:r>
        <w:rPr>
          <w:rFonts w:ascii="Times New Roman" w:cs="Times New Roman" w:eastAsia="Times New Roman" w:hAnsi="Times New Roman"/>
          <w:sz w:val="21"/>
          <w:szCs w:val="21"/>
          <w:color w:val="auto"/>
        </w:rPr>
        <w:t>” means BMO Capital Markets Corp. and its successors.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each has the meaning specified in the introductory paragraph hereto.</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Materials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w:t>
      </w:r>
      <w:r>
        <w:rPr>
          <w:rFonts w:ascii="Times New Roman" w:cs="Times New Roman" w:eastAsia="Times New Roman" w:hAnsi="Times New Roman"/>
          <w:sz w:val="21"/>
          <w:szCs w:val="21"/>
          <w:color w:val="auto"/>
        </w:rPr>
        <w:t>” means a Committed (USD) Borrowing, a Committed (MC) Borrowing, a Swing Line Borrowing or a Term Loan Borrowing, as the context may require.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57" w:name="page58"/>
    <w:bookmarkEnd w:id="57"/>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67" w:lineRule="exact"/>
        <w:rPr>
          <w:sz w:val="20"/>
          <w:szCs w:val="20"/>
          <w:color w:val="auto"/>
        </w:rPr>
      </w:pPr>
    </w:p>
    <w:p>
      <w:pPr>
        <w:jc w:val="both"/>
        <w:ind w:left="620" w:firstLine="624"/>
        <w:spacing w:after="0" w:line="252" w:lineRule="auto"/>
        <w:tabs>
          <w:tab w:leader="none" w:pos="169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that is also a London Banking Day;</w:t>
      </w:r>
    </w:p>
    <w:p>
      <w:pPr>
        <w:spacing w:after="0" w:line="174"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37"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0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50" w:lineRule="auto"/>
        <w:tabs>
          <w:tab w:leader="none" w:pos="169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Dollar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mean the lawful currency of Canada.</w:t>
      </w:r>
    </w:p>
    <w:p>
      <w:pPr>
        <w:spacing w:after="0" w:line="211"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Expenditures</w:t>
      </w:r>
      <w:r>
        <w:rPr>
          <w:rFonts w:ascii="Times New Roman" w:cs="Times New Roman" w:eastAsia="Times New Roman" w:hAnsi="Times New Roman"/>
          <w:sz w:val="21"/>
          <w:szCs w:val="21"/>
          <w:color w:val="auto"/>
        </w:rPr>
        <w:t xml:space="preserve">” means, with respect to any Person for any period, any expenditure in respect of the purchase or other acquisition of any fixed or capital asset (excluding normal replacements and maintenance which are properly charged to current operations);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Capital Expenditures shall not include expenditures for capital leases, purchase money obligations or Synthetic Lease Obligations, in each case permitted pursuant to </w:t>
      </w:r>
      <w:r>
        <w:rPr>
          <w:rFonts w:ascii="Times New Roman" w:cs="Times New Roman" w:eastAsia="Times New Roman" w:hAnsi="Times New Roman"/>
          <w:sz w:val="21"/>
          <w:szCs w:val="21"/>
          <w:u w:val="single" w:color="auto"/>
          <w:color w:val="auto"/>
        </w:rPr>
        <w:t>Section 7.03(g)</w:t>
      </w:r>
      <w:r>
        <w:rPr>
          <w:rFonts w:ascii="Times New Roman" w:cs="Times New Roman" w:eastAsia="Times New Roman" w:hAnsi="Times New Roman"/>
          <w:sz w:val="21"/>
          <w:szCs w:val="21"/>
          <w:color w:val="auto"/>
        </w:rPr>
        <w:t xml:space="preserve">, for Permitted Acquisitions permitted pursuant to </w:t>
      </w:r>
      <w:r>
        <w:rPr>
          <w:rFonts w:ascii="Times New Roman" w:cs="Times New Roman" w:eastAsia="Times New Roman" w:hAnsi="Times New Roman"/>
          <w:sz w:val="21"/>
          <w:szCs w:val="21"/>
          <w:u w:val="single" w:color="auto"/>
          <w:color w:val="auto"/>
        </w:rPr>
        <w:t>Section 7.02(f)</w:t>
      </w:r>
      <w:r>
        <w:rPr>
          <w:rFonts w:ascii="Times New Roman" w:cs="Times New Roman" w:eastAsia="Times New Roman" w:hAnsi="Times New Roman"/>
          <w:sz w:val="21"/>
          <w:szCs w:val="21"/>
          <w:color w:val="auto"/>
        </w:rPr>
        <w:t xml:space="preserve"> or expenditures to the extent made solely with (i) the net cash proceeds of a common equity contribution to, or issuance of common Equity Interests by, the Company (other than any portion of such net cash proceeds used for Restricted Payments pursuant to </w:t>
      </w:r>
      <w:r>
        <w:rPr>
          <w:rFonts w:ascii="Times New Roman" w:cs="Times New Roman" w:eastAsia="Times New Roman" w:hAnsi="Times New Roman"/>
          <w:sz w:val="21"/>
          <w:szCs w:val="21"/>
          <w:u w:val="single" w:color="auto"/>
          <w:color w:val="auto"/>
        </w:rPr>
        <w:t>Section 7.06(e)</w:t>
      </w:r>
      <w:r>
        <w:rPr>
          <w:rFonts w:ascii="Times New Roman" w:cs="Times New Roman" w:eastAsia="Times New Roman" w:hAnsi="Times New Roman"/>
          <w:sz w:val="21"/>
          <w:szCs w:val="21"/>
          <w:color w:val="auto"/>
        </w:rPr>
        <w:t xml:space="preserve">) or (ii) net cash proceeds received from any Disposition pursuant to </w:t>
      </w:r>
      <w:r>
        <w:rPr>
          <w:rFonts w:ascii="Times New Roman" w:cs="Times New Roman" w:eastAsia="Times New Roman" w:hAnsi="Times New Roman"/>
          <w:sz w:val="21"/>
          <w:szCs w:val="21"/>
          <w:u w:val="single" w:color="auto"/>
          <w:color w:val="auto"/>
        </w:rPr>
        <w:t>Sections 7.05(a)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Collateralize</w:t>
      </w:r>
      <w:r>
        <w:rPr>
          <w:rFonts w:ascii="Times New Roman" w:cs="Times New Roman" w:eastAsia="Times New Roman" w:hAnsi="Times New Roman"/>
          <w:sz w:val="21"/>
          <w:szCs w:val="21"/>
          <w:color w:val="auto"/>
        </w:rPr>
        <w:t>” means to pledge and deposit with or deliver to the Administrative Agent, for the benefit of one or more of the L/C Issuer and the Committed (USD) Lenders, as collateral for L/C Obligations or obligations of Committed (USD) Lenders to fund participations in respect of L/C Obligations, cash or deposit account balances or, if the Administrative Agent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58" w:name="page59"/>
    <w:bookmarkEnd w:id="58"/>
    <w:p>
      <w:pPr>
        <w:jc w:val="both"/>
        <w:spacing w:after="0" w:line="257" w:lineRule="auto"/>
        <w:rPr>
          <w:sz w:val="20"/>
          <w:szCs w:val="20"/>
          <w:color w:val="auto"/>
        </w:rPr>
      </w:pPr>
      <w:r>
        <w:rPr>
          <w:rFonts w:ascii="Times New Roman" w:cs="Times New Roman" w:eastAsia="Times New Roman" w:hAnsi="Times New Roman"/>
          <w:sz w:val="21"/>
          <w:szCs w:val="21"/>
          <w:color w:val="auto"/>
        </w:rPr>
        <w:t>the L/C Issuer shall agree in their sole discretion, other credit support, in each case pursuant to documentation in form and substance reasonably satisfactory to (i) the Administrative Agent and (ii) the L/C Issuer. “</w:t>
      </w:r>
      <w:r>
        <w:rPr>
          <w:rFonts w:ascii="Times New Roman" w:cs="Times New Roman" w:eastAsia="Times New Roman" w:hAnsi="Times New Roman"/>
          <w:sz w:val="21"/>
          <w:szCs w:val="21"/>
          <w:u w:val="single" w:color="auto"/>
          <w:color w:val="auto"/>
        </w:rPr>
        <w:t>Cash Collateral</w:t>
      </w:r>
      <w:r>
        <w:rPr>
          <w:rFonts w:ascii="Times New Roman" w:cs="Times New Roman" w:eastAsia="Times New Roman" w:hAnsi="Times New Roman"/>
          <w:sz w:val="21"/>
          <w:szCs w:val="21"/>
          <w:color w:val="auto"/>
        </w:rPr>
        <w:t>” shall have a meaning correlative to the foregoing and shall include the proceeds of such cash collateral and other credit support.</w:t>
      </w:r>
    </w:p>
    <w:p>
      <w:pPr>
        <w:spacing w:after="0" w:line="167" w:lineRule="exact"/>
        <w:rPr>
          <w:sz w:val="20"/>
          <w:szCs w:val="20"/>
          <w:color w:val="auto"/>
        </w:rPr>
      </w:pPr>
    </w:p>
    <w:p>
      <w:pPr>
        <w:jc w:val="both"/>
        <w:ind w:firstLine="620"/>
        <w:spacing w:after="0" w:line="29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any of the following types of Investments, to the extent owned by the Company or any of its Restricted Subsidiaries free and clear of all Liens (other than Liens created under the Collateral Documents and other Liens permitted hereunder):</w:t>
      </w:r>
    </w:p>
    <w:p>
      <w:pPr>
        <w:spacing w:after="0" w:line="130" w:lineRule="exact"/>
        <w:rPr>
          <w:sz w:val="20"/>
          <w:szCs w:val="20"/>
          <w:color w:val="auto"/>
        </w:rPr>
      </w:pPr>
    </w:p>
    <w:p>
      <w:pPr>
        <w:jc w:val="both"/>
        <w:ind w:left="620" w:firstLine="624"/>
        <w:spacing w:after="0" w:line="260" w:lineRule="auto"/>
        <w:tabs>
          <w:tab w:leader="none" w:pos="1719"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 Canadian Dollars, Colombian Pesos, Mexican Pesos, Pound Sterling, Euros, the national currency of any participating member state of the European Union or, in the case of any Cash Equivalents of a Foreign Subsidiary, such local currencies held by it from time to time in the ordinary course of business (including such Dollars, Canadian Dollars, Columbian Pesos, Mexican Pesos, Pound Sterling, Euros or other currency, as applicable, as are held as overnight bank deposits and demand deposits with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or is organized under the laws of a country that is a member of the Organization for Economic Cooperation and Development, (ii) issues (or the parent of which issues) commercial paper rated as described in clause (e) of this definition and</w:t>
      </w:r>
    </w:p>
    <w:p>
      <w:pPr>
        <w:spacing w:after="0" w:line="1" w:lineRule="exact"/>
        <w:rPr>
          <w:rFonts w:ascii="Times New Roman" w:cs="Times New Roman" w:eastAsia="Times New Roman" w:hAnsi="Times New Roman"/>
          <w:sz w:val="20"/>
          <w:szCs w:val="20"/>
          <w:color w:val="auto"/>
        </w:rPr>
      </w:pPr>
    </w:p>
    <w:p>
      <w:pPr>
        <w:jc w:val="both"/>
        <w:ind w:left="620" w:firstLine="4"/>
        <w:spacing w:after="0" w:line="246" w:lineRule="auto"/>
        <w:tabs>
          <w:tab w:leader="none" w:pos="99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has combined capital and surplus of at least $1,000,000,000);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country credit rating of any country issuing such currency shall be BBB- or higher by S&amp;P or an equivalent rating or higher by another generally recognized rating agency providing country credit ratings;</w:t>
      </w:r>
    </w:p>
    <w:p>
      <w:pPr>
        <w:spacing w:after="0" w:line="178" w:lineRule="exact"/>
        <w:rPr>
          <w:rFonts w:ascii="Times New Roman" w:cs="Times New Roman" w:eastAsia="Times New Roman" w:hAnsi="Times New Roman"/>
          <w:sz w:val="21"/>
          <w:szCs w:val="21"/>
          <w:color w:val="auto"/>
        </w:rPr>
      </w:pPr>
    </w:p>
    <w:p>
      <w:pPr>
        <w:jc w:val="both"/>
        <w:ind w:left="620" w:firstLine="624"/>
        <w:spacing w:after="0" w:line="247" w:lineRule="auto"/>
        <w:tabs>
          <w:tab w:leader="none" w:pos="1679"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readily marketable obligations issued or directly and fully guaranteed or insured by the United States of America or any agency or instrumentality thereof having maturities of not more than 24 months from the date of acquisition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full faith and credit of the United States of America is pledged in support thereof or (ii) readily marketable obligations issued or directly and fully guaranteed or insured by Canada or any country that is a member of the European Union or any agency or instrumentality thereof having maturities of not more than 24 months from the date of acquisition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full faith and credit of Canada or such member of the European Union, as the case may be, is pledged in support thereof, (B) all obligations of the type specified in this clause (ii) shall have a minimum rating of A-1 or AAA by S&amp;P or P-1 or Aaa by Moody’s, in each case at the time of acquisition thereof and (C) the country credit rating of any country issuing or guaranteeing (or whose governmental agency issues or guarantees) any obligation of the type specified in this clause (ii) shall be AA or higher by S&amp;P or an equivalent rating or higher by another generally recognized rating agency providing country credit ratings;</w:t>
      </w:r>
    </w:p>
    <w:p>
      <w:pPr>
        <w:spacing w:after="0" w:line="186"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655"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59" w:name="page60"/>
    <w:bookmarkEnd w:id="59"/>
    <w:p>
      <w:pPr>
        <w:jc w:val="both"/>
        <w:ind w:left="620"/>
        <w:spacing w:after="0" w:line="249" w:lineRule="auto"/>
        <w:rPr>
          <w:sz w:val="20"/>
          <w:szCs w:val="20"/>
          <w:color w:val="auto"/>
        </w:rPr>
      </w:pPr>
      <w:r>
        <w:rPr>
          <w:rFonts w:ascii="Times New Roman" w:cs="Times New Roman" w:eastAsia="Times New Roman" w:hAnsi="Times New Roman"/>
          <w:sz w:val="21"/>
          <w:szCs w:val="21"/>
          <w:color w:val="auto"/>
        </w:rPr>
        <w:t>of America, any state thereof or the District of Columbia, and is a member of the Federal Reserve System or is organized under the laws of Canada or any country that is a member of the European Union or is the principal banking subsidiary of a bank holding company organized under the laws of Canada or any country that is a member of the European Union and a member of the Organization for Economic Cooperation and Development, (ii) issues (or the parent of which issues) commercial paper rated as described in clause (e) of this definition and (iii) has combined capital and surplus of at least $1,000,000,000, in each case with maturities of not more than 360 days from the date of acquisition thereof;</w:t>
      </w:r>
    </w:p>
    <w:p>
      <w:pPr>
        <w:spacing w:after="0" w:line="176" w:lineRule="exact"/>
        <w:rPr>
          <w:sz w:val="20"/>
          <w:szCs w:val="20"/>
          <w:color w:val="auto"/>
        </w:rPr>
      </w:pPr>
    </w:p>
    <w:p>
      <w:pPr>
        <w:ind w:left="1660" w:hanging="416"/>
        <w:spacing w:after="0"/>
        <w:tabs>
          <w:tab w:leader="none" w:pos="166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obligations with a term of not more than 30 days for underlying securities of the types described in clause</w:t>
      </w:r>
    </w:p>
    <w:p>
      <w:pPr>
        <w:spacing w:after="0" w:line="38" w:lineRule="exact"/>
        <w:rPr>
          <w:rFonts w:ascii="Times New Roman" w:cs="Times New Roman" w:eastAsia="Times New Roman" w:hAnsi="Times New Roman"/>
          <w:sz w:val="20"/>
          <w:szCs w:val="20"/>
          <w:color w:val="auto"/>
        </w:rPr>
      </w:pPr>
    </w:p>
    <w:p>
      <w:pPr>
        <w:ind w:left="920" w:hanging="296"/>
        <w:spacing w:after="0"/>
        <w:tabs>
          <w:tab w:leader="none" w:pos="9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entered into with any commercial bank meeting the qualifications specified in clause (c) above;</w:t>
      </w:r>
    </w:p>
    <w:p>
      <w:pPr>
        <w:spacing w:after="0" w:line="200"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693"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270 days from the date of acquisition thereof;</w:t>
      </w:r>
    </w:p>
    <w:p>
      <w:pPr>
        <w:spacing w:after="0" w:line="162" w:lineRule="exact"/>
        <w:rPr>
          <w:rFonts w:ascii="Times New Roman" w:cs="Times New Roman" w:eastAsia="Times New Roman" w:hAnsi="Times New Roman"/>
          <w:sz w:val="21"/>
          <w:szCs w:val="21"/>
          <w:color w:val="auto"/>
        </w:rPr>
      </w:pPr>
    </w:p>
    <w:p>
      <w:pPr>
        <w:ind w:left="620" w:firstLine="624"/>
        <w:spacing w:after="0" w:line="283" w:lineRule="auto"/>
        <w:tabs>
          <w:tab w:leader="none" w:pos="1632"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securities with maturities of one year or less from the date of acquisition backed by standby letters of credit issued by any commercial bank meeting the qualifications specified in clause (c) above;</w:t>
      </w:r>
    </w:p>
    <w:p>
      <w:pPr>
        <w:spacing w:after="0" w:line="141" w:lineRule="exact"/>
        <w:rPr>
          <w:rFonts w:ascii="Times New Roman" w:cs="Times New Roman" w:eastAsia="Times New Roman" w:hAnsi="Times New Roman"/>
          <w:sz w:val="21"/>
          <w:szCs w:val="21"/>
          <w:color w:val="auto"/>
        </w:rPr>
      </w:pPr>
    </w:p>
    <w:p>
      <w:pPr>
        <w:ind w:left="1660" w:hanging="416"/>
        <w:spacing w:after="0"/>
        <w:tabs>
          <w:tab w:leader="none" w:pos="166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 and</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73" w:lineRule="auto"/>
        <w:tabs>
          <w:tab w:leader="none" w:pos="174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classified in accordance with GAAP as current assets of the Company or any of its Subsidiaries, in money market investment programs registered under the Investment Company Act of 1940, which are administered by financial institutions that have one of the two highest ratings obtainable from either Moody’s or S&amp;P, and have at least 95% of their assets invested continuously in Investments of the character, quality and maturity described in clauses (a) through (f) of this definition.</w:t>
      </w:r>
    </w:p>
    <w:p>
      <w:pPr>
        <w:spacing w:after="0" w:line="155"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Equivalents (Available Liquidity)</w:t>
      </w:r>
      <w:r>
        <w:rPr>
          <w:rFonts w:ascii="Times New Roman" w:cs="Times New Roman" w:eastAsia="Times New Roman" w:hAnsi="Times New Roman"/>
          <w:sz w:val="21"/>
          <w:szCs w:val="21"/>
          <w:color w:val="auto"/>
        </w:rPr>
        <w:t>” means any of the following types of Investments, to the extent owned by the Company or any of its Restricted Subsidiaries free and clear of all Liens (other than Liens created under the Collateral Documents and other Liens permitted hereunder):</w:t>
      </w:r>
    </w:p>
    <w:p>
      <w:pPr>
        <w:spacing w:after="0" w:line="167" w:lineRule="exact"/>
        <w:rPr>
          <w:sz w:val="20"/>
          <w:szCs w:val="20"/>
          <w:color w:val="auto"/>
        </w:rPr>
      </w:pPr>
    </w:p>
    <w:p>
      <w:pPr>
        <w:ind w:left="1820" w:hanging="395"/>
        <w:spacing w:after="0"/>
        <w:tabs>
          <w:tab w:leader="none" w:pos="182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Dollars (including such Dollars as are held as overnight bank deposits and demand deposits with U.S. banks);</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69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readily marketable obligations issued or directly and fully guaranteed or insured by the United States of America or any agency or instrumentality thereof having maturities of not more than 24 months from the date of acquisition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full faith and credit of the United States of America is pledged in support thereof;</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65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60" w:name="page61"/>
    <w:bookmarkEnd w:id="60"/>
    <w:p>
      <w:pPr>
        <w:ind w:left="620"/>
        <w:spacing w:after="0"/>
        <w:rPr>
          <w:sz w:val="20"/>
          <w:szCs w:val="20"/>
          <w:color w:val="auto"/>
        </w:rPr>
      </w:pPr>
      <w:r>
        <w:rPr>
          <w:rFonts w:ascii="Times New Roman" w:cs="Times New Roman" w:eastAsia="Times New Roman" w:hAnsi="Times New Roman"/>
          <w:sz w:val="20"/>
          <w:szCs w:val="20"/>
          <w:color w:val="auto"/>
        </w:rPr>
        <w:t>Reserve System, (ii) issues (or the parent of which issues) commercial paper rated as described in clause (e) of this definition and</w:t>
      </w:r>
    </w:p>
    <w:p>
      <w:pPr>
        <w:spacing w:after="0" w:line="38" w:lineRule="exact"/>
        <w:rPr>
          <w:sz w:val="20"/>
          <w:szCs w:val="20"/>
          <w:color w:val="auto"/>
        </w:rPr>
      </w:pPr>
    </w:p>
    <w:p>
      <w:pPr>
        <w:ind w:left="620" w:firstLine="4"/>
        <w:spacing w:after="0" w:line="248" w:lineRule="auto"/>
        <w:tabs>
          <w:tab w:leader="none" w:pos="987"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combined capital and surplus of at least $1,000,000,000, in each case with maturities of not more than 360 days from the date of acquisition thereof;</w:t>
      </w:r>
    </w:p>
    <w:p>
      <w:pPr>
        <w:spacing w:after="0" w:line="176" w:lineRule="exact"/>
        <w:rPr>
          <w:rFonts w:ascii="Times New Roman" w:cs="Times New Roman" w:eastAsia="Times New Roman" w:hAnsi="Times New Roman"/>
          <w:sz w:val="21"/>
          <w:szCs w:val="21"/>
          <w:color w:val="auto"/>
        </w:rPr>
      </w:pPr>
    </w:p>
    <w:p>
      <w:pPr>
        <w:ind w:left="1660" w:hanging="416"/>
        <w:spacing w:after="0"/>
        <w:tabs>
          <w:tab w:leader="none" w:pos="166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obligations with a term of not more than 30 days for underlying securities of the types described in clause</w:t>
      </w:r>
    </w:p>
    <w:p>
      <w:pPr>
        <w:spacing w:after="0" w:line="38" w:lineRule="exact"/>
        <w:rPr>
          <w:rFonts w:ascii="Times New Roman" w:cs="Times New Roman" w:eastAsia="Times New Roman" w:hAnsi="Times New Roman"/>
          <w:sz w:val="20"/>
          <w:szCs w:val="20"/>
          <w:color w:val="auto"/>
        </w:rPr>
      </w:pPr>
    </w:p>
    <w:p>
      <w:pPr>
        <w:ind w:left="920" w:hanging="296"/>
        <w:spacing w:after="0"/>
        <w:tabs>
          <w:tab w:leader="none" w:pos="9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entered into with any commercial bank meeting the qualifications specified in clause (c) above;</w:t>
      </w:r>
    </w:p>
    <w:p>
      <w:pPr>
        <w:spacing w:after="0" w:line="200"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693"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270 days from the date of acquisition thereof;</w:t>
      </w:r>
    </w:p>
    <w:p>
      <w:pPr>
        <w:spacing w:after="0" w:line="162" w:lineRule="exact"/>
        <w:rPr>
          <w:rFonts w:ascii="Times New Roman" w:cs="Times New Roman" w:eastAsia="Times New Roman" w:hAnsi="Times New Roman"/>
          <w:sz w:val="21"/>
          <w:szCs w:val="21"/>
          <w:color w:val="auto"/>
        </w:rPr>
      </w:pPr>
    </w:p>
    <w:p>
      <w:pPr>
        <w:ind w:left="620" w:firstLine="624"/>
        <w:spacing w:after="0" w:line="283" w:lineRule="auto"/>
        <w:tabs>
          <w:tab w:leader="none" w:pos="1632"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securities with maturities of one year or less from the date of acquisition backed by standby letters of credit issued by any commercial bank meeting the qualifications specified in clause (c) above;</w:t>
      </w:r>
    </w:p>
    <w:p>
      <w:pPr>
        <w:spacing w:after="0" w:line="141" w:lineRule="exact"/>
        <w:rPr>
          <w:rFonts w:ascii="Times New Roman" w:cs="Times New Roman" w:eastAsia="Times New Roman" w:hAnsi="Times New Roman"/>
          <w:sz w:val="21"/>
          <w:szCs w:val="21"/>
          <w:color w:val="auto"/>
        </w:rPr>
      </w:pPr>
    </w:p>
    <w:p>
      <w:pPr>
        <w:ind w:left="1660" w:hanging="416"/>
        <w:spacing w:after="0"/>
        <w:tabs>
          <w:tab w:leader="none" w:pos="166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 and</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73" w:lineRule="auto"/>
        <w:tabs>
          <w:tab w:leader="none" w:pos="174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classified in accordance with GAAP as current assets of the Company or any of its Subsidiaries, in money market investment programs registered under the Investment Company Act of 1940, which are administered by financial institutions that have one of the two highest ratings obtainable from either Moody’s or S&amp;P, and have at least 95% of their assets invested continuously in Investments of the character, quality and maturity described in clauses (a) through (f) of this definition.</w:t>
      </w:r>
    </w:p>
    <w:p>
      <w:pPr>
        <w:spacing w:after="0" w:line="155"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Management Agreement</w:t>
      </w:r>
      <w:r>
        <w:rPr>
          <w:rFonts w:ascii="Times New Roman" w:cs="Times New Roman" w:eastAsia="Times New Roman" w:hAnsi="Times New Roman"/>
          <w:sz w:val="21"/>
          <w:szCs w:val="21"/>
          <w:color w:val="auto"/>
        </w:rPr>
        <w:t>” means any agreement that is not prohibited by the terms hereof to provide cash management services, including treasury, depository, overdraft, credit or debit card, electronic funds transfer and other cash management arrangements.</w:t>
      </w:r>
    </w:p>
    <w:p>
      <w:pPr>
        <w:spacing w:after="0" w:line="16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Management Bank</w:t>
      </w:r>
      <w:r>
        <w:rPr>
          <w:rFonts w:ascii="Times New Roman" w:cs="Times New Roman" w:eastAsia="Times New Roman" w:hAnsi="Times New Roman"/>
          <w:sz w:val="21"/>
          <w:szCs w:val="21"/>
          <w:color w:val="auto"/>
        </w:rPr>
        <w:t>” means any Person that, (a) at the time it enters into a Cash Management Agreement with a Loan Party, is a Lender or an Affiliate of a Lender, or (b) at the time it (or its Affiliate) becomes a Lender, is a party to a Cash Management Agreement with a Loan Party, in each case in its capacity as a party to such Cash Management Agreement.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CFC</w:t>
      </w:r>
      <w:r>
        <w:rPr>
          <w:rFonts w:ascii="Times New Roman" w:cs="Times New Roman" w:eastAsia="Times New Roman" w:hAnsi="Times New Roman"/>
          <w:sz w:val="21"/>
          <w:szCs w:val="21"/>
          <w:color w:val="auto"/>
        </w:rPr>
        <w:t>” means a Person that is a controlled foreign corporation under Section 957 of the Code.</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CFC Holdco</w:t>
      </w:r>
      <w:r>
        <w:rPr>
          <w:rFonts w:ascii="Times New Roman" w:cs="Times New Roman" w:eastAsia="Times New Roman" w:hAnsi="Times New Roman"/>
          <w:sz w:val="21"/>
          <w:szCs w:val="21"/>
          <w:color w:val="auto"/>
        </w:rPr>
        <w:t>” means any Person substantially all of the assets of which consist directly or indirectly of the Equity Interests of, and/or Indebtedness owing from, one or more CFCs.</w:t>
      </w:r>
    </w:p>
    <w:p>
      <w:pPr>
        <w:spacing w:after="0" w:line="154"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herein to the contrary, (i) the Dodd-Frank Wall Street Reform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61" w:name="page62"/>
    <w:bookmarkEnd w:id="61"/>
    <w:p>
      <w:pPr>
        <w:jc w:val="both"/>
        <w:spacing w:after="0" w:line="250" w:lineRule="auto"/>
        <w:rPr>
          <w:sz w:val="20"/>
          <w:szCs w:val="20"/>
          <w:color w:val="auto"/>
        </w:rPr>
      </w:pPr>
      <w:r>
        <w:rPr>
          <w:rFonts w:ascii="Times New Roman" w:cs="Times New Roman" w:eastAsia="Times New Roman" w:hAnsi="Times New Roman"/>
          <w:sz w:val="21"/>
          <w:szCs w:val="21"/>
          <w:color w:val="auto"/>
        </w:rPr>
        <w:t>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means an event or series of events by which:</w:t>
      </w:r>
    </w:p>
    <w:p>
      <w:pPr>
        <w:spacing w:after="0" w:line="211" w:lineRule="exact"/>
        <w:rPr>
          <w:sz w:val="20"/>
          <w:szCs w:val="20"/>
          <w:color w:val="auto"/>
        </w:rPr>
      </w:pPr>
    </w:p>
    <w:p>
      <w:pPr>
        <w:jc w:val="both"/>
        <w:ind w:left="620" w:firstLine="624"/>
        <w:spacing w:after="0" w:line="247" w:lineRule="auto"/>
        <w:tabs>
          <w:tab w:leader="none" w:pos="168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any Existing Shareholder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21"/>
          <w:szCs w:val="21"/>
          <w:u w:val="single" w:color="auto"/>
          <w:color w:val="auto"/>
        </w:rPr>
        <w:t>option right</w:t>
      </w:r>
      <w:r>
        <w:rPr>
          <w:rFonts w:ascii="Times New Roman" w:cs="Times New Roman" w:eastAsia="Times New Roman" w:hAnsi="Times New Roman"/>
          <w:sz w:val="21"/>
          <w:szCs w:val="21"/>
          <w:color w:val="auto"/>
        </w:rPr>
        <w:t>”)), directly or indirectly, of 35%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179" w:lineRule="exact"/>
        <w:rPr>
          <w:rFonts w:ascii="Times New Roman" w:cs="Times New Roman" w:eastAsia="Times New Roman" w:hAnsi="Times New Roman"/>
          <w:sz w:val="21"/>
          <w:szCs w:val="21"/>
          <w:color w:val="auto"/>
        </w:rPr>
      </w:pPr>
    </w:p>
    <w:p>
      <w:pPr>
        <w:jc w:val="both"/>
        <w:ind w:left="620" w:firstLine="624"/>
        <w:spacing w:after="0" w:line="248" w:lineRule="auto"/>
        <w:tabs>
          <w:tab w:leader="none" w:pos="171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of 18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spacing w:after="0" w:line="17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Clean Bankers’ Acceptance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Clean BA</w:t>
      </w:r>
      <w:r>
        <w:rPr>
          <w:rFonts w:ascii="Times New Roman" w:cs="Times New Roman" w:eastAsia="Times New Roman" w:hAnsi="Times New Roman"/>
          <w:sz w:val="21"/>
          <w:szCs w:val="21"/>
          <w:color w:val="auto"/>
        </w:rPr>
        <w:t xml:space="preserve">” means a negotiable time draft drawn on and accepted by the L/C Issuer pursuant to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xml:space="preserve"> to finance the purchase of inventory.</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means September 19, 2019.</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w:t>
      </w:r>
    </w:p>
    <w:p>
      <w:pPr>
        <w:spacing w:after="0" w:line="21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means all of the “</w:t>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Mortgaged Property</w:t>
      </w:r>
      <w:r>
        <w:rPr>
          <w:rFonts w:ascii="Times New Roman" w:cs="Times New Roman" w:eastAsia="Times New Roman" w:hAnsi="Times New Roman"/>
          <w:sz w:val="21"/>
          <w:szCs w:val="21"/>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 Documents</w:t>
      </w:r>
      <w:r>
        <w:rPr>
          <w:rFonts w:ascii="Times New Roman" w:cs="Times New Roman" w:eastAsia="Times New Roman" w:hAnsi="Times New Roman"/>
          <w:sz w:val="21"/>
          <w:szCs w:val="21"/>
          <w:color w:val="auto"/>
        </w:rPr>
        <w:t>” means, collectively, the Security Agreement, each Security Joinder Agreement, the Pledge Agreement, each Pledge Joinder Agreement, each Pledge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62" w:name="page63"/>
    <w:bookmarkEnd w:id="62"/>
    <w:p>
      <w:pPr>
        <w:jc w:val="both"/>
        <w:spacing w:after="0" w:line="270" w:lineRule="auto"/>
        <w:rPr>
          <w:sz w:val="20"/>
          <w:szCs w:val="20"/>
          <w:color w:val="auto"/>
        </w:rPr>
      </w:pPr>
      <w:r>
        <w:rPr>
          <w:rFonts w:ascii="Times New Roman" w:cs="Times New Roman" w:eastAsia="Times New Roman" w:hAnsi="Times New Roman"/>
          <w:sz w:val="21"/>
          <w:szCs w:val="21"/>
          <w:color w:val="auto"/>
        </w:rPr>
        <w:t>Supplement, the Mortgages, and each of the other agreements, instruments or documents that creates or purports to create a Lien in favor of the Administrative Agent for the benefit of the Secured Parties.</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means a MC Commitment, a USD Commitment or a Term Loan Commitment, as the context may require.</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Borrowing</w:t>
      </w:r>
      <w:r>
        <w:rPr>
          <w:rFonts w:ascii="Times New Roman" w:cs="Times New Roman" w:eastAsia="Times New Roman" w:hAnsi="Times New Roman"/>
          <w:sz w:val="21"/>
          <w:szCs w:val="21"/>
          <w:color w:val="auto"/>
        </w:rPr>
        <w:t>” means a Committed (USD) Borrowing or a Committed (MC) Borrowing.</w:t>
      </w:r>
    </w:p>
    <w:p>
      <w:pPr>
        <w:spacing w:after="0" w:line="21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(MC) Borrowing</w:t>
      </w:r>
      <w:r>
        <w:rPr>
          <w:rFonts w:ascii="Times New Roman" w:cs="Times New Roman" w:eastAsia="Times New Roman" w:hAnsi="Times New Roman"/>
          <w:sz w:val="21"/>
          <w:szCs w:val="21"/>
          <w:color w:val="auto"/>
        </w:rPr>
        <w:t xml:space="preserve">” means a borrowing consisting of simultaneous Committed (MC) Loans of the same Type and, in the case of Eurocurrency Rate Loans, having the same Interest Period made by each of the Committed (MC) Lenders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2.01(b)</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(USD) Borrowing</w:t>
      </w:r>
      <w:r>
        <w:rPr>
          <w:rFonts w:ascii="Times New Roman" w:cs="Times New Roman" w:eastAsia="Times New Roman" w:hAnsi="Times New Roman"/>
          <w:sz w:val="21"/>
          <w:szCs w:val="21"/>
          <w:color w:val="auto"/>
        </w:rPr>
        <w:t xml:space="preserve">” means a borrowing consisting of simultaneous Committed (USD) Loans of the same Type and, in the case of Eurocurrency Rate Loans, having the same Interest Period made by each of the Committed (USD) Lenders pursuant to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(MC) Facility</w:t>
      </w:r>
      <w:r>
        <w:rPr>
          <w:rFonts w:ascii="Times New Roman" w:cs="Times New Roman" w:eastAsia="Times New Roman" w:hAnsi="Times New Roman"/>
          <w:sz w:val="21"/>
          <w:szCs w:val="21"/>
          <w:color w:val="auto"/>
        </w:rPr>
        <w:t>” means, at any time, the revolving credit facility provided in this Agreement pursuant to the Aggregate (MC) Commitments.</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(USD) Facility</w:t>
      </w:r>
      <w:r>
        <w:rPr>
          <w:rFonts w:ascii="Times New Roman" w:cs="Times New Roman" w:eastAsia="Times New Roman" w:hAnsi="Times New Roman"/>
          <w:sz w:val="21"/>
          <w:szCs w:val="21"/>
          <w:color w:val="auto"/>
        </w:rPr>
        <w:t>” means, at any time, the revolving credit facility provided in this Agreement pursuant to the Aggregate (USD) Commitments.</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(MC) Lender</w:t>
      </w:r>
      <w:r>
        <w:rPr>
          <w:rFonts w:ascii="Times New Roman" w:cs="Times New Roman" w:eastAsia="Times New Roman" w:hAnsi="Times New Roman"/>
          <w:sz w:val="21"/>
          <w:szCs w:val="21"/>
          <w:color w:val="auto"/>
        </w:rPr>
        <w:t>” means, at any time, any Lender that has an MC Commitment or outstanding Committed (MC) Loans at such time.</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(USD) Lender</w:t>
      </w:r>
      <w:r>
        <w:rPr>
          <w:rFonts w:ascii="Times New Roman" w:cs="Times New Roman" w:eastAsia="Times New Roman" w:hAnsi="Times New Roman"/>
          <w:sz w:val="21"/>
          <w:szCs w:val="21"/>
          <w:color w:val="auto"/>
        </w:rPr>
        <w:t>” means, at any time, any Lender that has a USD Commitment or outstanding Committed (USD) Loans or participations in L/C Obligations and Swing Line Loans at such time.</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Loans</w:t>
      </w:r>
      <w:r>
        <w:rPr>
          <w:rFonts w:ascii="Times New Roman" w:cs="Times New Roman" w:eastAsia="Times New Roman" w:hAnsi="Times New Roman"/>
          <w:sz w:val="21"/>
          <w:szCs w:val="21"/>
          <w:color w:val="auto"/>
        </w:rPr>
        <w:t>” means a Committed (USD) Loan or a Committed (MC) Loan.</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(MC) Loan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(USD) Loan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w:t>
      </w:r>
    </w:p>
    <w:p>
      <w:pPr>
        <w:spacing w:after="0" w:line="207"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Commodity Exchange Act</w:t>
      </w:r>
      <w:r>
        <w:rPr>
          <w:rFonts w:ascii="Times New Roman" w:cs="Times New Roman" w:eastAsia="Times New Roman" w:hAnsi="Times New Roman"/>
          <w:sz w:val="21"/>
          <w:szCs w:val="21"/>
          <w:color w:val="auto"/>
        </w:rPr>
        <w:t xml:space="preserve">” means the Commodity Exchange Act (7 U.S.C. § 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as amended from time to time, and any successor statute.</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the meaning specified in the introductory paragraph hereto.</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xml:space="preserve">” means a certificate substantially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Connection Income Taxes</w:t>
      </w:r>
      <w:r>
        <w:rPr>
          <w:rFonts w:ascii="Times New Roman" w:cs="Times New Roman" w:eastAsia="Times New Roman" w:hAnsi="Times New Roman"/>
          <w:sz w:val="21"/>
          <w:szCs w:val="21"/>
          <w:color w:val="auto"/>
        </w:rPr>
        <w:t>” means Other Connection Taxes that are imposed on or measured by net income (however denominated) or that are franchise Taxes or branch profits Taxes.</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EBITDA</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for any period, for the Company and its Restricted Subsidiaries on a consolidated basis, an amount equal to Consolidated Net Income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63" w:name="page64"/>
    <w:bookmarkEnd w:id="63"/>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 the following to the extent deducted in calculating such Consolidated Net Income: (i) interest expense for such period, (ii) the provision for Federal, state, local and foreign income Taxes payable by the Company and its Restricted Subsidiaries for such period, (iii) depreciation and amortization expense, (iv) charges included in Consolidated Net Income related to purchase accounting adjustments that are as required by FASB ASC Topic 805, (v) charges relating to stock based compensation which do not represent a cash item in such period or any future period, (vi) other charges which do not represent a cash item in such period or any future period;</w:t>
      </w:r>
    </w:p>
    <w:p>
      <w:pPr>
        <w:spacing w:after="0" w:line="4" w:lineRule="exact"/>
        <w:rPr>
          <w:sz w:val="20"/>
          <w:szCs w:val="20"/>
          <w:color w:val="auto"/>
        </w:rPr>
      </w:pPr>
    </w:p>
    <w:p>
      <w:pPr>
        <w:jc w:val="both"/>
        <w:ind w:firstLine="3"/>
        <w:spacing w:after="0" w:line="257" w:lineRule="auto"/>
        <w:tabs>
          <w:tab w:leader="none" w:pos="43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incurred in connection with the prepayment, amendment, modification or refinancing of Indebtedness (whether or not consummated) during such period, (viii) any non-capitalized transaction costs incurred during such period in connection with an incurrence of Indebtedness, during a refinancing thereof, issuance of Equity Interests, Investment, Acquisition, Disposition or recapitalization, in each case, to the extent permitted hereunder (whether or not consummated), (ix) tender premiums, redemption premiums, fees, and other amounts and expenses incurred in connection with the tender for and/or redemption of Indebtedness incurred under </w:t>
      </w:r>
      <w:r>
        <w:rPr>
          <w:rFonts w:ascii="Times New Roman" w:cs="Times New Roman" w:eastAsia="Times New Roman" w:hAnsi="Times New Roman"/>
          <w:sz w:val="20"/>
          <w:szCs w:val="20"/>
          <w:u w:val="single" w:color="auto"/>
          <w:color w:val="auto"/>
        </w:rPr>
        <w:t>Section 7.03(j)</w:t>
      </w:r>
      <w:r>
        <w:rPr>
          <w:rFonts w:ascii="Times New Roman" w:cs="Times New Roman" w:eastAsia="Times New Roman" w:hAnsi="Times New Roman"/>
          <w:sz w:val="20"/>
          <w:szCs w:val="20"/>
          <w:color w:val="auto"/>
        </w:rPr>
        <w:t xml:space="preserve">, (x) earn-out expenses resulting from Permitted Acquisitions in which the Company and/or any Restricted Subsidiary is required to treat such earn-out expenses as compensation costs, (xi) expenses arising from the impact of FASB ASC 470-50-40 on certain capitalized fees and costs, (xii) any net loss incurred in such period from Swap Contracts and the application of FASB ASC Topic 815, (xiii) any net loss incurred in such period from currency translation losses, (xiv) any loss from the early extinguishment of Indebtedness or Swap Contracts or other derivative instruments and (xv) (A) other non-recurring or unusual charges, (B) cash charges paid in connection with corporate restructurings (including severance costs in connection with any reduction in the workforce of the Company and its Restricted Subsidiaries) and (C) expected cost savings, operating expense reductions, restructuring charges and expenses and cost-saving synergies projected by the Company in good faith to result from actions with respect to which substantial steps have been, will be, or are expected to be, taken (in the good faith determination of the Company and evidenced by a certificate of a Responsible Officer of the Company) within 15 months of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charges described in this clause (xv) together with any adjustments made pursuant to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shall only be permitted to be added back for such period to the extent such charges collectively do not increase Consolidated EBITDA by more than 20%; and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following to the extent included in calculating such Consolidated Net Income: (i) Federal, state, local and foreign income Tax credits of the Company and its Subsidiaries for such period, (ii) any net gain incurred in such period from Swap Contracts and the application of FASB ASC Topic 815, (iii) any net gain incurred in such period from currency translation gains, (iv) any gain from the early extinguishment of Indebtedness or Swap Contracts or other derivative instruments and (v) all non-cash items increasing Consolidated Net Income for such period.</w:t>
      </w:r>
    </w:p>
    <w:p>
      <w:pPr>
        <w:spacing w:after="0" w:line="200" w:lineRule="exact"/>
        <w:rPr>
          <w:sz w:val="20"/>
          <w:szCs w:val="20"/>
          <w:color w:val="auto"/>
        </w:rPr>
      </w:pPr>
    </w:p>
    <w:p>
      <w:pPr>
        <w:spacing w:after="0" w:line="214"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Funded Indebtedness</w:t>
      </w:r>
      <w:r>
        <w:rPr>
          <w:rFonts w:ascii="Times New Roman" w:cs="Times New Roman" w:eastAsia="Times New Roman" w:hAnsi="Times New Roman"/>
          <w:sz w:val="21"/>
          <w:szCs w:val="21"/>
          <w:color w:val="auto"/>
        </w:rPr>
        <w:t>” means, as of any date of determination, for the Company and its Restricted Subsidiaries on a consolidated basis, the sum of (a) the outstanding principal amount of all obligations, whether current or long-term, for borrowed money (including Obligations hereunder) and all obligations evidenced by bonds (other than surety bonds), debentures, notes, loan agreements or other similar instruments, (b) all purchase money Indebtedness, (c) all direct obligations arising under letters of credit (including standby and commercial), bankers’ acceptances, bank guaranties, and similar instruments (including, for the avoidance of doubt, the due and payable penal sum under any surety bond called upon by the obligee thereof but excluding the penal sum of any surety bond not then due and payable), (d) all obligations in respect of the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64" w:name="page65"/>
    <w:bookmarkEnd w:id="64"/>
    <w:p>
      <w:pPr>
        <w:jc w:val="both"/>
        <w:spacing w:after="0" w:line="248" w:lineRule="auto"/>
        <w:rPr>
          <w:sz w:val="20"/>
          <w:szCs w:val="20"/>
          <w:color w:val="auto"/>
        </w:rPr>
      </w:pPr>
      <w:r>
        <w:rPr>
          <w:rFonts w:ascii="Times New Roman" w:cs="Times New Roman" w:eastAsia="Times New Roman" w:hAnsi="Times New Roman"/>
          <w:sz w:val="21"/>
          <w:szCs w:val="21"/>
          <w:color w:val="auto"/>
        </w:rPr>
        <w:t>deferred purchase price of property or services (other than trade accounts payable in the ordinary course of business), (e) Attributable Indebtedness in respect of capital leases and Synthetic Lease Obligations, (f) without duplication, all Guarantees with respect to outstanding Indebtedness of the types specified in clauses (a) through (e) above of Persons other than the Company or any Restricted Subsidiary, and (g) all Indebtedness of the types referred to in clauses (a) through (f)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 all as determined in accordance with GAAP.</w:t>
      </w:r>
    </w:p>
    <w:p>
      <w:pPr>
        <w:spacing w:after="0" w:line="178"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Interest Charges</w:t>
      </w:r>
      <w:r>
        <w:rPr>
          <w:rFonts w:ascii="Times New Roman" w:cs="Times New Roman" w:eastAsia="Times New Roman" w:hAnsi="Times New Roman"/>
          <w:sz w:val="21"/>
          <w:szCs w:val="21"/>
          <w:color w:val="auto"/>
        </w:rPr>
        <w:t>” means, for any period, for the Company and its Restricted Subsidiaries on a consolidated basis, the sum of (a) all cash interest, premium payments, debt discount, fees, charges and related expenses of the Company and its Restricted Subsidiaries in connection with borrowed money or in connection with the deferred purchase price of assets, in each case to the extent treated as interest in accordance with GAAP, and (b) the portion of cash rent expense of the Company and its Restricted Subsidiaries with respect to such period under capital leases that is treated as interest in accordance with GAAP.</w:t>
      </w:r>
    </w:p>
    <w:p>
      <w:pPr>
        <w:spacing w:after="0" w:line="17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Interest Coverage Ratio</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6.12(e)(ii)</w:t>
      </w:r>
      <w:r>
        <w:rPr>
          <w:rFonts w:ascii="Times New Roman" w:cs="Times New Roman" w:eastAsia="Times New Roman" w:hAnsi="Times New Roman"/>
          <w:sz w:val="21"/>
          <w:szCs w:val="21"/>
          <w:color w:val="auto"/>
        </w:rPr>
        <w:t xml:space="preserve">, as of any date of determination, the ratio of (a) Consolidated EBITDA for the period of the four prior fiscal quarters ending on such date </w:t>
      </w:r>
      <w:r>
        <w:rPr>
          <w:rFonts w:ascii="Times New Roman" w:cs="Times New Roman" w:eastAsia="Times New Roman" w:hAnsi="Times New Roman"/>
          <w:sz w:val="21"/>
          <w:szCs w:val="21"/>
          <w:i w:val="1"/>
          <w:iCs w:val="1"/>
          <w:color w:val="auto"/>
        </w:rPr>
        <w:t>to</w:t>
      </w:r>
      <w:r>
        <w:rPr>
          <w:rFonts w:ascii="Times New Roman" w:cs="Times New Roman" w:eastAsia="Times New Roman" w:hAnsi="Times New Roman"/>
          <w:sz w:val="21"/>
          <w:szCs w:val="21"/>
          <w:color w:val="auto"/>
        </w:rPr>
        <w:t xml:space="preserve"> (b) Consolidated Interest Charges for such period.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6.12(e)(ii)</w:t>
      </w:r>
      <w:r>
        <w:rPr>
          <w:rFonts w:ascii="Times New Roman" w:cs="Times New Roman" w:eastAsia="Times New Roman" w:hAnsi="Times New Roman"/>
          <w:sz w:val="20"/>
          <w:szCs w:val="20"/>
          <w:color w:val="auto"/>
        </w:rPr>
        <w:t>, as of any date of determination, the ratio of</w:t>
      </w:r>
    </w:p>
    <w:p>
      <w:pPr>
        <w:spacing w:after="0" w:line="38" w:lineRule="exact"/>
        <w:rPr>
          <w:sz w:val="20"/>
          <w:szCs w:val="20"/>
          <w:color w:val="auto"/>
        </w:rPr>
      </w:pPr>
    </w:p>
    <w:p>
      <w:pPr>
        <w:jc w:val="both"/>
        <w:ind w:firstLine="3"/>
        <w:spacing w:after="0" w:line="245" w:lineRule="auto"/>
        <w:tabs>
          <w:tab w:leader="none" w:pos="30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difference of (i) Consolidated Funded Indebtedness as of such date (but excluding, to the extent outstanding and undrawn and included in the calculation of Consolidated Funded Indebtedness, the stated amount of all standby performance letters of credit as of such date)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 Unrestricted Domestic Cash as of such date, </w:t>
      </w:r>
      <w:r>
        <w:rPr>
          <w:rFonts w:ascii="Times New Roman" w:cs="Times New Roman" w:eastAsia="Times New Roman" w:hAnsi="Times New Roman"/>
          <w:sz w:val="21"/>
          <w:szCs w:val="21"/>
          <w:i w:val="1"/>
          <w:iCs w:val="1"/>
          <w:color w:val="auto"/>
        </w:rPr>
        <w:t>to</w:t>
      </w:r>
      <w:r>
        <w:rPr>
          <w:rFonts w:ascii="Times New Roman" w:cs="Times New Roman" w:eastAsia="Times New Roman" w:hAnsi="Times New Roman"/>
          <w:sz w:val="21"/>
          <w:szCs w:val="21"/>
          <w:color w:val="auto"/>
        </w:rPr>
        <w:t xml:space="preserve"> (b) Consolidated EBITDA for the period of the four fiscal quarters most recently ended.</w:t>
      </w:r>
    </w:p>
    <w:p>
      <w:pPr>
        <w:spacing w:after="0" w:line="181"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Assets</w:t>
      </w:r>
      <w:r>
        <w:rPr>
          <w:rFonts w:ascii="Times New Roman" w:cs="Times New Roman" w:eastAsia="Times New Roman" w:hAnsi="Times New Roman"/>
          <w:sz w:val="21"/>
          <w:szCs w:val="21"/>
          <w:color w:val="auto"/>
        </w:rPr>
        <w:t xml:space="preserve">” means, as of any date of determination, the amount which in accordance with GAAP would be set forth under the caption “Total Assets” (or any like caption) on a consolidated balance sheet of the Company and its Restricted Subsidiaries less current liabilities, as of the most recently ended fiscal quarter or fiscal year, as applicable, for which financial statements have been delivered to the Administrative Agent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for any period, for the Company and its Restricted Subsidiaries on a consolidated basis, the net income of the Company and its Restricted Subsidiaries for that period, but excluding: (a) any gain or loss arising from the sale of capital assets; (b) any gain or loss arising from any write-up or write-down of assets or liabilities during such period; (c) any portion of the net earnings of any Subsidiary which for any reason is unavailable for payment of distributions to a Borrower; (d) any gain or loss arising from the acquisition of any Equity Interests of a Borrower; and (e) any income (or loss) for such period of any Person if such Person is not a Restricted Subsidiary, except that the Company’s equity in the net income of any such Person for such period shall be included in Consolidated Net Income up to the aggregate amount of cash actually distributed by such Person during such period to the Company or a Restricted Subsidiary as a dividend or other distribution (and in the case of a dividend or other distribution to a Restricted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65" w:name="page66"/>
    <w:bookmarkEnd w:id="65"/>
    <w:p>
      <w:pPr>
        <w:jc w:val="both"/>
        <w:spacing w:after="0" w:line="270" w:lineRule="auto"/>
        <w:rPr>
          <w:sz w:val="20"/>
          <w:szCs w:val="20"/>
          <w:color w:val="auto"/>
        </w:rPr>
      </w:pPr>
      <w:r>
        <w:rPr>
          <w:rFonts w:ascii="Times New Roman" w:cs="Times New Roman" w:eastAsia="Times New Roman" w:hAnsi="Times New Roman"/>
          <w:sz w:val="21"/>
          <w:szCs w:val="21"/>
          <w:color w:val="auto"/>
        </w:rPr>
        <w:t xml:space="preserve">Subsidiary, such Restricted Subsidiary is not precluded from further distributing such amount to a Borrower as described in the preceding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all as determined in accordance with GAAP.</w:t>
      </w:r>
    </w:p>
    <w:p>
      <w:pPr>
        <w:spacing w:after="0" w:line="154"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Secured Leverage Ratio</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6.12(e)(ii)</w:t>
      </w:r>
      <w:r>
        <w:rPr>
          <w:rFonts w:ascii="Times New Roman" w:cs="Times New Roman" w:eastAsia="Times New Roman" w:hAnsi="Times New Roman"/>
          <w:sz w:val="21"/>
          <w:szCs w:val="21"/>
          <w:color w:val="auto"/>
        </w:rPr>
        <w:t xml:space="preserve">, as of any date of determination, the ratio of (a) the difference of (i) Consolidated Funded Indebtedness that is secured by a Lien on any assets of the Company or any of its Restricted Subsidiaries as of such date (but excluding, to the extent outstanding and undrawn and included in the calculation of Consolidated Funded Indebtedness, the stated amount of all standby performance letters of credit as of such date)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 Unrestricted Domestic Cash as of such date, </w:t>
      </w:r>
      <w:r>
        <w:rPr>
          <w:rFonts w:ascii="Times New Roman" w:cs="Times New Roman" w:eastAsia="Times New Roman" w:hAnsi="Times New Roman"/>
          <w:sz w:val="21"/>
          <w:szCs w:val="21"/>
          <w:i w:val="1"/>
          <w:iCs w:val="1"/>
          <w:color w:val="auto"/>
        </w:rPr>
        <w:t>to</w:t>
      </w:r>
      <w:r>
        <w:rPr>
          <w:rFonts w:ascii="Times New Roman" w:cs="Times New Roman" w:eastAsia="Times New Roman" w:hAnsi="Times New Roman"/>
          <w:sz w:val="21"/>
          <w:szCs w:val="21"/>
          <w:color w:val="auto"/>
        </w:rPr>
        <w:t xml:space="preserve"> (b) Consolidated EBITDA for the period of the four fiscal quarters most recently ended.</w:t>
      </w:r>
    </w:p>
    <w:p>
      <w:pPr>
        <w:spacing w:after="0" w:line="176"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Total Assets</w:t>
      </w:r>
      <w:r>
        <w:rPr>
          <w:rFonts w:ascii="Times New Roman" w:cs="Times New Roman" w:eastAsia="Times New Roman" w:hAnsi="Times New Roman"/>
          <w:sz w:val="21"/>
          <w:szCs w:val="21"/>
          <w:color w:val="auto"/>
        </w:rPr>
        <w:t xml:space="preserve">” means, as of any date of determination, the amount which in accordance with GAAP would be set forth under the caption “Total Assets” (or any like caption) on a consolidated balance sheet of the Company and its Restricted Subsidiaries, as of the most recently ended fiscal quarter or fiscal year, as applicable, for which financial statements have been delivered to the Administrative Agent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Contractual Obligation</w:t>
      </w:r>
      <w:r>
        <w:rPr>
          <w:rFonts w:ascii="Times New Roman" w:cs="Times New Roman" w:eastAsia="Times New Roman" w:hAnsi="Times New Roman"/>
          <w:sz w:val="21"/>
          <w:szCs w:val="21"/>
          <w:color w:val="auto"/>
        </w:rPr>
        <w:t>” means, as to any Person, any provision of any security issued by such Person or of any agreement, instrument or other undertaking to which such Person is a party or by which it or any of its property is bound.</w:t>
      </w:r>
    </w:p>
    <w:p>
      <w:pPr>
        <w:spacing w:after="0" w:line="15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1"/>
          <w:szCs w:val="21"/>
          <w:u w:val="single" w:color="auto"/>
          <w:color w:val="auto"/>
        </w:rPr>
        <w:t>Controlling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Controlled</w:t>
      </w:r>
      <w:r>
        <w:rPr>
          <w:rFonts w:ascii="Times New Roman" w:cs="Times New Roman" w:eastAsia="Times New Roman" w:hAnsi="Times New Roman"/>
          <w:sz w:val="21"/>
          <w:szCs w:val="21"/>
          <w:color w:val="auto"/>
        </w:rPr>
        <w:t>” have meanings correlative thereto.</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10.23(b)</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Extension</w:t>
      </w:r>
      <w:r>
        <w:rPr>
          <w:rFonts w:ascii="Times New Roman" w:cs="Times New Roman" w:eastAsia="Times New Roman" w:hAnsi="Times New Roman"/>
          <w:sz w:val="21"/>
          <w:szCs w:val="21"/>
          <w:color w:val="auto"/>
        </w:rPr>
        <w:t>” means each of the following: (a) a Borrowing and (b) an L/C Credit Extension.</w:t>
      </w:r>
    </w:p>
    <w:p>
      <w:pPr>
        <w:spacing w:after="0" w:line="21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Debtor Relief Laws</w:t>
      </w:r>
      <w:r>
        <w:rPr>
          <w:rFonts w:ascii="Times New Roman" w:cs="Times New Roman" w:eastAsia="Times New Roman" w:hAnsi="Times New Roman"/>
          <w:sz w:val="21"/>
          <w:szCs w:val="21"/>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means any event or condition that constitutes an Event of Default or that, with the giving of any notice, the passage of time, or both, would be an Event of Default.</w:t>
      </w:r>
    </w:p>
    <w:p>
      <w:pPr>
        <w:spacing w:after="0" w:line="154"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Rate</w:t>
      </w:r>
      <w:r>
        <w:rPr>
          <w:rFonts w:ascii="Times New Roman" w:cs="Times New Roman" w:eastAsia="Times New Roman" w:hAnsi="Times New Roman"/>
          <w:sz w:val="21"/>
          <w:szCs w:val="21"/>
          <w:color w:val="auto"/>
        </w:rPr>
        <w:t xml:space="preserve">” means (a) when used with respect to Obligations other than Letter of Credit Fees and BA Fees, an interest rate equal to (i) the Base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Applicable Rate, if any, applicable to Base Rate Loans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2% per annum;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with respect to a Eurocurrency Rate Loan, the Default Rate shall be an interest rate equal to the interest rate (including any Applicable Rate) otherwise applicable to such Loan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2% per annum, (b) when used with respect to Letter of Credit Fees, a rate equal to the Applicable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2% per annum and (c) when used with respect to BA Fees, a rate equal to (i) the Bankers’ Acceptance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Applicable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2% per annum.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66" w:name="page67"/>
    <w:bookmarkEnd w:id="66"/>
    <w:p>
      <w:pPr>
        <w:jc w:val="both"/>
        <w:ind w:firstLine="620"/>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2.17(b)</w:t>
      </w:r>
      <w:r>
        <w:rPr>
          <w:rFonts w:ascii="Times New Roman" w:cs="Times New Roman" w:eastAsia="Times New Roman" w:hAnsi="Times New Roman"/>
          <w:sz w:val="21"/>
          <w:szCs w:val="21"/>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Bankers’ Acceptances or Swing Line Loans) within two Business Days of the date when due, (b) has notified the Company,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1"/>
          <w:szCs w:val="21"/>
          <w:u w:val="single" w:color="auto"/>
          <w:color w:val="auto"/>
        </w:rPr>
        <w:t>Section 2.17(b)</w:t>
      </w:r>
      <w:r>
        <w:rPr>
          <w:rFonts w:ascii="Times New Roman" w:cs="Times New Roman" w:eastAsia="Times New Roman" w:hAnsi="Times New Roman"/>
          <w:sz w:val="21"/>
          <w:szCs w:val="21"/>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20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Jurisdiction</w:t>
      </w:r>
      <w:r>
        <w:rPr>
          <w:rFonts w:ascii="Times New Roman" w:cs="Times New Roman" w:eastAsia="Times New Roman" w:hAnsi="Times New Roman"/>
          <w:sz w:val="21"/>
          <w:szCs w:val="21"/>
          <w:color w:val="auto"/>
        </w:rPr>
        <w:t>” means any country, region or territory to the extent that such country, region or territory itself is the subject of any Sanction.</w:t>
      </w:r>
    </w:p>
    <w:p>
      <w:pPr>
        <w:spacing w:after="0" w:line="15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Disposition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Dispose</w:t>
      </w:r>
      <w:r>
        <w:rPr>
          <w:rFonts w:ascii="Times New Roman" w:cs="Times New Roman" w:eastAsia="Times New Roman" w:hAnsi="Times New Roman"/>
          <w:sz w:val="21"/>
          <w:szCs w:val="21"/>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 lawful money of the United States.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67" w:name="page68"/>
    <w:bookmarkEnd w:id="67"/>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 Equivalent</w:t>
      </w:r>
      <w:r>
        <w:rPr>
          <w:rFonts w:ascii="Times New Roman" w:cs="Times New Roman" w:eastAsia="Times New Roman" w:hAnsi="Times New Roman"/>
          <w:sz w:val="21"/>
          <w:szCs w:val="21"/>
          <w:color w:val="auto"/>
        </w:rPr>
        <w:t>” means, at any time, (a) with respect to any amount denominated in Dollars, such amount, and (b) with respect to any amount denominated in an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Domestic Subsidiary</w:t>
      </w:r>
      <w:r>
        <w:rPr>
          <w:rFonts w:ascii="Times New Roman" w:cs="Times New Roman" w:eastAsia="Times New Roman" w:hAnsi="Times New Roman"/>
          <w:sz w:val="21"/>
          <w:szCs w:val="21"/>
          <w:color w:val="auto"/>
        </w:rPr>
        <w:t>” means any Subsidiary that is organized under the laws of any political subdivision of the United States.</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Earnout Obligation</w:t>
      </w:r>
      <w:r>
        <w:rPr>
          <w:rFonts w:ascii="Times New Roman" w:cs="Times New Roman" w:eastAsia="Times New Roman" w:hAnsi="Times New Roman"/>
          <w:sz w:val="21"/>
          <w:szCs w:val="21"/>
          <w:color w:val="auto"/>
        </w:rPr>
        <w:t>” means those contingent obligations of a Restricted Subsidiary incurred in favor of a seller (or other third party entitled thereto) under or with respect to any Permitted Acquisition.</w:t>
      </w:r>
    </w:p>
    <w:p>
      <w:pPr>
        <w:spacing w:after="0" w:line="154"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Financial Institution</w:t>
      </w:r>
      <w:r>
        <w:rPr>
          <w:rFonts w:ascii="Times New Roman" w:cs="Times New Roman" w:eastAsia="Times New Roman" w:hAnsi="Times New Roman"/>
          <w:sz w:val="21"/>
          <w:szCs w:val="2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entity.</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211" w:lineRule="exact"/>
        <w:rPr>
          <w:sz w:val="20"/>
          <w:szCs w:val="20"/>
          <w:color w:val="auto"/>
        </w:rPr>
      </w:pPr>
    </w:p>
    <w:p>
      <w:pPr>
        <w:jc w:val="both"/>
        <w:ind w:firstLine="620"/>
        <w:spacing w:after="0" w:line="29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Elevated Ratio Period</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7.11(b)</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Assignee</w:t>
      </w:r>
      <w:r>
        <w:rPr>
          <w:rFonts w:ascii="Times New Roman" w:cs="Times New Roman" w:eastAsia="Times New Roman" w:hAnsi="Times New Roman"/>
          <w:sz w:val="21"/>
          <w:szCs w:val="21"/>
          <w:color w:val="auto"/>
        </w:rPr>
        <w:t xml:space="preserve">” means any Person that meets the requirements to be an assignee under </w:t>
      </w:r>
      <w:r>
        <w:rPr>
          <w:rFonts w:ascii="Times New Roman" w:cs="Times New Roman" w:eastAsia="Times New Roman" w:hAnsi="Times New Roman"/>
          <w:sz w:val="21"/>
          <w:szCs w:val="21"/>
          <w:u w:val="single" w:color="auto"/>
          <w:color w:val="auto"/>
        </w:rPr>
        <w:t>Section 10.06(b)(iii)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(subject to such consents, if any, as may be required under </w:t>
      </w:r>
      <w:r>
        <w:rPr>
          <w:rFonts w:ascii="Times New Roman" w:cs="Times New Roman" w:eastAsia="Times New Roman" w:hAnsi="Times New Roman"/>
          <w:sz w:val="21"/>
          <w:szCs w:val="21"/>
          <w:u w:val="single" w:color="auto"/>
          <w:color w:val="auto"/>
        </w:rPr>
        <w:t>Section 10.06(b)(iii)</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means any and all Federal, state, local, and foreign statutes, laws, common law, regulations, ordinances, rules, judgments, orders, decrees, permits, concessions, grants, franchises, licenses, written and binding agreements with Governmental Authorities or governmental restrictions relating to pollution, the protection of the environment, human health, safety or natural resources or the release of any materials into the environment, including those related to hazardous substances or wastes, air emissions and discharges to waste or public systems.</w:t>
      </w:r>
    </w:p>
    <w:p>
      <w:pPr>
        <w:spacing w:after="0" w:line="176"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Liability</w:t>
      </w:r>
      <w:r>
        <w:rPr>
          <w:rFonts w:ascii="Times New Roman" w:cs="Times New Roman" w:eastAsia="Times New Roman" w:hAnsi="Times New Roman"/>
          <w:sz w:val="21"/>
          <w:szCs w:val="21"/>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68" w:name="page69"/>
    <w:bookmarkEnd w:id="68"/>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Permit</w:t>
      </w:r>
      <w:r>
        <w:rPr>
          <w:rFonts w:ascii="Times New Roman" w:cs="Times New Roman" w:eastAsia="Times New Roman" w:hAnsi="Times New Roman"/>
          <w:sz w:val="21"/>
          <w:szCs w:val="21"/>
          <w:color w:val="auto"/>
        </w:rPr>
        <w:t>” means any permit, approval, identification number, license or other authorization required under any Environmental Law.</w:t>
      </w:r>
    </w:p>
    <w:p>
      <w:pPr>
        <w:spacing w:after="0" w:line="154"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debt securities that are or by their terms may be convertible or exchangeable into or for Equity Interests shall not constitute Equity Interests prior to conversion or exchange thereof).</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w:t>
      </w:r>
    </w:p>
    <w:p>
      <w:pPr>
        <w:spacing w:after="0" w:line="21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67"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w:t>
      </w:r>
    </w:p>
    <w:p>
      <w:pPr>
        <w:spacing w:after="0" w:line="2" w:lineRule="exact"/>
        <w:rPr>
          <w:sz w:val="20"/>
          <w:szCs w:val="20"/>
          <w:color w:val="auto"/>
        </w:rPr>
      </w:pPr>
    </w:p>
    <w:p>
      <w:pPr>
        <w:jc w:val="both"/>
        <w:ind w:firstLine="3"/>
        <w:spacing w:after="0" w:line="244" w:lineRule="auto"/>
        <w:tabs>
          <w:tab w:leader="none" w:pos="33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complete or partial withdrawal by the Company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85"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 Bail-In Legislation Schedule</w:t>
      </w:r>
      <w:r>
        <w:rPr>
          <w:rFonts w:ascii="Times New Roman" w:cs="Times New Roman" w:eastAsia="Times New Roman" w:hAnsi="Times New Roman"/>
          <w:sz w:val="21"/>
          <w:szCs w:val="21"/>
          <w:color w:val="auto"/>
        </w:rPr>
        <w:t>” means the EU Bail-In Legislation Schedule published by the Loan Market Association (or any successor person), as in effect from time to time.</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 the single currency of the Participating Member States.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Eurocurrency Rate</w:t>
      </w:r>
      <w:r>
        <w:rPr>
          <w:rFonts w:ascii="Times New Roman" w:cs="Times New Roman" w:eastAsia="Times New Roman" w:hAnsi="Times New Roman"/>
          <w:sz w:val="21"/>
          <w:szCs w:val="21"/>
          <w:color w:val="auto"/>
        </w:rPr>
        <w:t>” means:</w:t>
      </w:r>
    </w:p>
    <w:p>
      <w:pPr>
        <w:spacing w:after="0" w:line="211" w:lineRule="exact"/>
        <w:rPr>
          <w:sz w:val="20"/>
          <w:szCs w:val="20"/>
          <w:color w:val="auto"/>
        </w:rPr>
      </w:pPr>
    </w:p>
    <w:p>
      <w:pPr>
        <w:ind w:left="1680" w:hanging="436"/>
        <w:spacing w:after="0"/>
        <w:tabs>
          <w:tab w:leader="none" w:pos="16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Credit Extension:</w:t>
      </w:r>
    </w:p>
    <w:p>
      <w:pPr>
        <w:spacing w:after="0" w:line="210" w:lineRule="exact"/>
        <w:rPr>
          <w:rFonts w:ascii="Times New Roman" w:cs="Times New Roman" w:eastAsia="Times New Roman" w:hAnsi="Times New Roman"/>
          <w:sz w:val="21"/>
          <w:szCs w:val="21"/>
          <w:color w:val="auto"/>
        </w:rPr>
      </w:pPr>
    </w:p>
    <w:p>
      <w:pPr>
        <w:ind w:left="1240" w:firstLine="624"/>
        <w:spacing w:after="0" w:line="270" w:lineRule="auto"/>
        <w:tabs>
          <w:tab w:leader="none" w:pos="2269"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a LIBOR Quoted Currency, the rate per annum equal to the London Interbank Offered Rate as administered by ICE Benchmark</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69" w:name="page70"/>
    <w:bookmarkEnd w:id="69"/>
    <w:p>
      <w:pPr>
        <w:jc w:val="both"/>
        <w:ind w:left="1240"/>
        <w:spacing w:after="0" w:line="249" w:lineRule="auto"/>
        <w:rPr>
          <w:sz w:val="20"/>
          <w:szCs w:val="20"/>
          <w:color w:val="auto"/>
        </w:rPr>
      </w:pPr>
      <w:r>
        <w:rPr>
          <w:rFonts w:ascii="Times New Roman" w:cs="Times New Roman" w:eastAsia="Times New Roman" w:hAnsi="Times New Roman"/>
          <w:sz w:val="21"/>
          <w:szCs w:val="21"/>
          <w:color w:val="auto"/>
        </w:rPr>
        <w:t>Administration (or any other Person that takes over the administration of such rate for such currency for a period equal in length to such Interest Period (“</w:t>
      </w:r>
      <w:r>
        <w:rPr>
          <w:rFonts w:ascii="Times New Roman" w:cs="Times New Roman" w:eastAsia="Times New Roman" w:hAnsi="Times New Roman"/>
          <w:sz w:val="21"/>
          <w:szCs w:val="21"/>
          <w:u w:val="single" w:color="auto"/>
          <w:color w:val="auto"/>
        </w:rPr>
        <w:t>LIBOR</w:t>
      </w:r>
      <w:r>
        <w:rPr>
          <w:rFonts w:ascii="Times New Roman" w:cs="Times New Roman" w:eastAsia="Times New Roman" w:hAnsi="Times New Roman"/>
          <w:sz w:val="21"/>
          <w:szCs w:val="21"/>
          <w:color w:val="auto"/>
        </w:rPr>
        <w: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w:t>
      </w:r>
    </w:p>
    <w:p>
      <w:pPr>
        <w:spacing w:after="0" w:line="176" w:lineRule="exact"/>
        <w:rPr>
          <w:sz w:val="20"/>
          <w:szCs w:val="20"/>
          <w:color w:val="auto"/>
        </w:rPr>
      </w:pPr>
    </w:p>
    <w:p>
      <w:pPr>
        <w:jc w:val="both"/>
        <w:ind w:left="1240" w:firstLine="624"/>
        <w:spacing w:after="0" w:line="250" w:lineRule="auto"/>
        <w:tabs>
          <w:tab w:leader="none" w:pos="2467"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Canadian dollars, the rate per annum equal to the Canadian Dealer Offered Rate,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10:00 a.m. (Toronto, Ontario time) on the Rate Determination Date with a term equivalent to such Interest Period;</w:t>
      </w:r>
    </w:p>
    <w:p>
      <w:pPr>
        <w:spacing w:after="0" w:line="176" w:lineRule="exact"/>
        <w:rPr>
          <w:rFonts w:ascii="Times New Roman" w:cs="Times New Roman" w:eastAsia="Times New Roman" w:hAnsi="Times New Roman"/>
          <w:sz w:val="21"/>
          <w:szCs w:val="21"/>
          <w:color w:val="auto"/>
        </w:rPr>
      </w:pPr>
    </w:p>
    <w:p>
      <w:pPr>
        <w:jc w:val="both"/>
        <w:ind w:left="1240" w:firstLine="624"/>
        <w:spacing w:after="0" w:line="250" w:lineRule="auto"/>
        <w:tabs>
          <w:tab w:leader="none" w:pos="240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Mexican Pesos, the rate per annum equal to the Interbanking Equilibrium Interest Rate, or a comparable or successor rate which rate is approved by the Administrative Agent, as published by Banco de Mexico in the Federation’s Official Gazette (or such other commercially available source providing such quotations as may be designated by the Administrative Agent from time to time) at or about 2:00 p.m. (Mexico City, Mexico time) on the Rate Determination Date with a term equivalent to such Interest Period; and</w:t>
      </w:r>
    </w:p>
    <w:p>
      <w:pPr>
        <w:spacing w:after="0" w:line="189" w:lineRule="exact"/>
        <w:rPr>
          <w:rFonts w:ascii="Times New Roman" w:cs="Times New Roman" w:eastAsia="Times New Roman" w:hAnsi="Times New Roman"/>
          <w:sz w:val="21"/>
          <w:szCs w:val="21"/>
          <w:color w:val="auto"/>
        </w:rPr>
      </w:pPr>
    </w:p>
    <w:p>
      <w:pPr>
        <w:jc w:val="both"/>
        <w:ind w:left="1240" w:firstLine="624"/>
        <w:spacing w:after="0" w:line="257" w:lineRule="auto"/>
        <w:tabs>
          <w:tab w:leader="none" w:pos="2428"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denominated in any other Non-LIBOR Quoted Currency, the rate per annum as designated with respect to such Alternative Currency at the time such Alternative Currency is approved by the Administrative Agent and the Lenders pursuant to </w:t>
      </w:r>
      <w:r>
        <w:rPr>
          <w:rFonts w:ascii="Times New Roman" w:cs="Times New Roman" w:eastAsia="Times New Roman" w:hAnsi="Times New Roman"/>
          <w:sz w:val="21"/>
          <w:szCs w:val="21"/>
          <w:u w:val="single" w:color="auto"/>
          <w:color w:val="auto"/>
        </w:rPr>
        <w:t>Section 1.06(a)</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2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interest calculation with respect to a Base Rate Loan on any date, the rate per annum equal to LIBOR, at or about 11:00 a.m., London time determined two Business Days prior to such date for Dollar deposits with a term of one month commencing that day; and</w:t>
      </w:r>
    </w:p>
    <w:p>
      <w:pPr>
        <w:spacing w:after="0" w:line="167" w:lineRule="exact"/>
        <w:rPr>
          <w:rFonts w:ascii="Times New Roman" w:cs="Times New Roman" w:eastAsia="Times New Roman" w:hAnsi="Times New Roman"/>
          <w:sz w:val="21"/>
          <w:szCs w:val="21"/>
          <w:color w:val="auto"/>
        </w:rPr>
      </w:pPr>
    </w:p>
    <w:p>
      <w:pPr>
        <w:ind w:left="1680" w:hanging="436"/>
        <w:spacing w:after="0"/>
        <w:tabs>
          <w:tab w:leader="none" w:pos="16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Eurocurrency Rate shall be less than zero, such rate shall be deemed zero for purposes of this Agreement.</w:t>
      </w:r>
    </w:p>
    <w:p>
      <w:pPr>
        <w:spacing w:after="0" w:line="211"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Eurocurrency Rate Loan</w:t>
      </w:r>
      <w:r>
        <w:rPr>
          <w:rFonts w:ascii="Times New Roman" w:cs="Times New Roman" w:eastAsia="Times New Roman" w:hAnsi="Times New Roman"/>
          <w:sz w:val="21"/>
          <w:szCs w:val="21"/>
          <w:color w:val="auto"/>
        </w:rPr>
        <w:t>” means a Committed Loan or a Term Loan that bears interest at a rate based on clause (a) of the definition of “Eurocurrency Rate.” Committed (USD) Loans that are Eurocurrency Rate Loans must be denominated in Dollars. Committed (MC) Loans that are Eurocurrency Rate Loans may be denominated in Dollars or in an Alternative Currency. All Committed (MC) Loans denominated in an Alternative Currency must be Eurocurrency Rate Loans.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70" w:name="page71"/>
    <w:bookmarkEnd w:id="70"/>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Excess Cash Flow</w:t>
      </w:r>
      <w:r>
        <w:rPr>
          <w:rFonts w:ascii="Times New Roman" w:cs="Times New Roman" w:eastAsia="Times New Roman" w:hAnsi="Times New Roman"/>
          <w:sz w:val="21"/>
          <w:szCs w:val="21"/>
          <w:color w:val="auto"/>
        </w:rPr>
        <w:t xml:space="preserve">” means, for any fiscal year of the Company, for the Company and its Restricted Subsidiaries on a consolidated basis, an amount equal to (a) Consolidated EBITDA for such fiscal year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Capital Expenditures (other than Capital Expenditures financed with the proceeds of Indebtedness permitted hereunder (other than Loans)) made in such fiscal year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(c) Consolidated Interest Charges actually paid in cash during such fiscal year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(d) all income Taxes actually paid in cash during such fiscal year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(e) scheduled principal payments of Consolidated Funded Indebtedness during such fiscal year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(f) permanent principal prepayments of Consolidated Funded Indebtedness during such fiscal year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as applicable) (g) net changes in Working Capital between the first day and last day of such fiscal year, in each case as reflected on the financial statements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and the related Compliance Certificate delivered pursuant to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for such fiscal year.</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 Basket</w:t>
      </w:r>
      <w:r>
        <w:rPr>
          <w:rFonts w:ascii="Times New Roman" w:cs="Times New Roman" w:eastAsia="Times New Roman" w:hAnsi="Times New Roman"/>
          <w:sz w:val="20"/>
          <w:szCs w:val="20"/>
          <w:color w:val="auto"/>
        </w:rPr>
        <w:t>” means, for any fiscal year, an amount equal to 75% of the Excess Cash Flow for the preceding fiscal</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year.</w:t>
      </w:r>
    </w:p>
    <w:p>
      <w:pPr>
        <w:spacing w:after="0" w:line="189" w:lineRule="exact"/>
        <w:rPr>
          <w:sz w:val="20"/>
          <w:szCs w:val="20"/>
          <w:color w:val="auto"/>
        </w:rPr>
      </w:pPr>
    </w:p>
    <w:p>
      <w:pPr>
        <w:jc w:val="both"/>
        <w:ind w:firstLine="620"/>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Asset</w:t>
      </w:r>
      <w:r>
        <w:rPr>
          <w:rFonts w:ascii="Times New Roman" w:cs="Times New Roman" w:eastAsia="Times New Roman" w:hAnsi="Times New Roman"/>
          <w:sz w:val="21"/>
          <w:szCs w:val="21"/>
          <w:color w:val="auto"/>
        </w:rPr>
        <w:t xml:space="preserve">” means (a) any lease, license or contract to which the Company or any Restricted Subsidiary is a party, or any license, consent, permit, variance, certification, authorization or approval of any Governmental Authority (or any Person acting on behalf of a Governmental Authority) of which the Company or any Restricted Subsidiary is the owner or beneficiary, or any of its rights or interests thereunder, if and for so long as the grant of a security interest therein shall constitute or result in (i) the abandonment, invalidation or unenforceability of the right, title or interest of the Company or such Restricted Subsidiary therein, (ii) a breach or termination pursuant to the terms of, or a default under, such lease, license or contract or such license, consent, permit, variance, certification, authorization or approval, or (iii) in the case of any license, consent, permit, variance, certification, authorization or approval of any Governmental Authority (or any Person acting on behalf of a Governmental Authority), the violation of any applicable law, rule, regulation or order of any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in each case, that (i) no asset or property shall be considered an Excluded Asset to the extent the restriction described in the foregoing clause (a) would be rendered ineffective pursuant to Section 9-406, 9-407, 9-408 or 9-409 of the UCC or any other applicable law or principles of equity, or to the extent that any necessary consents or waivers have been obtained to allow the security interest in such asset or property notwithstanding such restriction, and (ii) the inclusion of an asset as an Excluded Asset shall not limit, impair or otherwise affect the Administrative Agent’s security interest in and lien upon any rights or interests of the Company or any other Loan Party in or to (x) monies due or to become due under any lease, license, consent, permit, variance, certification, authorization, approval or contract to which the Company or any other Loan Party is a party, or (y) any proceeds from the sale, license, lease or other dispositions of any such lease, license, consent, permit, variance, certification, authorization, approval or contract; (b) any property of which the Company or any Restricted Subsidiary is the owner in which the grant of a security interest or Lien therein, as determined in good faith by the Company and as described to the Administrative Agent in reasonable detail upon its request, results in adverse Tax or regulatory consequences to the Company or any Restricted Subsidiary; (c) any fee-owned or leasehold real property other than Material Real Property; (d) any Equity Interest of a Prohibited Subsidiary; or (e) any Indebtedness owing from a CFC, a CFC Holdco or a Prohibited Subsidiary.</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Subsidiaries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6.12(f)</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71" w:name="page72"/>
    <w:bookmarkEnd w:id="71"/>
    <w:p>
      <w:pPr>
        <w:jc w:val="both"/>
        <w:ind w:firstLine="62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means, with respect to any Guarantor, any Swap Obligation if, and to the extent that, all or a portion of the Guarantee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 Section 28 of the Subsidiary Guaranty and any other “keepwell, support or other agreement” for the benefit of such Guarantor and any and all guarantees of such Guarantor’s Swap Obligations by other Loan Parties) at the time the Guarantee of such Guarantor, or a grant by such Guarantor of a Lien,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70" w:lineRule="exact"/>
        <w:rPr>
          <w:sz w:val="20"/>
          <w:szCs w:val="20"/>
          <w:color w:val="auto"/>
        </w:rPr>
      </w:pPr>
    </w:p>
    <w:p>
      <w:pPr>
        <w:jc w:val="both"/>
        <w:ind w:firstLine="620"/>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xml:space="preserve">” means any of the following Taxes imposed on or with respect to, or required to be withheld or deducted from a payment to, the Administrative Agent, any Lender, the L/C Issuer or any other recipient of any payment to be made by or on account of any obligation of any Borrower hereunder, (a) Taxes imposed on or measured by net income (however denominated), net worth, franchise Taxes and branch profits (or similar) Taxes, in each case, (i) imposed by the jurisdiction (or any political subdivision thereof) under the Laws of which such recipient is organized or in which its principal office is located or, in the case of any Lender or the L/C Issuer, in which its applicable Lending Office is located or (ii) that are Other Connection Taxes, (b) in the case of a Foreign Lender (other than an assignee pursuant to a request by the Company under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xml:space="preserve">), any United States withholding Tax that (i) is required to be imposed on amounts payable to such Foreign Lender pursuant to the Laws in force at the time such Foreign Lender becomes a party hereto (or designates a new Lending Office), except to the extent that such Foreign Lender’s assignor immediately before such Foreign Lender became a party hereto (or such Foreign Lender immediately before the time of designation of the new Lending Office) was entitled to receive additional amounts from the relevant Borrower with respect to such United States withholding Tax pursuant to </w:t>
      </w:r>
      <w:r>
        <w:rPr>
          <w:rFonts w:ascii="Times New Roman" w:cs="Times New Roman" w:eastAsia="Times New Roman" w:hAnsi="Times New Roman"/>
          <w:sz w:val="21"/>
          <w:szCs w:val="21"/>
          <w:u w:val="single" w:color="auto"/>
          <w:color w:val="auto"/>
        </w:rPr>
        <w:t>Section 3.01(a)(ii)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3.01(a)(iii)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xml:space="preserve">, or (ii) is attributable to such Foreign Lender’s failure or inability to comply with clause (B) of </w:t>
      </w:r>
      <w:r>
        <w:rPr>
          <w:rFonts w:ascii="Times New Roman" w:cs="Times New Roman" w:eastAsia="Times New Roman" w:hAnsi="Times New Roman"/>
          <w:sz w:val="21"/>
          <w:szCs w:val="21"/>
          <w:u w:val="single" w:color="auto"/>
          <w:color w:val="auto"/>
        </w:rPr>
        <w:t>Section 3.01(e)(ii)</w:t>
      </w:r>
      <w:r>
        <w:rPr>
          <w:rFonts w:ascii="Times New Roman" w:cs="Times New Roman" w:eastAsia="Times New Roman" w:hAnsi="Times New Roman"/>
          <w:sz w:val="21"/>
          <w:szCs w:val="21"/>
          <w:color w:val="auto"/>
        </w:rPr>
        <w:t xml:space="preserve"> (other than as a result of a Change in Law occurring after the date on which such Foreign Lender became a party to this Agreement), (c) in the case of a Foreign Lender, any increase in the United States withholding Taxes required to be imposed on amounts payable to such Foreign Lender occurring after the date on which such Foreign Lender became a party hereto (or designated a new Lending Office), other than as a result of a Change in Law occurring after the date on which such Foreign Lender became a party hereto (or designated a new Lending Office) (d) any United States Federal withholding Taxes imposed under FATCA, and (e) any United States Federal backup withholding Tax.</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Letters of Credit</w:t>
      </w:r>
      <w:r>
        <w:rPr>
          <w:rFonts w:ascii="Times New Roman" w:cs="Times New Roman" w:eastAsia="Times New Roman" w:hAnsi="Times New Roman"/>
          <w:sz w:val="21"/>
          <w:szCs w:val="21"/>
          <w:color w:val="auto"/>
        </w:rPr>
        <w:t xml:space="preserve">” means those letters of credit described on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Shareholders</w:t>
      </w:r>
      <w:r>
        <w:rPr>
          <w:rFonts w:ascii="Times New Roman" w:cs="Times New Roman" w:eastAsia="Times New Roman" w:hAnsi="Times New Roman"/>
          <w:sz w:val="21"/>
          <w:szCs w:val="21"/>
          <w:color w:val="auto"/>
        </w:rPr>
        <w:t>” means Jorge L. Mas and the Family Related Parties.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Extended MC Commitment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2.18(a)(ii)</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Extended USD Commitment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2.18(a)(ii)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72" w:name="page73"/>
    <w:bookmarkEnd w:id="72"/>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Extending Lender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2.18(a)(ii)</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Extension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2.18(a)</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Extension Offer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2.18(a)</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Facility</w:t>
      </w:r>
      <w:r>
        <w:rPr>
          <w:rFonts w:ascii="Times New Roman" w:cs="Times New Roman" w:eastAsia="Times New Roman" w:hAnsi="Times New Roman"/>
          <w:sz w:val="21"/>
          <w:szCs w:val="21"/>
          <w:color w:val="auto"/>
        </w:rPr>
        <w:t>” means the Committed (USD) Facility, the Committed (MC) Facility or the Term Loan Facility, as the context may require.</w:t>
      </w:r>
    </w:p>
    <w:p>
      <w:pPr>
        <w:spacing w:after="0" w:line="154"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Facility Termination Date</w:t>
      </w:r>
      <w:r>
        <w:rPr>
          <w:rFonts w:ascii="Times New Roman" w:cs="Times New Roman" w:eastAsia="Times New Roman" w:hAnsi="Times New Roman"/>
          <w:sz w:val="21"/>
          <w:szCs w:val="21"/>
          <w:color w:val="auto"/>
        </w:rPr>
        <w:t>” means the date as of which all of the following shall have occurred: (a) the Aggregate Commitments have terminated, (b) all Obligations have been paid in full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have been made), and (c) all Letters of Credit, Bankers’ Acceptances and Secured Permitted Standalone Letters of Credit have terminated or expired (other than Letters of Credit, Bankers’ Acceptances or Secured Permitted Standalone Letters of Credit as to which other arrangements with respect thereto reasonably satisfactory to the Administrative Agent and the L/C Issuer or the applicable PSLOC Bank, as applicable, shall have been made).</w:t>
      </w:r>
    </w:p>
    <w:p>
      <w:pPr>
        <w:spacing w:after="0" w:line="18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Family Related Parties</w:t>
      </w:r>
      <w:r>
        <w:rPr>
          <w:rFonts w:ascii="Times New Roman" w:cs="Times New Roman" w:eastAsia="Times New Roman" w:hAnsi="Times New Roman"/>
          <w:sz w:val="20"/>
          <w:szCs w:val="20"/>
          <w:color w:val="auto"/>
        </w:rPr>
        <w:t>” means, collectively, (a) any spouse of Jorge L. Mas, Jorge Mas or Jose R. Mas and any child, stepchild, sibling or descendant of Jorge L. Mas, Jorge Mas or Jose R. Mas, (b) the estate of Jorge L. Mas, Jorge Mas and Jose R. Mas and the estate of any other person under preceding clause (a), (c) any person who receives a direct or indirect beneficial interest in the Company from any estate under preceding clause (b) to the extent of such interest, (d) any executor, personal administrator or trustee who holds such direct or indirect beneficial interest in the Company for the benefit of, or as fiduciary for, any person under preceding clause (a), (b) or (c) to the extent of such interest and (e) any corporation, partnership, limited liability company, trust, or similar entity, directly or indirectly owned or controlled by Jorge L. Mas, Jorge Mas, Jose R. Mas or any other person or persons identified in preceding clause (a), (b) or (c).</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FASB ASC</w:t>
      </w:r>
      <w:r>
        <w:rPr>
          <w:rFonts w:ascii="Times New Roman" w:cs="Times New Roman" w:eastAsia="Times New Roman" w:hAnsi="Times New Roman"/>
          <w:sz w:val="21"/>
          <w:szCs w:val="21"/>
          <w:color w:val="auto"/>
        </w:rPr>
        <w:t>” means the Accounting Standards Codification of the Financial Accounting Standards Board.</w:t>
      </w:r>
    </w:p>
    <w:p>
      <w:pPr>
        <w:spacing w:after="0" w:line="211"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any current or future regulations thereunder or any official interpretations thereof, and any agreements entered into pursuant to Section 1471(b)(1) of the Code, and any fiscal or regulatory legislation, rules or official practices adopted pursuant to any published intergovernmental agreement entered into in connection with the implementation of such sections of the Code.</w:t>
      </w:r>
    </w:p>
    <w:p>
      <w:pPr>
        <w:spacing w:after="0" w:line="17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Rate</w:t>
      </w:r>
      <w:r>
        <w:rPr>
          <w:rFonts w:ascii="Times New Roman" w:cs="Times New Roman" w:eastAsia="Times New Roman" w:hAnsi="Times New Roman"/>
          <w:sz w:val="21"/>
          <w:szCs w:val="21"/>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if such day is not a Business Day, the Federal Funds Rate for such day shall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73" w:name="page74"/>
    <w:bookmarkEnd w:id="73"/>
    <w:p>
      <w:pPr>
        <w:jc w:val="both"/>
        <w:spacing w:after="0" w:line="252" w:lineRule="auto"/>
        <w:rPr>
          <w:sz w:val="20"/>
          <w:szCs w:val="20"/>
          <w:color w:val="auto"/>
        </w:rPr>
      </w:pPr>
      <w:r>
        <w:rPr>
          <w:rFonts w:ascii="Times New Roman" w:cs="Times New Roman" w:eastAsia="Times New Roman" w:hAnsi="Times New Roman"/>
          <w:sz w:val="21"/>
          <w:szCs w:val="21"/>
          <w:color w:val="auto"/>
        </w:rPr>
        <w:t>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7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Fee Letters</w:t>
      </w:r>
      <w:r>
        <w:rPr>
          <w:rFonts w:ascii="Times New Roman" w:cs="Times New Roman" w:eastAsia="Times New Roman" w:hAnsi="Times New Roman"/>
          <w:sz w:val="21"/>
          <w:szCs w:val="21"/>
          <w:color w:val="auto"/>
        </w:rPr>
        <w:t>” means, collectively, the Bank of America Fee Letter and each other fee letter between the Company (or the Borrowers) and an Arranger and/or an Affiliate of such Arranger entered into in connection with this Agreement.</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FFC Notes</w:t>
      </w:r>
      <w:r>
        <w:rPr>
          <w:rFonts w:ascii="Times New Roman" w:cs="Times New Roman" w:eastAsia="Times New Roman" w:hAnsi="Times New Roman"/>
          <w:sz w:val="21"/>
          <w:szCs w:val="21"/>
          <w:color w:val="auto"/>
        </w:rPr>
        <w:t>” has the meaning specified in the definition of Foreign Finance Company Plan.</w:t>
      </w:r>
    </w:p>
    <w:p>
      <w:pPr>
        <w:spacing w:after="0" w:line="211"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Flood Insurance Laws</w:t>
      </w:r>
      <w:r>
        <w:rPr>
          <w:rFonts w:ascii="Times New Roman" w:cs="Times New Roman" w:eastAsia="Times New Roman" w:hAnsi="Times New Roman"/>
          <w:sz w:val="21"/>
          <w:szCs w:val="21"/>
          <w:color w:val="auto"/>
        </w:rPr>
        <w:t>” means, collectively, (a) the National Flood Insurance Act of 1968 as now or hereafter in effect or any successor statute thereto, (b) the Flood Disaster Protection Act of 1973 as now or hereafter in effect or any successor statute thereto, (c) the National Flood Insurance Reform Act of 1994 as now or hereafter in effect or any successor statute thereto, (d) the Flood Insurance Reform Act of 2004 and (e) the Biggert –Waters Flood Insurance Reform Act of 2012, as now or hereafter in effect of any successor statute thereto, in each case, together with all statutory and regulatory provisions consolidating, amending, replacing, supplementing, implementing or interpreting any of the foregoing, as amended or modified from time to time.</w:t>
      </w:r>
    </w:p>
    <w:p>
      <w:pPr>
        <w:spacing w:after="0" w:line="176" w:lineRule="exact"/>
        <w:rPr>
          <w:sz w:val="20"/>
          <w:szCs w:val="20"/>
          <w:color w:val="auto"/>
        </w:rPr>
      </w:pPr>
    </w:p>
    <w:p>
      <w:pPr>
        <w:jc w:val="both"/>
        <w:ind w:firstLine="620"/>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Finance Company Plan</w:t>
      </w:r>
      <w:r>
        <w:rPr>
          <w:rFonts w:ascii="Times New Roman" w:cs="Times New Roman" w:eastAsia="Times New Roman" w:hAnsi="Times New Roman"/>
          <w:sz w:val="21"/>
          <w:szCs w:val="21"/>
          <w:color w:val="auto"/>
        </w:rPr>
        <w:t>” means a series of transactions pursuant to which (a) the Company will create a new Wholly-Owned Domestic Subsidiary (the “</w:t>
      </w:r>
      <w:r>
        <w:rPr>
          <w:rFonts w:ascii="Times New Roman" w:cs="Times New Roman" w:eastAsia="Times New Roman" w:hAnsi="Times New Roman"/>
          <w:sz w:val="21"/>
          <w:szCs w:val="21"/>
          <w:u w:val="single" w:color="auto"/>
          <w:color w:val="auto"/>
        </w:rPr>
        <w:t>US Holdco</w:t>
      </w:r>
      <w:r>
        <w:rPr>
          <w:rFonts w:ascii="Times New Roman" w:cs="Times New Roman" w:eastAsia="Times New Roman" w:hAnsi="Times New Roman"/>
          <w:sz w:val="21"/>
          <w:szCs w:val="21"/>
          <w:color w:val="auto"/>
        </w:rPr>
        <w:t>”) which will create and own a Wholly-Owned Subsidiary organized under the laws of Luxembourg (“</w:t>
      </w:r>
      <w:r>
        <w:rPr>
          <w:rFonts w:ascii="Times New Roman" w:cs="Times New Roman" w:eastAsia="Times New Roman" w:hAnsi="Times New Roman"/>
          <w:sz w:val="21"/>
          <w:szCs w:val="21"/>
          <w:u w:val="single" w:color="auto"/>
          <w:color w:val="auto"/>
        </w:rPr>
        <w:t>Luxco</w:t>
      </w:r>
      <w:r>
        <w:rPr>
          <w:rFonts w:ascii="Times New Roman" w:cs="Times New Roman" w:eastAsia="Times New Roman" w:hAnsi="Times New Roman"/>
          <w:sz w:val="21"/>
          <w:szCs w:val="21"/>
          <w:color w:val="auto"/>
        </w:rPr>
        <w:t>”), (b) certain Domestic Subsidiaries of the Company will issue to the Company a dividend in the form of intercompany notes having a maturity not prior to the first anniversary of the latest Maturity Date and no amortization prior to the first anniversary of the latest Maturity Date and bearing interest at a fixed rate per annum, payable annually (the “</w:t>
      </w:r>
      <w:r>
        <w:rPr>
          <w:rFonts w:ascii="Times New Roman" w:cs="Times New Roman" w:eastAsia="Times New Roman" w:hAnsi="Times New Roman"/>
          <w:sz w:val="21"/>
          <w:szCs w:val="21"/>
          <w:u w:val="single" w:color="auto"/>
          <w:color w:val="auto"/>
        </w:rPr>
        <w:t>FFC Notes</w:t>
      </w:r>
      <w:r>
        <w:rPr>
          <w:rFonts w:ascii="Times New Roman" w:cs="Times New Roman" w:eastAsia="Times New Roman" w:hAnsi="Times New Roman"/>
          <w:sz w:val="21"/>
          <w:szCs w:val="21"/>
          <w:color w:val="auto"/>
        </w:rPr>
        <w:t>”), (c) the Company will contribute the FFC Notes to the US Holdco and the US Holdco will thereafter contribute the FFC Notes to Luxco and (d) US Holdco and Luxco will enter into a hybrid debt instrument in the form of a tracking preferred equity certificate (the “</w:t>
      </w:r>
      <w:r>
        <w:rPr>
          <w:rFonts w:ascii="Times New Roman" w:cs="Times New Roman" w:eastAsia="Times New Roman" w:hAnsi="Times New Roman"/>
          <w:sz w:val="21"/>
          <w:szCs w:val="21"/>
          <w:u w:val="single" w:color="auto"/>
          <w:color w:val="auto"/>
        </w:rPr>
        <w:t>TPEC</w:t>
      </w:r>
      <w:r>
        <w:rPr>
          <w:rFonts w:ascii="Times New Roman" w:cs="Times New Roman" w:eastAsia="Times New Roman" w:hAnsi="Times New Roman"/>
          <w:sz w:val="21"/>
          <w:szCs w:val="21"/>
          <w:color w:val="auto"/>
        </w:rPr>
        <w:t xml:space="preserve">”) providing for periodic transfers of cash in the form of a dividend from Luxco to US Holdco;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US Holdco and Luxco will each act solely as special purpose vehicles with operations limited to activities customary for special purpose vehicles engaging in transactions of the type contemplated by the Foreign Finance Company Plan, (y) all payments on the FFC Notes to Luxco and periodic transfers of cash to US Holdco and then to the Company in connection with the Foreign Finance Company Plan will be made on a same-day basis to the extent commercially feasible and (z) the Administrative Agent shall have received (A) a Pledge Agreement Supplement providing for the pledge of 66% of the voting Equity Interest in US Holdco, (B) a Pledge Joinder Agreement providing for the pledge of 66% of the voting Equity Interest in Luxco and (C) if requested by the Administrative Agent, opinions of counsel to the applicable Loan Party and US Holdco with respect to such documents in form and substance reasonably acceptable to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Administrative Agent shall be entitled to consent to modifications of the Foreign Finance Company Plan (and this definition and any provisions hereof relating thereto including, without limitation, </w:t>
      </w:r>
      <w:r>
        <w:rPr>
          <w:rFonts w:ascii="Times New Roman" w:cs="Times New Roman" w:eastAsia="Times New Roman" w:hAnsi="Times New Roman"/>
          <w:sz w:val="21"/>
          <w:szCs w:val="21"/>
          <w:u w:val="single" w:color="auto"/>
          <w:color w:val="auto"/>
        </w:rPr>
        <w:t>Sections 6.18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7.21</w:t>
      </w:r>
      <w:r>
        <w:rPr>
          <w:rFonts w:ascii="Times New Roman" w:cs="Times New Roman" w:eastAsia="Times New Roman" w:hAnsi="Times New Roman"/>
          <w:sz w:val="21"/>
          <w:szCs w:val="21"/>
          <w:color w:val="auto"/>
        </w:rPr>
        <w:t>) that, taken as a whole, do not substantially alter the intended purpose thereof or materially and adversely affect the Lenders.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74" w:name="page75"/>
    <w:bookmarkEnd w:id="74"/>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Lender</w:t>
      </w:r>
      <w:r>
        <w:rPr>
          <w:rFonts w:ascii="Times New Roman" w:cs="Times New Roman" w:eastAsia="Times New Roman" w:hAnsi="Times New Roman"/>
          <w:sz w:val="21"/>
          <w:szCs w:val="21"/>
          <w:color w:val="auto"/>
        </w:rPr>
        <w:t>” means any Lender that is not a “United States person” within the meaning of Section 7701(a)(30) of the Code (including such a Lender when acting in the capacity of the L/C Issuer).</w:t>
      </w:r>
    </w:p>
    <w:p>
      <w:pPr>
        <w:spacing w:after="0" w:line="154"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Leverage Ratio</w:t>
      </w:r>
      <w:r>
        <w:rPr>
          <w:rFonts w:ascii="Times New Roman" w:cs="Times New Roman" w:eastAsia="Times New Roman" w:hAnsi="Times New Roman"/>
          <w:sz w:val="21"/>
          <w:szCs w:val="21"/>
          <w:color w:val="auto"/>
        </w:rPr>
        <w:t xml:space="preserve">” means, as of any date of determination, the ratio of (a) consolidated funded Indebtedness (measured on the same basis as “Consolidated Funded Indebtedness” provided herein, but with respect to the Foreign Restricted Subsidiaries only) as of such date of the Foreign Restricted Subsidiaries on a consolidated basis, to (b) consolidated EBITDA (measured on the same basis as “Consolidated EBITDA” provided herein, but with respect to the Foreign Restricted Subsidiaries only) of the Foreign Restricted Subsidiaries on a consolidated basis for the period of the four fiscal quarters most recently ended;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during any period that includes an Acquisition or Disposition relating to a Foreign Restricted Subsidiary such calculation shall be subject to the adjustments set forth in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Restricted Subsidiary</w:t>
      </w:r>
      <w:r>
        <w:rPr>
          <w:rFonts w:ascii="Times New Roman" w:cs="Times New Roman" w:eastAsia="Times New Roman" w:hAnsi="Times New Roman"/>
          <w:sz w:val="21"/>
          <w:szCs w:val="21"/>
          <w:color w:val="auto"/>
        </w:rPr>
        <w:t>” means any Foreign Subsidiary that is a Restricted Subsidiary.</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Subsidiary</w:t>
      </w:r>
      <w:r>
        <w:rPr>
          <w:rFonts w:ascii="Times New Roman" w:cs="Times New Roman" w:eastAsia="Times New Roman" w:hAnsi="Times New Roman"/>
          <w:sz w:val="21"/>
          <w:szCs w:val="21"/>
          <w:color w:val="auto"/>
        </w:rPr>
        <w:t>” means any Subsidiary that is organized under the laws of a jurisdiction other than the United States, a State thereof or the District of Columbia.</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FRB</w:t>
      </w:r>
      <w:r>
        <w:rPr>
          <w:rFonts w:ascii="Times New Roman" w:cs="Times New Roman" w:eastAsia="Times New Roman" w:hAnsi="Times New Roman"/>
          <w:sz w:val="21"/>
          <w:szCs w:val="21"/>
          <w:color w:val="auto"/>
        </w:rPr>
        <w:t>” means the Board of Governors of the Federal Reserve System of the United States.</w:t>
      </w:r>
    </w:p>
    <w:p>
      <w:pPr>
        <w:spacing w:after="0" w:line="211"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Fronting Exposure</w:t>
      </w:r>
      <w:r>
        <w:rPr>
          <w:rFonts w:ascii="Times New Roman" w:cs="Times New Roman" w:eastAsia="Times New Roman" w:hAnsi="Times New Roman"/>
          <w:sz w:val="21"/>
          <w:szCs w:val="21"/>
          <w:color w:val="auto"/>
        </w:rPr>
        <w:t>” means, at any time there is a Defaulting Lender, (a) with respect to the L/C Issuer, such Defaulting Lender’s Applicable (USD) Percentage of the outstanding L/C Obligations other than L/C Obligations as to which such Defaulting Lender’s participation obligation has been reallocated to other Committed (USD) Lenders or Cash Collateralized in accordance with the terms hereof, and (b) with respect to the Swing Line Lender, such Defaulting Lender’s Applicable (USD) Percentage of Swing Line Loans other than Swing Line Loans as to which such Defaulting Lender’s participation obligation has been reallocated to other Committed (USD) Lenders in accordance with the terms hereof.</w:t>
      </w:r>
    </w:p>
    <w:p>
      <w:pPr>
        <w:spacing w:after="0" w:line="17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w:t>
      </w:r>
      <w:r>
        <w:rPr>
          <w:rFonts w:ascii="Times New Roman" w:cs="Times New Roman" w:eastAsia="Times New Roman" w:hAnsi="Times New Roman"/>
          <w:sz w:val="21"/>
          <w:szCs w:val="21"/>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4"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1.04(b)</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75" w:name="page76"/>
    <w:bookmarkEnd w:id="75"/>
    <w:p>
      <w:pPr>
        <w:jc w:val="both"/>
        <w:ind w:firstLine="620"/>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means, as to any Person, (a) any obligation, contingent or otherwise, of such Person guaranteeing or having the economic effect of guaranteeing any Indebtedness payable or performable by another Person (the “primary obligor”)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21"/>
          <w:szCs w:val="21"/>
          <w:color w:val="auto"/>
        </w:rPr>
        <w:t>” means, collectively, (a) the Subsidiary Guarantors and (b) with respect to the payment and performance by each Specified Loan Party of its obligations hereunder or the Subsidiary Guaranty with respect to all Swap Obligations, each Borrower.</w:t>
      </w:r>
    </w:p>
    <w:p>
      <w:pPr>
        <w:spacing w:after="0" w:line="154"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or subject to liability pursuant to any Environmental Law.</w:t>
      </w:r>
    </w:p>
    <w:p>
      <w:pPr>
        <w:spacing w:after="0" w:line="17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Hedge Bank</w:t>
      </w:r>
      <w:r>
        <w:rPr>
          <w:rFonts w:ascii="Times New Roman" w:cs="Times New Roman" w:eastAsia="Times New Roman" w:hAnsi="Times New Roman"/>
          <w:sz w:val="21"/>
          <w:szCs w:val="21"/>
          <w:color w:val="auto"/>
        </w:rPr>
        <w:t xml:space="preserve">” means any Person that, (a) at the time it enters into a Swap Contract not prohibited under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is a Lender or an Affiliate of a Lender, or (b) at the time it (or its Affiliate) becomes a Lender, is a party to a Swap Contract not prohibited under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in each case, in its capacity as a party to such Swap Contract.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Honor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2.03(d)(i)</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Immaterial Subsidiary</w:t>
      </w:r>
      <w:r>
        <w:rPr>
          <w:rFonts w:ascii="Times New Roman" w:cs="Times New Roman" w:eastAsia="Times New Roman" w:hAnsi="Times New Roman"/>
          <w:sz w:val="21"/>
          <w:szCs w:val="21"/>
          <w:color w:val="auto"/>
        </w:rPr>
        <w:t>” means any Subsidiary that is not a Material Subsidiary.</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Impacted Loans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3.03(a)</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Increase Effective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2.15(e)</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Amendment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2.15(d)</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Committed (USD) Facility Increase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2.15(a)</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Equivalent Indebtedness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7.03(r)</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76" w:name="page77"/>
    <w:bookmarkEnd w:id="76"/>
    <w:p>
      <w:pPr>
        <w:jc w:val="both"/>
        <w:ind w:firstLine="62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Facilities Limit</w:t>
      </w:r>
      <w:r>
        <w:rPr>
          <w:rFonts w:ascii="Times New Roman" w:cs="Times New Roman" w:eastAsia="Times New Roman" w:hAnsi="Times New Roman"/>
          <w:sz w:val="20"/>
          <w:szCs w:val="20"/>
          <w:color w:val="auto"/>
        </w:rPr>
        <w:t xml:space="preserve">” means, with respect to any proposed incurrence of additional Indebtedness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7.03(r)</w:t>
      </w:r>
      <w:r>
        <w:rPr>
          <w:rFonts w:ascii="Times New Roman" w:cs="Times New Roman" w:eastAsia="Times New Roman" w:hAnsi="Times New Roman"/>
          <w:sz w:val="20"/>
          <w:szCs w:val="20"/>
          <w:color w:val="auto"/>
        </w:rPr>
        <w:t xml:space="preserve">, as applicable, an amount equal to the sum of (a) the amount of additional Indebtedness that would cause the Consolidated Secured Leverage Ratio for the period of four consecutive fiscal quarters of the Company most recently ended for which financial statements are available prior to the incurrence of such additional Indebtedness (or in the case of any additional Indebtedness, the proceeds of which will finance a substantially concurrent Limited Condition Transaction, the date determined pursuant to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calculated on a Pro Forma Basis pursuant to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after giving effect to the incurrence of such additional Indebtedness and any transaction to be consummated using the proceeds of such additional Indebtedness and assuming that all commitments in respect of any proposed Incremental Increase or Incremental Equivalent Indebtedness are fully drawn at such time, not to exceed 2.75 to 1.00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$500,000,000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total aggregate initial principal amount (as of the date of incurrence thereof) of all Incremental Increases and Incremental Equivalent Indebtedness, in each case previously incurred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Unless the Borrower otherwise notifies the Administrative Agent, if all or any portion of any Incremental Increases or Incremental Equivalent Indebtedness would be permitted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on the applicable date of incurrence, such Incremental Increases or Incremental Equivalent Indebtedness (or the relevant portion thereof) shall be deemed to have been incurred in reliance on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prior to the utilization of any amount available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(it being understood that any Incremental Increase or Incremental Equivalent Indebtedness incurred in reliance on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will not be included in the pro forma calculation of the Consolidated Secured Leverage Ratio in respect of any Incremental Increase or Incremental Equivalent Indebtedness incurred substantially contemporaneously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Increases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2.15(a)</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Lender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2.15(c)</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Revolving Tranche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2.15(a)</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Term Loan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2.15(a)</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Term Loan Commitment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2.15(a)</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as to any Person at a particular time, without duplication, all of the following, whether or not included as indebtedness or liabilities in accordance with GAAP:</w:t>
      </w:r>
    </w:p>
    <w:p>
      <w:pPr>
        <w:spacing w:after="0" w:line="154" w:lineRule="exact"/>
        <w:rPr>
          <w:sz w:val="20"/>
          <w:szCs w:val="20"/>
          <w:color w:val="auto"/>
        </w:rPr>
      </w:pPr>
    </w:p>
    <w:p>
      <w:pPr>
        <w:ind w:left="620" w:firstLine="624"/>
        <w:spacing w:after="0" w:line="270" w:lineRule="auto"/>
        <w:tabs>
          <w:tab w:leader="none" w:pos="186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for borrowed money and all obligations of such Person evidenced by bonds, debentures, notes, loan agreements or other similar instruments;</w:t>
      </w:r>
    </w:p>
    <w:p>
      <w:pPr>
        <w:spacing w:after="0" w:line="154" w:lineRule="exact"/>
        <w:rPr>
          <w:rFonts w:ascii="Times New Roman" w:cs="Times New Roman" w:eastAsia="Times New Roman" w:hAnsi="Times New Roman"/>
          <w:sz w:val="21"/>
          <w:szCs w:val="21"/>
          <w:color w:val="auto"/>
        </w:rPr>
      </w:pPr>
    </w:p>
    <w:p>
      <w:pPr>
        <w:ind w:left="620" w:firstLine="624"/>
        <w:spacing w:after="0" w:line="270" w:lineRule="auto"/>
        <w:tabs>
          <w:tab w:leader="none" w:pos="170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direct or contingent obligations of such Person arising under letters of credit (including standby and commercial), bankers’ acceptances, bank guaranties, surety bonds and similar instruments;</w:t>
      </w:r>
    </w:p>
    <w:p>
      <w:pPr>
        <w:spacing w:after="0" w:line="154" w:lineRule="exact"/>
        <w:rPr>
          <w:rFonts w:ascii="Times New Roman" w:cs="Times New Roman" w:eastAsia="Times New Roman" w:hAnsi="Times New Roman"/>
          <w:sz w:val="21"/>
          <w:szCs w:val="21"/>
          <w:color w:val="auto"/>
        </w:rPr>
      </w:pPr>
    </w:p>
    <w:p>
      <w:pPr>
        <w:ind w:left="1680" w:hanging="436"/>
        <w:spacing w:after="0"/>
        <w:tabs>
          <w:tab w:leader="none" w:pos="16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obligations of such Person under any Swap Contract;</w:t>
      </w:r>
    </w:p>
    <w:p>
      <w:pPr>
        <w:spacing w:after="0" w:line="210" w:lineRule="exact"/>
        <w:rPr>
          <w:rFonts w:ascii="Times New Roman" w:cs="Times New Roman" w:eastAsia="Times New Roman" w:hAnsi="Times New Roman"/>
          <w:sz w:val="21"/>
          <w:szCs w:val="21"/>
          <w:color w:val="auto"/>
        </w:rPr>
      </w:pPr>
    </w:p>
    <w:p>
      <w:pPr>
        <w:ind w:left="620" w:firstLine="624"/>
        <w:spacing w:after="0" w:line="270" w:lineRule="auto"/>
        <w:tabs>
          <w:tab w:leader="none" w:pos="174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to pay the deferred purchase price of property or services (other than trade accounts payable in the ordinary course of business and, in each</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77" w:name="page78"/>
    <w:bookmarkEnd w:id="77"/>
    <w:p>
      <w:pPr>
        <w:ind w:left="620"/>
        <w:spacing w:after="0" w:line="270" w:lineRule="auto"/>
        <w:rPr>
          <w:sz w:val="20"/>
          <w:szCs w:val="20"/>
          <w:color w:val="auto"/>
        </w:rPr>
      </w:pPr>
      <w:r>
        <w:rPr>
          <w:rFonts w:ascii="Times New Roman" w:cs="Times New Roman" w:eastAsia="Times New Roman" w:hAnsi="Times New Roman"/>
          <w:sz w:val="21"/>
          <w:szCs w:val="21"/>
          <w:color w:val="auto"/>
        </w:rPr>
        <w:t>case, not past due for more than 90 days after the date on which such trade account payable was created or which are being contested in good faith and for which adequate reserves have been established and reported in accordance with GAAP);</w:t>
      </w:r>
    </w:p>
    <w:p>
      <w:pPr>
        <w:spacing w:after="0" w:line="154" w:lineRule="exact"/>
        <w:rPr>
          <w:sz w:val="20"/>
          <w:szCs w:val="20"/>
          <w:color w:val="auto"/>
        </w:rPr>
      </w:pPr>
    </w:p>
    <w:p>
      <w:pPr>
        <w:jc w:val="both"/>
        <w:ind w:left="620" w:firstLine="624"/>
        <w:spacing w:after="0" w:line="257" w:lineRule="auto"/>
        <w:tabs>
          <w:tab w:leader="none" w:pos="17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67" w:lineRule="exact"/>
        <w:rPr>
          <w:rFonts w:ascii="Times New Roman" w:cs="Times New Roman" w:eastAsia="Times New Roman" w:hAnsi="Times New Roman"/>
          <w:sz w:val="21"/>
          <w:szCs w:val="21"/>
          <w:color w:val="auto"/>
        </w:rPr>
      </w:pPr>
    </w:p>
    <w:p>
      <w:pPr>
        <w:ind w:left="1660" w:hanging="416"/>
        <w:spacing w:after="0"/>
        <w:tabs>
          <w:tab w:leader="none" w:pos="16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leases and Synthetic Lease Obligations;</w:t>
      </w:r>
    </w:p>
    <w:p>
      <w:pPr>
        <w:spacing w:after="0" w:line="210"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2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accrued and unpaid dividends; and</w:t>
      </w:r>
    </w:p>
    <w:p>
      <w:pPr>
        <w:spacing w:after="0" w:line="167"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Guarantees of such Person in respect of any of the foregoing.</w:t>
      </w:r>
    </w:p>
    <w:p>
      <w:pPr>
        <w:spacing w:after="0" w:line="211"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7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Taxes</w:t>
      </w:r>
      <w:r>
        <w:rPr>
          <w:rFonts w:ascii="Times New Roman" w:cs="Times New Roman" w:eastAsia="Times New Roman" w:hAnsi="Times New Roman"/>
          <w:sz w:val="21"/>
          <w:szCs w:val="21"/>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Indemnitees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10.04(b)</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Indemnity Agreement</w:t>
      </w:r>
      <w:r>
        <w:rPr>
          <w:rFonts w:ascii="Times New Roman" w:cs="Times New Roman" w:eastAsia="Times New Roman" w:hAnsi="Times New Roman"/>
          <w:sz w:val="21"/>
          <w:szCs w:val="21"/>
          <w:color w:val="auto"/>
        </w:rPr>
        <w:t>” means (i) that certain General Agreement of Indemnity dated as of August 19, 2010 by and among Travelers Casualty and Surety Company of America, the Company and certain Subsidiaries thereof, (ii) that certain General Agreement of Indemnity dated as of July 31, 2008 by and among Travelers Casualty and Surety Company of America, the Company and certain Subsidiaries thereof or (iii) any additional or replacement General Agreement of Indemnity or other indemnity agreement by and among the Company or any of its Restricted Subsidiaries and the applicable Surety containing terms satisfactory to the Administrative Agent in the reasonable discretion of the Administrative Agent, as amended or modified from time to time in accordance with the terms hereof and thereof.</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10.07</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Intercreditor Agreement</w:t>
      </w:r>
      <w:r>
        <w:rPr>
          <w:rFonts w:ascii="Times New Roman" w:cs="Times New Roman" w:eastAsia="Times New Roman" w:hAnsi="Times New Roman"/>
          <w:sz w:val="21"/>
          <w:szCs w:val="21"/>
          <w:color w:val="auto"/>
        </w:rPr>
        <w:t>” means (i) that certain Intercreditor Collateral Agreement dated as of January 5, 2010 by and between Travelers Casualty and Surety Company of America and the Administrative Agent, on behalf of the Lenders, as amended by that certain First Amendment to Intercreditor and Collateral Agreement dated as of August 18, 2011 and as further amended, restated,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78" w:name="page79"/>
    <w:bookmarkEnd w:id="78"/>
    <w:p>
      <w:pPr>
        <w:jc w:val="both"/>
        <w:spacing w:after="0" w:line="252" w:lineRule="auto"/>
        <w:rPr>
          <w:sz w:val="20"/>
          <w:szCs w:val="20"/>
          <w:color w:val="auto"/>
        </w:rPr>
      </w:pPr>
      <w:r>
        <w:rPr>
          <w:rFonts w:ascii="Times New Roman" w:cs="Times New Roman" w:eastAsia="Times New Roman" w:hAnsi="Times New Roman"/>
          <w:sz w:val="21"/>
          <w:szCs w:val="21"/>
          <w:color w:val="auto"/>
        </w:rPr>
        <w:t>supplemented or otherwise modified from time to time in accordance with the terms hereof and thereof or (ii) any additional or replacement intercreditor agreement between the Administrative Agent and any Surety containing terms satisfactory to the Administrative Agent in its reasonable discretion, as amended or modified from time to time in accordance with the terms hereof and thereof.</w:t>
      </w:r>
    </w:p>
    <w:p>
      <w:pPr>
        <w:spacing w:after="0" w:line="174"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xml:space="preserve">” means, (a) as to any Eurocurrency Rate Loan, the last day of each Interest Period applicable to such Loan and the Maturity Date of the Facility under which such Loan was made;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Interest Period for a Eurocurrency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 of the Facility under which such Loan was made.</w:t>
      </w:r>
    </w:p>
    <w:p>
      <w:pPr>
        <w:spacing w:after="0" w:line="176"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as to each Eurocurrency Rate Loan, the period commencing on the date such Eurocurrency Rate Loan is disbursed or converted to or continued as a Eurocurrency Rate Loan and ending (i) in the case of Eurocurrency Rate Loans denominated in Dollars or Canadian Dollars, on the date that is one, two, three or six months thereafter, as selected by the Company in its Loan Notice or such other period that is twelve months or less requested by the Company and consented to by all the applicable Lenders and (ii) in the case of Eurocurrency Rate Loans denominated in Mexican Pesos, on the date that is 28, 91 or 182 days thereafter, as selected by the Company in its Loan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76" w:lineRule="exact"/>
        <w:rPr>
          <w:sz w:val="20"/>
          <w:szCs w:val="20"/>
          <w:color w:val="auto"/>
        </w:rPr>
      </w:pPr>
    </w:p>
    <w:p>
      <w:pPr>
        <w:jc w:val="both"/>
        <w:ind w:left="620" w:firstLine="624"/>
        <w:spacing w:after="0" w:line="257" w:lineRule="auto"/>
        <w:tabs>
          <w:tab w:leader="none" w:pos="175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93"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7" w:lineRule="exact"/>
        <w:rPr>
          <w:rFonts w:ascii="Times New Roman" w:cs="Times New Roman" w:eastAsia="Times New Roman" w:hAnsi="Times New Roman"/>
          <w:sz w:val="21"/>
          <w:szCs w:val="21"/>
          <w:color w:val="auto"/>
        </w:rPr>
      </w:pPr>
    </w:p>
    <w:p>
      <w:pPr>
        <w:ind w:left="1760" w:hanging="516"/>
        <w:spacing w:after="0"/>
        <w:tabs>
          <w:tab w:leader="none" w:pos="176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Interest Period shall extend beyond the Maturity Date of the Facility under which such Loan was made.</w:t>
      </w:r>
    </w:p>
    <w:p>
      <w:pPr>
        <w:spacing w:after="0" w:line="211"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 means, as to any Person, any direct or indirect acquisition or investment by such Person, whether by means of (a) the purchase or other acquisition of Equity Interests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79" w:name="page80"/>
    <w:bookmarkEnd w:id="79"/>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IP Rights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5.18</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ISP</w:t>
      </w:r>
      <w:r>
        <w:rPr>
          <w:rFonts w:ascii="Times New Roman" w:cs="Times New Roman" w:eastAsia="Times New Roman" w:hAnsi="Times New Roman"/>
          <w:sz w:val="21"/>
          <w:szCs w:val="21"/>
          <w:color w:val="auto"/>
        </w:rPr>
        <w:t>” means the International Standby Practices International Chamber of Commerce Publication No. 590 (or such later version thereof as may be in effect at the applicable time).</w:t>
      </w:r>
    </w:p>
    <w:p>
      <w:pPr>
        <w:spacing w:after="0" w:line="154"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Issuer Documents</w:t>
      </w:r>
      <w:r>
        <w:rPr>
          <w:rFonts w:ascii="Times New Roman" w:cs="Times New Roman" w:eastAsia="Times New Roman" w:hAnsi="Times New Roman"/>
          <w:sz w:val="21"/>
          <w:szCs w:val="21"/>
          <w:color w:val="auto"/>
        </w:rPr>
        <w:t>” means (i) with respect to any Letter of Credit or Acceptance Credit, the Letter of Credit Application, and any other document, agreement and instrument entered into by the L/C Issuer and the Company (or any Subsidiary) or in favor of the L/C Issuer and relating to such Letter of Credit or Acceptance Credit, and (ii) with respect to any Clean BA, the Bankers’ Acceptance Request made by the Company to the L/C Issuer relating to such Clean BA.</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JPM</w:t>
      </w:r>
      <w:r>
        <w:rPr>
          <w:rFonts w:ascii="Times New Roman" w:cs="Times New Roman" w:eastAsia="Times New Roman" w:hAnsi="Times New Roman"/>
          <w:sz w:val="21"/>
          <w:szCs w:val="21"/>
          <w:color w:val="auto"/>
        </w:rPr>
        <w:t>” means JPMorgan Chase Bank, N.A. and its successors.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10.19</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Laws</w:t>
      </w:r>
      <w:r>
        <w:rPr>
          <w:rFonts w:ascii="Times New Roman" w:cs="Times New Roman" w:eastAsia="Times New Roman" w:hAnsi="Times New Roman"/>
          <w:sz w:val="21"/>
          <w:szCs w:val="21"/>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Advance</w:t>
      </w:r>
      <w:r>
        <w:rPr>
          <w:rFonts w:ascii="Times New Roman" w:cs="Times New Roman" w:eastAsia="Times New Roman" w:hAnsi="Times New Roman"/>
          <w:sz w:val="21"/>
          <w:szCs w:val="21"/>
          <w:color w:val="auto"/>
        </w:rPr>
        <w:t>” means, with respect to each Committed (USD) Lender, such Lender’s funding of its participation in any L/C Borrowing in accordance with its Applicable (USD) Percentage. All L/C Advances shall be denominated in Dollars.</w:t>
      </w:r>
    </w:p>
    <w:p>
      <w:pPr>
        <w:spacing w:after="0" w:line="15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Borrowing</w:t>
      </w:r>
      <w:r>
        <w:rPr>
          <w:rFonts w:ascii="Times New Roman" w:cs="Times New Roman" w:eastAsia="Times New Roman" w:hAnsi="Times New Roman"/>
          <w:sz w:val="21"/>
          <w:szCs w:val="21"/>
          <w:color w:val="auto"/>
        </w:rPr>
        <w:t>” means an extension of credit resulting from (i) a drawing under any Letter of Credit (other than an Acceptance Credit) or (ii) a payment of a Bankers’ Acceptance upon presentation, in each case which has not been reimbursed on the date when made or refinanced as a Committed (USD) Borrowing. All L/C Borrowings shall be denominated in Dollars.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Credit Extension</w:t>
      </w:r>
      <w:r>
        <w:rPr>
          <w:rFonts w:ascii="Times New Roman" w:cs="Times New Roman" w:eastAsia="Times New Roman" w:hAnsi="Times New Roman"/>
          <w:sz w:val="21"/>
          <w:szCs w:val="21"/>
          <w:color w:val="auto"/>
        </w:rPr>
        <w:t>” means, with respect to any Letter of Credit or Bankers’ Acceptance, the issuance thereof or extension of the expiry date thereof, or the increase of the amount thereof.</w:t>
      </w:r>
    </w:p>
    <w:p>
      <w:pPr>
        <w:spacing w:after="0" w:line="15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Issued BA</w:t>
      </w:r>
      <w:r>
        <w:rPr>
          <w:rFonts w:ascii="Times New Roman" w:cs="Times New Roman" w:eastAsia="Times New Roman" w:hAnsi="Times New Roman"/>
          <w:sz w:val="21"/>
          <w:szCs w:val="21"/>
          <w:color w:val="auto"/>
        </w:rPr>
        <w:t xml:space="preserve">” means a negotiable time draft, drawn by the beneficiary under an Acceptance Credit and accepted by the L/C Issuer under presentation of documents by the beneficiary of an Acceptance Credit pursuant to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in the standard form for bankers’ acceptances of the L/C Issuer.</w:t>
      </w:r>
    </w:p>
    <w:p>
      <w:pPr>
        <w:spacing w:after="0" w:line="167"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Issuer</w:t>
      </w:r>
      <w:r>
        <w:rPr>
          <w:rFonts w:ascii="Times New Roman" w:cs="Times New Roman" w:eastAsia="Times New Roman" w:hAnsi="Times New Roman"/>
          <w:sz w:val="21"/>
          <w:szCs w:val="21"/>
          <w:color w:val="auto"/>
        </w:rPr>
        <w:t xml:space="preserve">” means, individually or collectively as the context may indicate, (a) Bank of America in its capacity as issuer of Letters of Credit and Bankers’ Acceptances hereunder, or any successor to Bank of America in its capacity as an issuer of Letters of Credit and Bankers’ Acceptances hereunder and (b) any other Lender, selected by the Company in consultation with the Administrative Agent, which consents to its appointment by the Company as an issuer of Letters of Credit and Bankers’ Acceptances hereunder in its capacity as an issuer of Letters of Credit and Bankers’ Acceptances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no time shall there be more than three L/C Issuers without the consent of the Administrative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80" w:name="page81"/>
    <w:bookmarkEnd w:id="80"/>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Obligations</w:t>
      </w:r>
      <w:r>
        <w:rPr>
          <w:rFonts w:ascii="Times New Roman" w:cs="Times New Roman" w:eastAsia="Times New Roman" w:hAnsi="Times New Roman"/>
          <w:sz w:val="21"/>
          <w:szCs w:val="21"/>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sum of the maximum aggregate amount which is, or at any time thereafter may become, payable by the L/C Issuer under all then outstanding Bankers’ Acceptances,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1"/>
          <w:szCs w:val="21"/>
          <w:u w:val="single" w:color="auto"/>
          <w:color w:val="auto"/>
        </w:rPr>
        <w:t>Section 1.09</w:t>
      </w:r>
      <w:r>
        <w:rPr>
          <w:rFonts w:ascii="Times New Roman" w:cs="Times New Roman" w:eastAsia="Times New Roman" w:hAnsi="Times New Roman"/>
          <w:sz w:val="21"/>
          <w:szCs w:val="21"/>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has the meaning specified in the introductory paragraph hereto and, unless the context requires otherwise, includes the Swing Line Lender.</w:t>
      </w:r>
    </w:p>
    <w:p>
      <w:pPr>
        <w:spacing w:after="0" w:line="154"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Lending Office</w:t>
      </w:r>
      <w:r>
        <w:rPr>
          <w:rFonts w:ascii="Times New Roman" w:cs="Times New Roman" w:eastAsia="Times New Roman" w:hAnsi="Times New Roman"/>
          <w:sz w:val="21"/>
          <w:szCs w:val="21"/>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7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means any letter of credit issued hereunder and shall include the Existing Letters of Credit. A Letter of Credit may be a commercial letter of credit (including an Acceptance Credit) or a standby letter of credit. Letters of Credit may be issued in Dollars or in an Alternative Currency.</w:t>
      </w:r>
    </w:p>
    <w:p>
      <w:pPr>
        <w:spacing w:after="0" w:line="16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Application</w:t>
      </w:r>
      <w:r>
        <w:rPr>
          <w:rFonts w:ascii="Times New Roman" w:cs="Times New Roman" w:eastAsia="Times New Roman" w:hAnsi="Times New Roman"/>
          <w:sz w:val="21"/>
          <w:szCs w:val="21"/>
          <w:color w:val="auto"/>
        </w:rPr>
        <w:t>” means an application and agreement for the issuance or amendment of a Letter of Credit in the form from time to time in use by the L/C Issuer and, in the case of any Acceptance Credit, shall include the related Acceptance Documents.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Expiration Date</w:t>
      </w:r>
      <w:r>
        <w:rPr>
          <w:rFonts w:ascii="Times New Roman" w:cs="Times New Roman" w:eastAsia="Times New Roman" w:hAnsi="Times New Roman"/>
          <w:sz w:val="21"/>
          <w:szCs w:val="21"/>
          <w:color w:val="auto"/>
        </w:rPr>
        <w:t>” means the day that is seven days prior to the Maturity Date of the Committed (USD) Facility then in effect (or, if such day is not a Business Day, the next preceding Business Day).</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Fee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2.03(i)</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Sublimit</w:t>
      </w:r>
      <w:r>
        <w:rPr>
          <w:rFonts w:ascii="Times New Roman" w:cs="Times New Roman" w:eastAsia="Times New Roman" w:hAnsi="Times New Roman"/>
          <w:sz w:val="21"/>
          <w:szCs w:val="21"/>
          <w:color w:val="auto"/>
        </w:rPr>
        <w:t>” means an amount equal to the lesser of (a) $650,000,000, as such amount may be adjusted from time to time in accordance with this Agreement, and (b) the Aggregate (USD) Commitments. The Letter of Credit Sublimit is part of, and not in addition to, the Aggregate (USD) Commitments.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LIBOR</w:t>
      </w:r>
      <w:r>
        <w:rPr>
          <w:rFonts w:ascii="Times New Roman" w:cs="Times New Roman" w:eastAsia="Times New Roman" w:hAnsi="Times New Roman"/>
          <w:sz w:val="21"/>
          <w:szCs w:val="21"/>
          <w:color w:val="auto"/>
        </w:rPr>
        <w:t>” has the meaning specified in the definition of Eurocurrency Rate.</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LIBOR Quoted Currency</w:t>
      </w:r>
      <w:r>
        <w:rPr>
          <w:rFonts w:ascii="Times New Roman" w:cs="Times New Roman" w:eastAsia="Times New Roman" w:hAnsi="Times New Roman"/>
          <w:sz w:val="21"/>
          <w:szCs w:val="21"/>
          <w:color w:val="auto"/>
        </w:rPr>
        <w:t>” means each of the following currencies: Dollars; Euro; Sterling; Yen; and Swiss Franc; in each case as long as there is a published LIBOR rate with respect thereto.</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81" w:name="page82"/>
    <w:bookmarkEnd w:id="81"/>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LIBOR Screen Rate</w:t>
      </w:r>
      <w:r>
        <w:rPr>
          <w:rFonts w:ascii="Times New Roman" w:cs="Times New Roman" w:eastAsia="Times New Roman" w:hAnsi="Times New Roman"/>
          <w:sz w:val="21"/>
          <w:szCs w:val="21"/>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LIBOR Successor Rate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3.03(c)</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LIBOR Successor Rate Conforming Changes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3.03(c)</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4"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Limited Condition Transaction</w:t>
      </w:r>
      <w:r>
        <w:rPr>
          <w:rFonts w:ascii="Times New Roman" w:cs="Times New Roman" w:eastAsia="Times New Roman" w:hAnsi="Times New Roman"/>
          <w:sz w:val="21"/>
          <w:szCs w:val="21"/>
          <w:color w:val="auto"/>
        </w:rPr>
        <w:t xml:space="preserve">” means any Permitted Acquisition or other Investment permitted hereunder the consummation of which is not conditioned (under the applicable purchase agreement or other applicable agreement) on the availability of, or on obtaining, third-party financing (as notified by the Company to the Administrative Agent on or prior to the time at which the applicable Loan Party enters into such purchase agreement or other applicable agreement), which is financed in whole or in part with the proceeds of a substantially concurrent incurrence of Indebtedness under an Incremental Term Loan, Incremental Equivalent Indebtedness and/or Indebtedness under </w:t>
      </w:r>
      <w:r>
        <w:rPr>
          <w:rFonts w:ascii="Times New Roman" w:cs="Times New Roman" w:eastAsia="Times New Roman" w:hAnsi="Times New Roman"/>
          <w:sz w:val="21"/>
          <w:szCs w:val="21"/>
          <w:u w:val="single" w:color="auto"/>
          <w:color w:val="auto"/>
        </w:rPr>
        <w:t>Section 7.03(j)</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means a Committed Loan, a Swing Line Loan, a Term Loan, an Incremental Term Loan or a loan made under an Incremental Revolving Tranche.</w:t>
      </w:r>
    </w:p>
    <w:p>
      <w:pPr>
        <w:spacing w:after="0" w:line="154"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xml:space="preserve">” means this Agreement, each Note, the Collateral Documents, the Intercreditor Agreement, the Ratification Agreement, each Issuer Document, any agreement creating or perfecting rights in Cash Collateral pursuant to the provisions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of this Agreement, the Fee Letters, the Subsidiary Guaranty, each Subsidiary Guaranty Joinder Agreement and each Incremental Amendment and any amendments, modifications or supplements hereto or to any other Loan Document or waivers hereof or to any other Loan Document.</w:t>
      </w:r>
    </w:p>
    <w:p>
      <w:pPr>
        <w:spacing w:after="0" w:line="176"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Party EBITDA</w:t>
      </w:r>
      <w:r>
        <w:rPr>
          <w:rFonts w:ascii="Times New Roman" w:cs="Times New Roman" w:eastAsia="Times New Roman" w:hAnsi="Times New Roman"/>
          <w:sz w:val="21"/>
          <w:szCs w:val="21"/>
          <w:color w:val="auto"/>
        </w:rPr>
        <w:t>” means, for any period, the consolidated EBITDA (measured (i) on the same basis as “Consolidated EBITDA” but only for those entities that constituting Loan Parties and only on the basis of their own operations and not those of their Subsidiaries and (ii) after allocating corporate expenses to all Subsidiaries of the Company on a pro rata basis) of all entities that constituted Loan Parties at all times during such period.</w:t>
      </w:r>
    </w:p>
    <w:p>
      <w:pPr>
        <w:spacing w:after="0" w:line="213"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Notice</w:t>
      </w:r>
      <w:r>
        <w:rPr>
          <w:rFonts w:ascii="Times New Roman" w:cs="Times New Roman" w:eastAsia="Times New Roman" w:hAnsi="Times New Roman"/>
          <w:sz w:val="21"/>
          <w:szCs w:val="21"/>
          <w:color w:val="auto"/>
        </w:rPr>
        <w:t xml:space="preserve">” means a notice of (a) a Term Loan Borrowing, (b) a Committed (MC) Borrowing, (c) a Committed (USD) Borrowing, (d) a conversion of Loans from one Type to the other, or (e) a continuation of Eurocurrency Rate Loans,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2.02(a)</w:t>
      </w:r>
      <w:r>
        <w:rPr>
          <w:rFonts w:ascii="Times New Roman" w:cs="Times New Roman" w:eastAsia="Times New Roman" w:hAnsi="Times New Roman"/>
          <w:sz w:val="21"/>
          <w:szCs w:val="21"/>
          <w:color w:val="auto"/>
        </w:rPr>
        <w:t xml:space="preserve">, which, if in writing, shall be substantially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or such other form as may be approved by the Administrative Agent (including any reasonable and customary form on an electronic platform or electronic transmission system as shall be approved by the Administrative Agent) and as to which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82" w:name="page83"/>
    <w:bookmarkEnd w:id="82"/>
    <w:p>
      <w:pPr>
        <w:jc w:val="both"/>
        <w:spacing w:after="0" w:line="270" w:lineRule="auto"/>
        <w:rPr>
          <w:sz w:val="20"/>
          <w:szCs w:val="20"/>
          <w:color w:val="auto"/>
        </w:rPr>
      </w:pPr>
      <w:r>
        <w:rPr>
          <w:rFonts w:ascii="Times New Roman" w:cs="Times New Roman" w:eastAsia="Times New Roman" w:hAnsi="Times New Roman"/>
          <w:sz w:val="21"/>
          <w:szCs w:val="21"/>
          <w:color w:val="auto"/>
        </w:rPr>
        <w:t>the Company shall have previously been informed in writing, appropriately completed and signed by a Responsible Officer of the Company.</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Parties</w:t>
      </w:r>
      <w:r>
        <w:rPr>
          <w:rFonts w:ascii="Times New Roman" w:cs="Times New Roman" w:eastAsia="Times New Roman" w:hAnsi="Times New Roman"/>
          <w:sz w:val="21"/>
          <w:szCs w:val="21"/>
          <w:color w:val="auto"/>
        </w:rPr>
        <w:t>” means, collectively, the Company, each other Borrower and each Subsidiary Guarantor.</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London Banking Day</w:t>
      </w:r>
      <w:r>
        <w:rPr>
          <w:rFonts w:ascii="Times New Roman" w:cs="Times New Roman" w:eastAsia="Times New Roman" w:hAnsi="Times New Roman"/>
          <w:sz w:val="21"/>
          <w:szCs w:val="21"/>
          <w:color w:val="auto"/>
        </w:rPr>
        <w:t>” means any day on which dealings in Dollar deposits are conducted by and between banks in the London interbank eurodollar market.</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Luxco</w:t>
      </w:r>
      <w:r>
        <w:rPr>
          <w:rFonts w:ascii="Times New Roman" w:cs="Times New Roman" w:eastAsia="Times New Roman" w:hAnsi="Times New Roman"/>
          <w:sz w:val="21"/>
          <w:szCs w:val="21"/>
          <w:color w:val="auto"/>
        </w:rPr>
        <w:t>” has the meaning specified in the definition of Foreign Finance Company Plan.</w:t>
      </w:r>
    </w:p>
    <w:p>
      <w:pPr>
        <w:spacing w:after="0" w:line="211"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(a) a material adverse change in, or a material adverse effect upon, the operations, business, properties, liabilities (actual or contingent) or condition (financial or otherwise) of the Company and its Restricted Subsidiaries taken as a whole or the Loan Parties taken as a whole; (b) a material impairment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76"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Contract</w:t>
      </w:r>
      <w:r>
        <w:rPr>
          <w:rFonts w:ascii="Times New Roman" w:cs="Times New Roman" w:eastAsia="Times New Roman" w:hAnsi="Times New Roman"/>
          <w:sz w:val="21"/>
          <w:szCs w:val="21"/>
          <w:color w:val="auto"/>
        </w:rPr>
        <w:t>” means, with respect to any Person, an agreement to which such Person is a party (other than the Loan Documents) (a) which is deemed to be a material contract as provided in Regulation S-K promulgated by the SEC under the Securities Act of 1933 or (b) for which breach, termination, cancellation, nonperformance or failure to renew could reasonably be expected to have a Material Adverse Effect.</w:t>
      </w:r>
    </w:p>
    <w:p>
      <w:pPr>
        <w:spacing w:after="0" w:line="17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Real Property</w:t>
      </w:r>
      <w:r>
        <w:rPr>
          <w:rFonts w:ascii="Times New Roman" w:cs="Times New Roman" w:eastAsia="Times New Roman" w:hAnsi="Times New Roman"/>
          <w:sz w:val="21"/>
          <w:szCs w:val="21"/>
          <w:color w:val="auto"/>
        </w:rPr>
        <w:t>” means any parcel of real property owned in fee by a Loan Party with a fair market value in excess of $5,000,000.</w:t>
      </w:r>
    </w:p>
    <w:p>
      <w:pPr>
        <w:spacing w:after="0" w:line="154"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Subsidiary</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6.12(g)</w:t>
      </w:r>
      <w:r>
        <w:rPr>
          <w:rFonts w:ascii="Times New Roman" w:cs="Times New Roman" w:eastAsia="Times New Roman" w:hAnsi="Times New Roman"/>
          <w:sz w:val="21"/>
          <w:szCs w:val="21"/>
          <w:color w:val="auto"/>
        </w:rPr>
        <w:t xml:space="preserve">, any Domestic Subsidiary that, or each Domestic Subsidiary that together with its Subsidiaries on a consolidated basis, contributed 15% or more of the consolidated EBITDA of the Company and all Subsidiaries (measured on the same basis as “Consolidated EBITDA” provided herein) for the most recently ended period of four consecutive fiscal quarters of the Company with respect to which the Administrative Agent shall have received financial statements required to be delivered pursuant to </w:t>
      </w:r>
      <w:r>
        <w:rPr>
          <w:rFonts w:ascii="Times New Roman" w:cs="Times New Roman" w:eastAsia="Times New Roman" w:hAnsi="Times New Roman"/>
          <w:sz w:val="21"/>
          <w:szCs w:val="21"/>
          <w:u w:val="single" w:color="auto"/>
          <w:color w:val="auto"/>
        </w:rPr>
        <w:t>Sections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means (a) with respect to the Term Loan Facility, September 19, 2024, (b) with respect to the Committed (USD) Facility, September 19, 2024 and (c) with respect to the Committed (MC) Facility, September 19, 2024.</w:t>
      </w:r>
    </w:p>
    <w:p>
      <w:pPr>
        <w:spacing w:after="0" w:line="154"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MC Commitment</w:t>
      </w:r>
      <w:r>
        <w:rPr>
          <w:rFonts w:ascii="Times New Roman" w:cs="Times New Roman" w:eastAsia="Times New Roman" w:hAnsi="Times New Roman"/>
          <w:sz w:val="21"/>
          <w:szCs w:val="21"/>
          <w:color w:val="auto"/>
        </w:rPr>
        <w:t xml:space="preserve">” means, as to each Lender, its obligation to make Committed (MC) Loans to the Borrowers pursuant to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in an aggregate principal amount at any one time outstanding not to exceed the Dollar amount set forth opposite such Lender’s name on </w:t>
      </w:r>
      <w:r>
        <w:rPr>
          <w:rFonts w:ascii="Times New Roman" w:cs="Times New Roman" w:eastAsia="Times New Roman" w:hAnsi="Times New Roman"/>
          <w:sz w:val="21"/>
          <w:szCs w:val="21"/>
          <w:u w:val="single" w:color="auto"/>
          <w:color w:val="auto"/>
        </w:rPr>
        <w:t>Annex II</w:t>
      </w:r>
      <w:r>
        <w:rPr>
          <w:rFonts w:ascii="Times New Roman" w:cs="Times New Roman" w:eastAsia="Times New Roman" w:hAnsi="Times New Roman"/>
          <w:sz w:val="21"/>
          <w:szCs w:val="21"/>
          <w:color w:val="auto"/>
        </w:rPr>
        <w:t xml:space="preserve"> under the caption “MC Commitment” or opposite such caption in the Assignment and Assumption pursuant to which such Lender becomes a party hereto, as applicable, as such amount may be adjusted from time to time in accordance with this Agreement.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Mexican Pesos</w:t>
      </w:r>
      <w:r>
        <w:rPr>
          <w:rFonts w:ascii="Times New Roman" w:cs="Times New Roman" w:eastAsia="Times New Roman" w:hAnsi="Times New Roman"/>
          <w:sz w:val="21"/>
          <w:szCs w:val="21"/>
          <w:color w:val="auto"/>
        </w:rPr>
        <w:t>” means the lawful currency of the United Mexican States (Mexico).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83" w:name="page84"/>
    <w:bookmarkEnd w:id="83"/>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Mortgages</w:t>
      </w:r>
      <w:r>
        <w:rPr>
          <w:rFonts w:ascii="Times New Roman" w:cs="Times New Roman" w:eastAsia="Times New Roman" w:hAnsi="Times New Roman"/>
          <w:sz w:val="21"/>
          <w:szCs w:val="21"/>
          <w:color w:val="auto"/>
        </w:rPr>
        <w:t>” means any mortgage, deed of trust, trust deed or other equivalent document now or hereafter encumbering any fee-owned real property of any Loan Party in favor of the Administrative Agent, on behalf of the Secured Parties, as security for any of the Obligations, each of which shall be in form and substance reasonably satisfactory to the Administrative Agent and the Company.</w:t>
      </w:r>
    </w:p>
    <w:p>
      <w:pPr>
        <w:spacing w:after="0" w:line="16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Multiple Employer Plan</w:t>
      </w:r>
      <w:r>
        <w:rPr>
          <w:rFonts w:ascii="Times New Roman" w:cs="Times New Roman" w:eastAsia="Times New Roman" w:hAnsi="Times New Roman"/>
          <w:sz w:val="21"/>
          <w:szCs w:val="21"/>
          <w:color w:val="auto"/>
        </w:rPr>
        <w:t>” means a Plan which has two or more contributing sponsors (including the Company or any ERISA Affiliate) at least two of whom are not under common control, as such a plan is described in Section 4064 of ERISA.</w:t>
      </w:r>
    </w:p>
    <w:p>
      <w:pPr>
        <w:spacing w:after="0" w:line="15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means, with respect to any Prepayment Event, the excess, if any, of (a) the sum of cash and Cash Equivalents received in connection with such transaction (including any cash or Cash Equivalents received by way of deferred payment pursuant to, or by monetization of, a note receivable or otherwise, but only as and when so received) over (b) the sum of (i) the principal amount of, and premium or penalty, if any, interest and other amounts on any Indebtedness for borrowed money that is secured by the applicable asset and that is required to be repaid in connection with such transaction (other than Indebtedness under the Loan Documents), (ii) expenses incurred or reasonably expected to be incurred by the Company or any Restricted Subsidiary in connection with such transaction, (iii) taxes paid or reasonably estimated to be actually payable in connection with the relevant transaction and (iv) the amount of any reserve established in accordance with GAAP against any liabilities (other than taxes deducted pursuant to subclause</w:t>
      </w:r>
    </w:p>
    <w:p>
      <w:pPr>
        <w:jc w:val="both"/>
        <w:ind w:firstLine="3"/>
        <w:spacing w:after="0" w:line="246" w:lineRule="auto"/>
        <w:tabs>
          <w:tab w:leader="none" w:pos="4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above) associated with the assets that are the subject of such Prepayment Event;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subsequent reduction of such reserve (other than in connection with a payment in respect of such liability) shall constitute Net Cash Proceeds of a Prepayment Event occurring on the date of such reduction.</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Non-Defaulting Lender</w:t>
      </w:r>
      <w:r>
        <w:rPr>
          <w:rFonts w:ascii="Times New Roman" w:cs="Times New Roman" w:eastAsia="Times New Roman" w:hAnsi="Times New Roman"/>
          <w:sz w:val="21"/>
          <w:szCs w:val="21"/>
          <w:color w:val="auto"/>
        </w:rPr>
        <w:t>” means, at any time, any Lender that is not a Defaulting Lender at such time.</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Non-LIBOR Quoted Currency</w:t>
      </w:r>
      <w:r>
        <w:rPr>
          <w:rFonts w:ascii="Times New Roman" w:cs="Times New Roman" w:eastAsia="Times New Roman" w:hAnsi="Times New Roman"/>
          <w:sz w:val="21"/>
          <w:szCs w:val="21"/>
          <w:color w:val="auto"/>
        </w:rPr>
        <w:t>” means any currency other than a LIBOR Quoted Currency.</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xml:space="preserve">” means a promissory note made by a Borrower in favor of a Lender evidencing Loans made by such Lender to such Borrower, substantially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Notice of Loan Prepayment</w:t>
      </w:r>
      <w:r>
        <w:rPr>
          <w:rFonts w:ascii="Times New Roman" w:cs="Times New Roman" w:eastAsia="Times New Roman" w:hAnsi="Times New Roman"/>
          <w:sz w:val="21"/>
          <w:szCs w:val="21"/>
          <w:color w:val="auto"/>
        </w:rPr>
        <w:t xml:space="preserve">” means a notice of prepayment with respect to a Eurocurrency Rate Loan, which shall be substantially in the form of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 xml:space="preserve"> or such other form as may be approved by the Administrative Agent (including any reasonable or customary form on an electronic platform or electronic transmission system as shall be approved by the Administrative Agent), and as to which the Company shall have been previously informed in writing, appropriately completed and signed by a Responsible Officer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84" w:name="page85"/>
    <w:bookmarkEnd w:id="84"/>
    <w:p>
      <w:pPr>
        <w:jc w:val="both"/>
        <w:ind w:firstLine="62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all advances to, and debts, liabilities, obligations, covenants and duties of, any Loan Party arising under any Loan Document or otherwise with respect to any Loan, Letter of Credit, Bankers’ Acceptances, Secured Cash Management Agreement, Secured Hedge Agreement or Secured Permitted Standalone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“Obligations” of a Guarantor shall exclude any Excluded Swap Obligations with respect to such Guarantor.</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means the Office of Foreign Assets Control of the United States Department of the Treasury.</w:t>
      </w:r>
    </w:p>
    <w:p>
      <w:pPr>
        <w:spacing w:after="0" w:line="211"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Organization Documents</w:t>
      </w:r>
      <w:r>
        <w:rPr>
          <w:rFonts w:ascii="Times New Roman" w:cs="Times New Roman" w:eastAsia="Times New Roman" w:hAnsi="Times New Roman"/>
          <w:sz w:val="21"/>
          <w:szCs w:val="21"/>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Connection Taxes</w:t>
      </w:r>
      <w:r>
        <w:rPr>
          <w:rFonts w:ascii="Times New Roman" w:cs="Times New Roman" w:eastAsia="Times New Roman" w:hAnsi="Times New Roman"/>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 other than Excluded Taxes.</w:t>
      </w:r>
    </w:p>
    <w:p>
      <w:pPr>
        <w:spacing w:after="0" w:line="167"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Outstanding Amount</w:t>
      </w:r>
      <w:r>
        <w:rPr>
          <w:rFonts w:ascii="Times New Roman" w:cs="Times New Roman" w:eastAsia="Times New Roman" w:hAnsi="Times New Roman"/>
          <w:sz w:val="21"/>
          <w:szCs w:val="21"/>
          <w:color w:val="auto"/>
        </w:rPr>
        <w:t>” means (i) with respect to Committed Loans or Term Loans on any date, the Dollar Equivalent amount of the aggregate outstanding principal amount thereof after giving effect to any borrowings and prepayments or repayments of such Committed Loans or Term Loans, as the case may be, occurring on such date; (ii) with respect to Swing Line Loans on any date, the aggregate outstanding principal amount thereof after giving effect to any borrowings and prepayments or repayments of such Swing Line Loans occurring on such date; and (iii)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85" w:name="page86"/>
    <w:bookmarkEnd w:id="85"/>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Overnight Rate</w:t>
      </w:r>
      <w:r>
        <w:rPr>
          <w:rFonts w:ascii="Times New Roman" w:cs="Times New Roman" w:eastAsia="Times New Roman" w:hAnsi="Times New Roman"/>
          <w:sz w:val="21"/>
          <w:szCs w:val="21"/>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the rate of interest per annum at which overnight deposits in such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10.06(d)</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10.06(d)</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Participating Member States</w:t>
      </w:r>
      <w:r>
        <w:rPr>
          <w:rFonts w:ascii="Times New Roman" w:cs="Times New Roman" w:eastAsia="Times New Roman" w:hAnsi="Times New Roman"/>
          <w:sz w:val="21"/>
          <w:szCs w:val="21"/>
          <w:color w:val="auto"/>
          <w:highlight w:val="white"/>
        </w:rPr>
        <w:t>” means any member state of the European Union that has the Euro as its lawful currency in</w:t>
      </w:r>
      <w:r>
        <w:rPr>
          <w:rFonts w:ascii="Times New Roman" w:cs="Times New Roman" w:eastAsia="Times New Roman" w:hAnsi="Times New Roman"/>
          <w:sz w:val="21"/>
          <w:szCs w:val="21"/>
          <w:color w:val="auto"/>
        </w:rPr>
        <w:t xml:space="preserve"> accordance with legislation of the European Union relating to Economic and Monetary Union.</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PBGC</w:t>
      </w:r>
      <w:r>
        <w:rPr>
          <w:rFonts w:ascii="Times New Roman" w:cs="Times New Roman" w:eastAsia="Times New Roman" w:hAnsi="Times New Roman"/>
          <w:sz w:val="21"/>
          <w:szCs w:val="21"/>
          <w:color w:val="auto"/>
        </w:rPr>
        <w:t>” means the Pension Benefit Guaranty Corporation.</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Act</w:t>
      </w:r>
      <w:r>
        <w:rPr>
          <w:rFonts w:ascii="Times New Roman" w:cs="Times New Roman" w:eastAsia="Times New Roman" w:hAnsi="Times New Roman"/>
          <w:sz w:val="21"/>
          <w:szCs w:val="21"/>
          <w:color w:val="auto"/>
        </w:rPr>
        <w:t>” means the Pension Protection Act of 2006.</w:t>
      </w:r>
    </w:p>
    <w:p>
      <w:pPr>
        <w:spacing w:after="0" w:line="211"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Funding Rules</w:t>
      </w:r>
      <w:r>
        <w:rPr>
          <w:rFonts w:ascii="Times New Roman" w:cs="Times New Roman" w:eastAsia="Times New Roman" w:hAnsi="Times New Roman"/>
          <w:sz w:val="21"/>
          <w:szCs w:val="21"/>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7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Plan</w:t>
      </w:r>
      <w:r>
        <w:rPr>
          <w:rFonts w:ascii="Times New Roman" w:cs="Times New Roman" w:eastAsia="Times New Roman" w:hAnsi="Times New Roman"/>
          <w:sz w:val="21"/>
          <w:szCs w:val="21"/>
          <w:color w:val="auto"/>
        </w:rPr>
        <w:t>” 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Acquisition</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any Acquisition by the Company or any Restricted Subsidiary as to which the following conditions are satisfied:</w:t>
      </w:r>
    </w:p>
    <w:p>
      <w:pPr>
        <w:spacing w:after="0" w:line="154" w:lineRule="exact"/>
        <w:rPr>
          <w:sz w:val="20"/>
          <w:szCs w:val="20"/>
          <w:color w:val="auto"/>
        </w:rPr>
      </w:pPr>
    </w:p>
    <w:p>
      <w:pPr>
        <w:ind w:left="620" w:firstLine="624"/>
        <w:spacing w:after="0" w:line="270" w:lineRule="auto"/>
        <w:tabs>
          <w:tab w:leader="none" w:pos="168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before and immediately after giving pro forma effect to any such Acquisition (including any assumption or incurrence of Indebtedness in connection therewith), no Default shall have occurred and be continuing;</w:t>
      </w:r>
    </w:p>
    <w:p>
      <w:pPr>
        <w:spacing w:after="0" w:line="154" w:lineRule="exact"/>
        <w:rPr>
          <w:rFonts w:ascii="Times New Roman" w:cs="Times New Roman" w:eastAsia="Times New Roman" w:hAnsi="Times New Roman"/>
          <w:sz w:val="21"/>
          <w:szCs w:val="21"/>
          <w:color w:val="auto"/>
        </w:rPr>
      </w:pPr>
    </w:p>
    <w:p>
      <w:pPr>
        <w:jc w:val="both"/>
        <w:ind w:left="620" w:firstLine="624"/>
        <w:spacing w:after="0" w:line="248" w:lineRule="auto"/>
        <w:tabs>
          <w:tab w:leader="none" w:pos="1863"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total cash and noncash consideration (including the fair market value of all Equity Interests issued or transferred to the sellers thereof, the aggregate amounts paid or to be paid under noncompete, consulting and other affiliated agreements with, the sellers thereof, all write-downs of property and reserves for liabilities with respect thereto and all assumptions of debt, liabilities and other obligations in connection therewith, but excluding all indemnities, earnouts and other contingent payment obligations (based on projected earnings) to the sellers thereof) paid by or on behalf of the Company and its Restricted Subsidiaries for any such Acquisition or series of related transactions is equal to or greater than $100,000,000 (each a “</w:t>
      </w:r>
      <w:r>
        <w:rPr>
          <w:rFonts w:ascii="Times New Roman" w:cs="Times New Roman" w:eastAsia="Times New Roman" w:hAnsi="Times New Roman"/>
          <w:sz w:val="21"/>
          <w:szCs w:val="21"/>
          <w:u w:val="single" w:color="auto"/>
          <w:color w:val="auto"/>
        </w:rPr>
        <w:t>Material Acquisition</w:t>
      </w:r>
      <w:r>
        <w:rPr>
          <w:rFonts w:ascii="Times New Roman" w:cs="Times New Roman" w:eastAsia="Times New Roman" w:hAnsi="Times New Roman"/>
          <w:sz w:val="21"/>
          <w:szCs w:val="21"/>
          <w:color w:val="auto"/>
        </w:rPr>
        <w:t>”), then immediately after giving effect 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86" w:name="page87"/>
    <w:bookmarkEnd w:id="86"/>
    <w:p>
      <w:pPr>
        <w:jc w:val="both"/>
        <w:ind w:left="620"/>
        <w:spacing w:after="0" w:line="257" w:lineRule="auto"/>
        <w:rPr>
          <w:sz w:val="20"/>
          <w:szCs w:val="20"/>
          <w:color w:val="auto"/>
        </w:rPr>
      </w:pPr>
      <w:r>
        <w:rPr>
          <w:rFonts w:ascii="Times New Roman" w:cs="Times New Roman" w:eastAsia="Times New Roman" w:hAnsi="Times New Roman"/>
          <w:sz w:val="21"/>
          <w:szCs w:val="21"/>
          <w:color w:val="auto"/>
        </w:rPr>
        <w:t xml:space="preserve">such Acquisition (including any assumption or incurrence of Indebtedness in connection therewith), (i) the Consolidated Leverage Ratio shall not exceed 3.25 to 1.00 (or during any Elevated Ratio Period, 3.75 to 1.00) calculated on a Pro Forma Basis pursuant to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and (ii) the Available Liquidity will not be less than $50,000,000;</w:t>
      </w:r>
    </w:p>
    <w:p>
      <w:pPr>
        <w:spacing w:after="0" w:line="167" w:lineRule="exact"/>
        <w:rPr>
          <w:sz w:val="20"/>
          <w:szCs w:val="20"/>
          <w:color w:val="auto"/>
        </w:rPr>
      </w:pPr>
    </w:p>
    <w:p>
      <w:pPr>
        <w:jc w:val="both"/>
        <w:ind w:left="620" w:firstLine="624"/>
        <w:spacing w:after="0" w:line="248" w:lineRule="auto"/>
        <w:tabs>
          <w:tab w:leader="none" w:pos="169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have determined whether any such newly-created or acquired Subsidiary is a Material Subsidiary (to be determined on the basis of the financial information most recently delivered to the Administrative Agent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as though such Acquisition had been consummated as of the first day of the fiscal period covered thereby), and any such newly-created or acquired Subsidiary that is a Material Subsidiary and any such Person owning the Equity Interests of such Subsidiary, shall comply with the requirements of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xml:space="preserve">, including, for the avoidance of doubt, the 80% Guaranty Threshold and, if applicable, the 70% Guaranty Threshold and the other provisions of </w:t>
      </w:r>
      <w:r>
        <w:rPr>
          <w:rFonts w:ascii="Times New Roman" w:cs="Times New Roman" w:eastAsia="Times New Roman" w:hAnsi="Times New Roman"/>
          <w:sz w:val="21"/>
          <w:szCs w:val="21"/>
          <w:u w:val="single" w:color="auto"/>
          <w:color w:val="auto"/>
        </w:rPr>
        <w:t>Section 6.12(e)</w:t>
      </w:r>
      <w:r>
        <w:rPr>
          <w:rFonts w:ascii="Times New Roman" w:cs="Times New Roman" w:eastAsia="Times New Roman" w:hAnsi="Times New Roman"/>
          <w:sz w:val="21"/>
          <w:szCs w:val="21"/>
          <w:color w:val="auto"/>
        </w:rPr>
        <w:t xml:space="preserve"> as if such Subsidiary became a Loan Party immediately upon such creation or acquisition;</w:t>
      </w:r>
    </w:p>
    <w:p>
      <w:pPr>
        <w:spacing w:after="0" w:line="178" w:lineRule="exact"/>
        <w:rPr>
          <w:rFonts w:ascii="Times New Roman" w:cs="Times New Roman" w:eastAsia="Times New Roman" w:hAnsi="Times New Roman"/>
          <w:sz w:val="21"/>
          <w:szCs w:val="21"/>
          <w:color w:val="auto"/>
        </w:rPr>
      </w:pPr>
    </w:p>
    <w:p>
      <w:pPr>
        <w:ind w:left="1740" w:hanging="496"/>
        <w:spacing w:after="0"/>
        <w:tabs>
          <w:tab w:leader="none" w:pos="17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Acquisition is not “hostile” or contested;</w:t>
      </w:r>
    </w:p>
    <w:p>
      <w:pPr>
        <w:spacing w:after="0" w:line="210"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88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made by the Loan Parties (including any newly-acquired or formed entities required to be Loan Parties) in any Loan Document shall be true and correct in all material respects at and as if made as of the date of such Acquisition (after giving pro forma effect thereto);</w:t>
      </w:r>
    </w:p>
    <w:p>
      <w:pPr>
        <w:spacing w:after="0" w:line="167" w:lineRule="exact"/>
        <w:rPr>
          <w:rFonts w:ascii="Times New Roman" w:cs="Times New Roman" w:eastAsia="Times New Roman" w:hAnsi="Times New Roman"/>
          <w:sz w:val="21"/>
          <w:szCs w:val="21"/>
          <w:color w:val="auto"/>
        </w:rPr>
      </w:pPr>
    </w:p>
    <w:p>
      <w:pPr>
        <w:ind w:left="620" w:firstLine="624"/>
        <w:spacing w:after="0" w:line="270" w:lineRule="auto"/>
        <w:tabs>
          <w:tab w:leader="none" w:pos="1767"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material lines of business of the Person to be (or the property of which is to be) so purchased or otherwise acquired shall be similar, related or incidental to one or more of the businesses of the Company and its Restricted Subsidiaries;</w:t>
      </w:r>
    </w:p>
    <w:p>
      <w:pPr>
        <w:spacing w:after="0" w:line="154" w:lineRule="exact"/>
        <w:rPr>
          <w:rFonts w:ascii="Times New Roman" w:cs="Times New Roman" w:eastAsia="Times New Roman" w:hAnsi="Times New Roman"/>
          <w:sz w:val="21"/>
          <w:szCs w:val="21"/>
          <w:color w:val="auto"/>
        </w:rPr>
      </w:pPr>
    </w:p>
    <w:p>
      <w:pPr>
        <w:jc w:val="both"/>
        <w:ind w:left="620" w:firstLine="624"/>
        <w:spacing w:after="0" w:line="248" w:lineRule="auto"/>
        <w:tabs>
          <w:tab w:leader="none" w:pos="17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Material Acquisition, the Company or such Restricted Subsidiary shall have delivered or caused to be delivered or otherwise made available to the Administrative Agent, not later than the closing date of such Acquisition, in each case to the extent already available to the Company or such Restricted Subsidiary, the results of any due diligence investigation of the target performed by or on behalf of the Company or such Restricted Subsidiary, any environmental assessment reports performed by or on behalf of the Company or such Restricted Subsidiary if any real property is to be acquired, copies of the Acquisition documents, and historical financial statements of the target since inception but no longer than the 3 previous years; and</w:t>
      </w:r>
    </w:p>
    <w:p>
      <w:pPr>
        <w:spacing w:after="0" w:line="178" w:lineRule="exact"/>
        <w:rPr>
          <w:rFonts w:ascii="Times New Roman" w:cs="Times New Roman" w:eastAsia="Times New Roman" w:hAnsi="Times New Roman"/>
          <w:sz w:val="21"/>
          <w:szCs w:val="21"/>
          <w:color w:val="auto"/>
        </w:rPr>
      </w:pPr>
    </w:p>
    <w:p>
      <w:pPr>
        <w:jc w:val="both"/>
        <w:ind w:left="620" w:firstLine="624"/>
        <w:spacing w:after="0" w:line="252" w:lineRule="auto"/>
        <w:tabs>
          <w:tab w:leader="none" w:pos="170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have delivered to the Administrative Agent a certificate of the Company signed by a Responsible Officer certifying to the Administrative Agent compliance with the conditions specified in clauses (a) through (f) above, together with all relevant financial information for the Person or assets to be acquired reasonably requested by the Administrative Agent prior to such </w:t>
      </w:r>
      <w:r>
        <w:rPr>
          <w:rFonts w:ascii="Times New Roman" w:cs="Times New Roman" w:eastAsia="Times New Roman" w:hAnsi="Times New Roman"/>
          <w:sz w:val="21"/>
          <w:szCs w:val="21"/>
          <w:color w:val="191919"/>
        </w:rPr>
        <w:t>Acquisition.</w:t>
      </w:r>
    </w:p>
    <w:p>
      <w:pPr>
        <w:spacing w:after="0" w:line="17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Receivables Transaction</w:t>
      </w:r>
      <w:r>
        <w:rPr>
          <w:rFonts w:ascii="Times New Roman" w:cs="Times New Roman" w:eastAsia="Times New Roman" w:hAnsi="Times New Roman"/>
          <w:sz w:val="21"/>
          <w:szCs w:val="21"/>
          <w:color w:val="auto"/>
        </w:rPr>
        <w:t xml:space="preserve">” means a trade or accounts receivable financing transaction (excluding for the avoidance of doubt any securitization transaction) whereby the Company and/or one or more of its Subsidiaries sells, assigns, conveys or otherwise transfers Receivables to or for the benefit of one or more third parties;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transaction 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20"/>
          <w:szCs w:val="20"/>
          <w:color w:val="auto"/>
        </w:rPr>
        <w:t>made non-recourse to the Company and its Subsidiaries (subject to customary indemnification and repurchase obligations, including, but not limited to, those based on a breach of obligations under the relevant receivables purchase agreement or the agreement underlying any Receivables, incorrect or misleading representations and warranties, Receivables failing to meet any eligibility criteria, any failure by an insurer of Receivables to honor claims, title defects, illegality, false misleading or incomplete information, exclusion of cover under any insurance in respect of any Receivables, dilution, third party claims, or Receivables becoming subject to any asserted defense, dispute, off-set or counterclaim) and otherwise on terms customary for comparable “non-recourse” or “limited recourse” receivables purchase transactions in the good faith judgment of the Company, (b) such transaction does not provide for the sale, transfer, disposition or pledge of, or otherwise create any interest in, any asset other than the Receivables, and (c) the aggregate amount of Receivables sold, assigned, conveyed or otherwise transferred in any fiscal quarter shall not exceed (i) with respect to Receivables owing from AT&amp;T Services Inc. and/or one or more of its Subsidiaries or affiliates, the greatest of (A) $500,000,000, (B) the highest quarterly revenue resulting from AT&amp;T Services Inc. and its Subsidiaries and affiliates in any fiscal quarter occurring during the period of four consecutive fiscal quarters ending immediately prior to such fiscal quarter (adjusted on a pro forma basis for acquired businesses, it being understood that, for purposes of this calculation, any Person that becomes a Subsidiary or affiliate of AT&amp;T Services Inc. during the fiscal quarter in which such calculation is made or during the period of four consecutive fiscal quarters ending immediately prior to such fiscal quarter shall be considered to have been a Subsidiary or affiliate of AT&amp;T Services Inc. during the entire immediately preceding four fiscal quarter period) and (C) the quarterly revenue expected to result from AT&amp;T Services Inc. and its Subsidiaries and affiliates during the then-current fiscal quarter as determined by the Company in good faith (adjusted on a pro forma basis for acquired businesses, it being understood that, for purposes of this determination, any Person that becomes or is reasonably expected to become a Subsidiary of affiliate of AT&amp;T Services Inc. during the then-current fiscal quarter shall be considered to have been a Subsidiary or affiliate of AT&amp;T Services Inc. since the commencement of such fiscal quarter) and (ii) with respect to all other Receivables, the greater of (i) $200,000,000 and (ii) an amount equal to 4% of Consolidated Total Assets at the time of such sale, assignment, conveyance or other transfer.</w:t>
      </w:r>
    </w:p>
    <w:p>
      <w:pPr>
        <w:spacing w:after="0" w:line="17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w:t>
      </w:r>
      <w:r>
        <w:rPr>
          <w:rFonts w:ascii="Times New Roman" w:cs="Times New Roman" w:eastAsia="Times New Roman" w:hAnsi="Times New Roman"/>
          <w:sz w:val="20"/>
          <w:szCs w:val="20"/>
          <w:color w:val="auto"/>
        </w:rPr>
        <w:t xml:space="preserve">” means, with respect to any Indebtedness, any refinancings, refundings,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amount of such Indebtedness is not increased at the time of such refinancing, refunding, renewal or extension except by an amount equal to a reasonable premium paid, and fees and expenses reasonably incurred, in connection with such refinancing and by an amount equal to any existing commitments unutilized thereunder, (ii) such refinancing, refunding, renewing or extending Indebtedness shall have a weighted average life to maturity that is no earlier than the Indebtedness being refinanced, refunded, renewed or extended,</w:t>
      </w:r>
    </w:p>
    <w:p>
      <w:pPr>
        <w:spacing w:after="0" w:line="4" w:lineRule="exact"/>
        <w:rPr>
          <w:sz w:val="20"/>
          <w:szCs w:val="20"/>
          <w:color w:val="auto"/>
        </w:rPr>
      </w:pPr>
    </w:p>
    <w:p>
      <w:pPr>
        <w:jc w:val="both"/>
        <w:ind w:firstLine="3"/>
        <w:spacing w:after="0" w:line="246" w:lineRule="auto"/>
        <w:tabs>
          <w:tab w:leader="none" w:pos="40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refinancing, refunding, renewing or extending Indebtedness shall not be subject to any financial covenant which is more restrictive than the financial covenants in the Loan Documents and (iv) at the time of and after giving effect to such refinancing, refunding, renewal or extension, no Default shall exist.</w:t>
      </w:r>
    </w:p>
    <w:p>
      <w:pPr>
        <w:spacing w:after="0" w:line="179"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Standalone Letter of Credit</w:t>
      </w:r>
      <w:r>
        <w:rPr>
          <w:rFonts w:ascii="Times New Roman" w:cs="Times New Roman" w:eastAsia="Times New Roman" w:hAnsi="Times New Roman"/>
          <w:sz w:val="21"/>
          <w:szCs w:val="21"/>
          <w:color w:val="auto"/>
        </w:rPr>
        <w:t xml:space="preserve">” means any commercial letter of credit, standby letter of credit or bankers’ acceptance issued by a PSLOC Bank for the account of any Loan Party or any Restricted Subsidiary thereof pursuant to a credit facility that is not part of the facilities provided under the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amount </w:t>
      </w:r>
      <w:r>
        <w:rPr>
          <w:rFonts w:ascii="Times New Roman" w:cs="Times New Roman" w:eastAsia="Times New Roman" w:hAnsi="Times New Roman"/>
          <w:sz w:val="21"/>
          <w:szCs w:val="21"/>
          <w:color w:val="191919"/>
        </w:rPr>
        <w:t>of letters of credit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1"/>
          <w:szCs w:val="21"/>
          <w:color w:val="191919"/>
        </w:rPr>
        <w:t xml:space="preserve">bankers acceptances available to be issued under all such </w:t>
      </w:r>
      <w:r>
        <w:rPr>
          <w:rFonts w:ascii="Times New Roman" w:cs="Times New Roman" w:eastAsia="Times New Roman" w:hAnsi="Times New Roman"/>
          <w:sz w:val="21"/>
          <w:szCs w:val="21"/>
          <w:color w:val="000000"/>
        </w:rPr>
        <w:t>facilities</w:t>
      </w:r>
      <w:r>
        <w:rPr>
          <w:rFonts w:ascii="Times New Roman" w:cs="Times New Roman" w:eastAsia="Times New Roman" w:hAnsi="Times New Roman"/>
          <w:sz w:val="21"/>
          <w:szCs w:val="21"/>
          <w:color w:val="191919"/>
        </w:rPr>
        <w:t xml:space="preserve"> shall not exceed $200,000,000 at any time.</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natural person, corporation, limited liability company, trust, joint venture, association, company, partnership, Governmental Authority or other entity.</w:t>
      </w:r>
    </w:p>
    <w:p>
      <w:pPr>
        <w:spacing w:after="0" w:line="15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any employee benefit plan within the meaning of Section 3(3) of ERISA, maintained for employees of the Company or any ERISA Affiliate or any such Plan to which the Company or any ERISA Affiliate is required to contribute on behalf of any of its employees, other than a Multiple Employer Plan or a Multiemployer Plan.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Pledge Agreement</w:t>
      </w:r>
      <w:r>
        <w:rPr>
          <w:rFonts w:ascii="Times New Roman" w:cs="Times New Roman" w:eastAsia="Times New Roman" w:hAnsi="Times New Roman"/>
          <w:sz w:val="21"/>
          <w:szCs w:val="21"/>
          <w:color w:val="auto"/>
        </w:rPr>
        <w:t>” means the Fifth Amended and Restated Pledge Agreement dated as of February 22, 2017 executed by the Loan Parties in favor of the Administrative Agent for the benefit of the Secured Parties, as supplemented from time to time by execution and delivery of Pledge Joinder Agreements and Pledge Agreement Supplements.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Pledge Agreement Supplement</w:t>
      </w:r>
      <w:r>
        <w:rPr>
          <w:rFonts w:ascii="Times New Roman" w:cs="Times New Roman" w:eastAsia="Times New Roman" w:hAnsi="Times New Roman"/>
          <w:sz w:val="21"/>
          <w:szCs w:val="21"/>
          <w:color w:val="auto"/>
        </w:rPr>
        <w:t xml:space="preserve">” means each Pledge Agreement Supplement, substantially in the form thereof attached to the Pledge Agreement, executed and delivered by a Loan Party pursuant to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xml:space="preserve"> or otherwise.</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Pledge Joinder Agreement</w:t>
      </w:r>
      <w:r>
        <w:rPr>
          <w:rFonts w:ascii="Times New Roman" w:cs="Times New Roman" w:eastAsia="Times New Roman" w:hAnsi="Times New Roman"/>
          <w:sz w:val="21"/>
          <w:szCs w:val="21"/>
          <w:color w:val="auto"/>
        </w:rPr>
        <w:t xml:space="preserve">” means each Pledge Joinder Agreement, substantially in the form thereof attached to the Pledge Agreement, executed and delivered by a Restricted Subsidiary pursuant to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xml:space="preserve"> or otherwise.</w:t>
      </w:r>
    </w:p>
    <w:p>
      <w:pPr>
        <w:spacing w:after="0" w:line="154"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Prepayment Event</w:t>
      </w:r>
      <w:r>
        <w:rPr>
          <w:rFonts w:ascii="Times New Roman" w:cs="Times New Roman" w:eastAsia="Times New Roman" w:hAnsi="Times New Roman"/>
          <w:sz w:val="21"/>
          <w:szCs w:val="21"/>
          <w:color w:val="auto"/>
        </w:rPr>
        <w:t xml:space="preserve">” means (a) any Disposition by the Company or any of its Restricted Subsidiaries of any property or asset pursuant to </w:t>
      </w:r>
      <w:r>
        <w:rPr>
          <w:rFonts w:ascii="Times New Roman" w:cs="Times New Roman" w:eastAsia="Times New Roman" w:hAnsi="Times New Roman"/>
          <w:sz w:val="21"/>
          <w:szCs w:val="21"/>
          <w:u w:val="single" w:color="auto"/>
          <w:color w:val="auto"/>
        </w:rPr>
        <w:t>Section 7.05(g)</w:t>
      </w:r>
      <w:r>
        <w:rPr>
          <w:rFonts w:ascii="Times New Roman" w:cs="Times New Roman" w:eastAsia="Times New Roman" w:hAnsi="Times New Roman"/>
          <w:sz w:val="21"/>
          <w:szCs w:val="21"/>
          <w:color w:val="auto"/>
        </w:rPr>
        <w:t xml:space="preserve"> or pursuant to any Disposition not permitted hereunder and (b) any casualty or other insured damage to, or any taking under power of eminent domain or by condemnation or similar proceeding of, any Collateral for which the Company or any of its Restricted Subsidiaries receives insurance proceeds, or proceeds of a condemnation award or other compensation (it being understood that any Disposition or other transaction that is permitted under any other provision of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clause (g)</w:t>
      </w:r>
      <w:r>
        <w:rPr>
          <w:rFonts w:ascii="Times New Roman" w:cs="Times New Roman" w:eastAsia="Times New Roman" w:hAnsi="Times New Roman"/>
          <w:sz w:val="21"/>
          <w:szCs w:val="21"/>
          <w:color w:val="auto"/>
        </w:rPr>
        <w:t xml:space="preserve"> thereof shall not constitute a “Prepayment Event”).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means, for purposes of giving effect to any Specified Transaction (actual or proposed) for any period, that such</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Specified Transaction shall be deemed to have occurred as of the first day of such period and:</w:t>
      </w:r>
    </w:p>
    <w:p>
      <w:pPr>
        <w:spacing w:after="0" w:line="189" w:lineRule="exact"/>
        <w:rPr>
          <w:sz w:val="20"/>
          <w:szCs w:val="20"/>
          <w:color w:val="auto"/>
        </w:rPr>
      </w:pPr>
    </w:p>
    <w:p>
      <w:pPr>
        <w:jc w:val="both"/>
        <w:ind w:firstLine="624"/>
        <w:spacing w:after="0" w:line="250" w:lineRule="auto"/>
        <w:tabs>
          <w:tab w:leader="none" w:pos="1115"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income statement items (whether positive or negative) attributable to the property or Person disposed of in a Specified Disposition shall be excluded and all income statement items (whether positive or negative) attributable to the property or Person acquired in a Specified Acquisition shall be included;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income statement items to be included are reflected in financial statements or other financial data reasonably acceptable to the Administrative Agent and based upon reasonable assumptions and calculations which are expected to have a continuous impact);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89" w:name="page90"/>
    <w:bookmarkEnd w:id="89"/>
    <w:p>
      <w:pPr>
        <w:ind w:firstLine="624"/>
        <w:spacing w:after="0" w:line="270" w:lineRule="auto"/>
        <w:tabs>
          <w:tab w:leader="none" w:pos="116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accrued during such period on, and the principal of, any Indebtedness repaid in connection with such Specified Transaction shall be excluded;</w:t>
      </w:r>
    </w:p>
    <w:p>
      <w:pPr>
        <w:spacing w:after="0" w:line="154" w:lineRule="exact"/>
        <w:rPr>
          <w:rFonts w:ascii="Times New Roman" w:cs="Times New Roman" w:eastAsia="Times New Roman" w:hAnsi="Times New Roman"/>
          <w:sz w:val="21"/>
          <w:szCs w:val="21"/>
          <w:color w:val="auto"/>
        </w:rPr>
      </w:pPr>
    </w:p>
    <w:p>
      <w:pPr>
        <w:jc w:val="both"/>
        <w:ind w:firstLine="624"/>
        <w:spacing w:after="0" w:line="252" w:lineRule="auto"/>
        <w:tabs>
          <w:tab w:leader="none" w:pos="107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Indebtedness incurred or assumed in connection with such Specified Transaction shall be deemed to have been incurred as of the first day of such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for such period; and</w:t>
      </w:r>
    </w:p>
    <w:p>
      <w:pPr>
        <w:spacing w:after="0" w:line="174" w:lineRule="exact"/>
        <w:rPr>
          <w:rFonts w:ascii="Times New Roman" w:cs="Times New Roman" w:eastAsia="Times New Roman" w:hAnsi="Times New Roman"/>
          <w:sz w:val="21"/>
          <w:szCs w:val="21"/>
          <w:color w:val="auto"/>
        </w:rPr>
      </w:pPr>
    </w:p>
    <w:p>
      <w:pPr>
        <w:jc w:val="both"/>
        <w:ind w:firstLine="624"/>
        <w:spacing w:after="0" w:line="261" w:lineRule="auto"/>
        <w:tabs>
          <w:tab w:leader="none" w:pos="108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expected cost savings, operating expense reductions, restructuring charges and expenses and cost-saving synergies projected by the Company in good faith to result from actions with respect to which substantial steps have been, will be, or are expected to be, taken (in the good faith determination of the Company and evidenced by a certificate of a Responsible Officer of the Company) within 15 months after such transaction may be included by the Company to the extent attributable to such Specified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cost savings, operating expense reductions, restructuring charges and expenses and cost-savings synergies, together with any amounts included in the calculation of Consolidated EBITDA pursuant to clause (xv) thereof, may only be included to the extent such charges collectively do not increase Consolidated EBITDA by more than 20% and shall be without duplication of any costs, expenses or adjustments that are already included in the calculation of Consolidated EBITDA or clause (a) above.</w:t>
      </w:r>
    </w:p>
    <w:p>
      <w:pPr>
        <w:spacing w:after="0" w:line="170"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191919"/>
        </w:rPr>
        <w:t>“</w:t>
      </w:r>
      <w:r>
        <w:rPr>
          <w:rFonts w:ascii="Times New Roman" w:cs="Times New Roman" w:eastAsia="Times New Roman" w:hAnsi="Times New Roman"/>
          <w:sz w:val="21"/>
          <w:szCs w:val="21"/>
          <w:u w:val="single" w:color="auto"/>
          <w:color w:val="191919"/>
        </w:rPr>
        <w:t>Prohibited Subsidiary</w:t>
      </w:r>
      <w:r>
        <w:rPr>
          <w:rFonts w:ascii="Times New Roman" w:cs="Times New Roman" w:eastAsia="Times New Roman" w:hAnsi="Times New Roman"/>
          <w:sz w:val="21"/>
          <w:szCs w:val="21"/>
          <w:color w:val="191919"/>
        </w:rPr>
        <w:t xml:space="preserve">” means (a) MasTec Pipeline Holdings, LLC, MasTec Comanche, LLC and MasTec TPP, LLC, (b) any Subsidiary that, upon providing a Guarantee or security in respect to the Obligations, could be required as a result of such Guarantee or security to register as an “investment company” under the Investment Company Act of 1940 and (c) any Subsidiary that is prohibited by applicable Laws from providing a Guarantee or security in respect to the Obligations or from having its Equity Interests or Indebtedness pledged as security in respect of the Obligations; </w:t>
      </w:r>
      <w:r>
        <w:rPr>
          <w:rFonts w:ascii="Times New Roman" w:cs="Times New Roman" w:eastAsia="Times New Roman" w:hAnsi="Times New Roman"/>
          <w:sz w:val="21"/>
          <w:szCs w:val="21"/>
          <w:u w:val="single" w:color="auto"/>
          <w:color w:val="191919"/>
        </w:rPr>
        <w:t>provided</w:t>
      </w:r>
      <w:r>
        <w:rPr>
          <w:rFonts w:ascii="Times New Roman" w:cs="Times New Roman" w:eastAsia="Times New Roman" w:hAnsi="Times New Roman"/>
          <w:sz w:val="21"/>
          <w:szCs w:val="21"/>
          <w:color w:val="191919"/>
        </w:rPr>
        <w:t xml:space="preserve">, </w:t>
      </w:r>
      <w:r>
        <w:rPr>
          <w:rFonts w:ascii="Times New Roman" w:cs="Times New Roman" w:eastAsia="Times New Roman" w:hAnsi="Times New Roman"/>
          <w:sz w:val="21"/>
          <w:szCs w:val="21"/>
          <w:u w:val="single" w:color="auto"/>
          <w:color w:val="191919"/>
        </w:rPr>
        <w:t>however</w:t>
      </w:r>
      <w:r>
        <w:rPr>
          <w:rFonts w:ascii="Times New Roman" w:cs="Times New Roman" w:eastAsia="Times New Roman" w:hAnsi="Times New Roman"/>
          <w:sz w:val="21"/>
          <w:szCs w:val="21"/>
          <w:color w:val="191919"/>
        </w:rPr>
        <w:t>, that no such Subsidiary shall constitute a Prohibited Subsidiary with respect to any of the foregoing for which no such prohibition exists.</w:t>
      </w:r>
    </w:p>
    <w:p>
      <w:pPr>
        <w:spacing w:after="0" w:line="17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PSLOC Bank</w:t>
      </w:r>
      <w:r>
        <w:rPr>
          <w:rFonts w:ascii="Times New Roman" w:cs="Times New Roman" w:eastAsia="Times New Roman" w:hAnsi="Times New Roman"/>
          <w:sz w:val="21"/>
          <w:szCs w:val="21"/>
          <w:color w:val="auto"/>
        </w:rPr>
        <w:t>” means any Person that, (a) at the time it issues a Permitted Standalone Letter of Credit for the account of any Loan Party, is a Lender or an Affiliate of a Lender, or (b) at the time it (or its Affiliate) becomes a Lender, is party to a Permitted Standalone Letter of Credit, in each case, in its capacity as the issuer of such Permitted Standalone Letter of Credit.</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PTE</w:t>
      </w:r>
      <w:r>
        <w:rPr>
          <w:rFonts w:ascii="Times New Roman" w:cs="Times New Roman" w:eastAsia="Times New Roman" w:hAnsi="Times New Roman"/>
          <w:sz w:val="21"/>
          <w:szCs w:val="21"/>
          <w:color w:val="auto"/>
        </w:rPr>
        <w:t>” means a prohibited transaction class exemption issued by the U.S. Department of Labor, as any such exemption may be amended from time to time.</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Public Lender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ECP Guarantor</w:t>
      </w:r>
      <w:r>
        <w:rPr>
          <w:rFonts w:ascii="Times New Roman" w:cs="Times New Roman" w:eastAsia="Times New Roman" w:hAnsi="Times New Roman"/>
          <w:sz w:val="21"/>
          <w:szCs w:val="21"/>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Rate Determination Date</w:t>
      </w:r>
      <w:r>
        <w:rPr>
          <w:rFonts w:ascii="Times New Roman" w:cs="Times New Roman" w:eastAsia="Times New Roman" w:hAnsi="Times New Roman"/>
          <w:sz w:val="21"/>
          <w:szCs w:val="21"/>
          <w:color w:val="auto"/>
        </w:rPr>
        <w:t>” means two (2) Business Days prior to the commencement of such Interest Period (or such other day as is generally treated as the rate fixing day by market practice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90" w:name="page91"/>
    <w:bookmarkEnd w:id="90"/>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in such interbank market,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other day as otherwise reasonably determined by the Administrative Agent).</w:t>
      </w:r>
    </w:p>
    <w:p>
      <w:pPr>
        <w:spacing w:after="0" w:line="13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Ratification Agreement</w:t>
      </w:r>
      <w:r>
        <w:rPr>
          <w:rFonts w:ascii="Times New Roman" w:cs="Times New Roman" w:eastAsia="Times New Roman" w:hAnsi="Times New Roman"/>
          <w:sz w:val="21"/>
          <w:szCs w:val="21"/>
          <w:color w:val="auto"/>
        </w:rPr>
        <w:t>” means the Ratification Agreement dated as of the Closing Date by each of the Loan Parties in favor of the Administrative Agent for the benefit of the Secured Parties.</w:t>
      </w:r>
    </w:p>
    <w:p>
      <w:pPr>
        <w:spacing w:after="0" w:line="154"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Estate Support Documents</w:t>
      </w:r>
      <w:r>
        <w:rPr>
          <w:rFonts w:ascii="Times New Roman" w:cs="Times New Roman" w:eastAsia="Times New Roman" w:hAnsi="Times New Roman"/>
          <w:sz w:val="21"/>
          <w:szCs w:val="21"/>
          <w:color w:val="auto"/>
        </w:rPr>
        <w:t xml:space="preserve">” means, with respect to any real property constituting Collateral, such warehousemen and bailee letters, third party consents, intercreditor agreements, mortgagee title insurance policies (in amounts and with endorsements reasonably acceptable to the Administrative Agent), surveys, appraisals, environmental reports, flood hazard certifications and, evidence of flood insurance (if such insurance is required under </w:t>
      </w:r>
      <w:r>
        <w:rPr>
          <w:rFonts w:ascii="Times New Roman" w:cs="Times New Roman" w:eastAsia="Times New Roman" w:hAnsi="Times New Roman"/>
          <w:sz w:val="21"/>
          <w:szCs w:val="21"/>
          <w:u w:val="single" w:color="auto"/>
          <w:color w:val="auto"/>
        </w:rPr>
        <w:t>Section 6.07</w:t>
      </w:r>
      <w:r>
        <w:rPr>
          <w:rFonts w:ascii="Times New Roman" w:cs="Times New Roman" w:eastAsia="Times New Roman" w:hAnsi="Times New Roman"/>
          <w:sz w:val="21"/>
          <w:szCs w:val="21"/>
          <w:color w:val="auto"/>
        </w:rPr>
        <w:t xml:space="preserve"> or is otherwise required by applicable Law), leases to which the applicable Loan Party is a party thereto, landlord consents or waivers, and such other mortgage-related documents as the Administrative Agent may reasonably request.</w:t>
      </w:r>
    </w:p>
    <w:p>
      <w:pPr>
        <w:spacing w:after="0" w:line="17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Receivables</w:t>
      </w:r>
      <w:r>
        <w:rPr>
          <w:rFonts w:ascii="Times New Roman" w:cs="Times New Roman" w:eastAsia="Times New Roman" w:hAnsi="Times New Roman"/>
          <w:sz w:val="21"/>
          <w:szCs w:val="21"/>
          <w:color w:val="auto"/>
        </w:rPr>
        <w:t>” means actual trade or accounts receivable or anticipated trade or accounts receivable in the form of work-in-progress of the Company or any of its Subsidiaries arising in the ordinary course of business, any proceeds thereof and any general intangibles, documents, instruments, records or other assets related thereto.</w:t>
      </w:r>
    </w:p>
    <w:p>
      <w:pPr>
        <w:spacing w:after="0" w:line="16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Reconciliation</w:t>
      </w:r>
      <w:r>
        <w:rPr>
          <w:rFonts w:ascii="Times New Roman" w:cs="Times New Roman" w:eastAsia="Times New Roman" w:hAnsi="Times New Roman"/>
          <w:sz w:val="21"/>
          <w:szCs w:val="21"/>
          <w:color w:val="auto"/>
        </w:rPr>
        <w:t xml:space="preserve">” means, with respect to any financial statement referred to in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6.01(b)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Base Financials</w:t>
      </w:r>
      <w:r>
        <w:rPr>
          <w:rFonts w:ascii="Times New Roman" w:cs="Times New Roman" w:eastAsia="Times New Roman" w:hAnsi="Times New Roman"/>
          <w:sz w:val="21"/>
          <w:szCs w:val="21"/>
          <w:color w:val="auto"/>
        </w:rPr>
        <w:t>”), the comparable financial statement prepared by the chief financial officer of the Company presenting on a consolidated basis the financial condition and results of operations of the Company and its Restricted Subsidiaries as derived from the Base Financials.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10.06(c)</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Parties</w:t>
      </w:r>
      <w:r>
        <w:rPr>
          <w:rFonts w:ascii="Times New Roman" w:cs="Times New Roman" w:eastAsia="Times New Roman" w:hAnsi="Times New Roman"/>
          <w:sz w:val="21"/>
          <w:szCs w:val="21"/>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Reportable Event</w:t>
      </w:r>
      <w:r>
        <w:rPr>
          <w:rFonts w:ascii="Times New Roman" w:cs="Times New Roman" w:eastAsia="Times New Roman" w:hAnsi="Times New Roman"/>
          <w:sz w:val="21"/>
          <w:szCs w:val="21"/>
          <w:color w:val="auto"/>
        </w:rPr>
        <w:t>” means any of the events set forth in Section 4043(c) of ERISA, other than events for which the 30 day notice period has been waived.</w:t>
      </w:r>
    </w:p>
    <w:p>
      <w:pPr>
        <w:spacing w:after="0" w:line="15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Request for Credit Extension</w:t>
      </w:r>
      <w:r>
        <w:rPr>
          <w:rFonts w:ascii="Times New Roman" w:cs="Times New Roman" w:eastAsia="Times New Roman" w:hAnsi="Times New Roman"/>
          <w:sz w:val="21"/>
          <w:szCs w:val="21"/>
          <w:color w:val="auto"/>
        </w:rPr>
        <w:t>” means (a) with respect to a Borrowing, conversion or continuation of Committed Loans or Term Loans, a Loan Notice, (b) with respect to an L/C Credit Extension, a Letter of Credit Application, and (c) with respect to a Swing Line Loan, a Swing Line Loan Notice.</w:t>
      </w:r>
    </w:p>
    <w:p>
      <w:pPr>
        <w:spacing w:after="0" w:line="167"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(MC) Lenders</w:t>
      </w:r>
      <w:r>
        <w:rPr>
          <w:rFonts w:ascii="Times New Roman" w:cs="Times New Roman" w:eastAsia="Times New Roman" w:hAnsi="Times New Roman"/>
          <w:sz w:val="21"/>
          <w:szCs w:val="21"/>
          <w:color w:val="auto"/>
        </w:rPr>
        <w:t xml:space="preserve">” means, as of any date of determination, Lenders having more than 50% of the sum of the Outstanding Amount of Committed (MC) Loans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aggregate unused MC Commitments. The aggregate Outstanding Amount of Committed (MC) Loans and unused MC Commitment of any Defaulting Lender shall be disregarded in determining Required (MC) Lenders at any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91" w:name="page92"/>
    <w:bookmarkEnd w:id="91"/>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(USD) Lenders</w:t>
      </w:r>
      <w:r>
        <w:rPr>
          <w:rFonts w:ascii="Times New Roman" w:cs="Times New Roman" w:eastAsia="Times New Roman" w:hAnsi="Times New Roman"/>
          <w:sz w:val="21"/>
          <w:szCs w:val="21"/>
          <w:color w:val="auto"/>
        </w:rPr>
        <w:t xml:space="preserve">” means, as of any date of determination, Lenders having more than 50% of the aggregate outstanding principal amount of Committed (USD) Loans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aggregate outstanding amount of participations in L/C Obligations and Swing Line Loans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aggregate unused USD Commitments. The Committed (USD) Loans, the participations in L/C Obligations and Swing Line Loans and unused USD Commitment of any Defaulting Lender shall be disregarded in determining Required (USD) Lenders at any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participation in any Swing Line Loan and Unreimbursed Amounts that such Defaulting Lender has failed to fund that have not been reallocated to and funded by another Committed (USD) Lender shall be deemed to be held by the Lender that is the Swing Line Lender or L/C Issuer, as the case may be, in making such determination.</w:t>
      </w:r>
    </w:p>
    <w:p>
      <w:pPr>
        <w:spacing w:after="0" w:line="178"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xml:space="preserve">” means, as of any date of determination,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participation in any Swing Line Loan and Unreimbursed Amounts that any Defaulting Lender which is a Committed (USD) Lender has failed to fund that have not been reallocated to and funded by another Committed (USD) Lender shall be deemed to be held by the Lender that is the Swing Line Lender or L/C Issuer, as the case may be, in making such determination.</w:t>
      </w:r>
    </w:p>
    <w:p>
      <w:pPr>
        <w:spacing w:after="0" w:line="176"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Term Loan Lenders</w:t>
      </w:r>
      <w:r>
        <w:rPr>
          <w:rFonts w:ascii="Times New Roman" w:cs="Times New Roman" w:eastAsia="Times New Roman" w:hAnsi="Times New Roman"/>
          <w:sz w:val="21"/>
          <w:szCs w:val="21"/>
          <w:color w:val="auto"/>
        </w:rPr>
        <w:t xml:space="preserve">” means, as of any date of determination, Lenders having more than 50% of the sum of the Outstanding Amount of Term Loans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aggregate unused Term Loan Commitments. The aggregate Outstanding Amount of Term Loans and unused Term Loan Commitment of any Defaulting Lender shall be disregarded in determining Required Term Loan Lenders at any time.</w:t>
      </w:r>
    </w:p>
    <w:p>
      <w:pPr>
        <w:spacing w:after="0" w:line="17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Responsible Officer</w:t>
      </w:r>
      <w:r>
        <w:rPr>
          <w:rFonts w:ascii="Times New Roman" w:cs="Times New Roman" w:eastAsia="Times New Roman" w:hAnsi="Times New Roman"/>
          <w:sz w:val="21"/>
          <w:szCs w:val="21"/>
          <w:color w:val="auto"/>
        </w:rPr>
        <w:t xml:space="preserve">” means the chairman of the board of directors, the president, the chief executive officer, the chief financial officer, the chief operating officer, the corporate controller, the treasurer or the cash manager of, or in-house legal counsel to, a Loan Party, any other officer of a Loan Party so designated by any of the foregoing officers in a written notice to the Administrative Agent, solely for purposes of notices given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any other officer or employee of a Loan Party designated in or pursuant to an agreement between such Loan Party and the Administrative Agent, and solely for purposes of the delivery of incumbency certificates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reasonably requested by the Administrative Agent, each Responsible Officer will provide an incumbency certificate and to the extent reasonably requested by the Administrative Agent, appropriate authorization documentation, in form and substance reasonably satisfactory to the Administrative Agent.</w:t>
      </w:r>
    </w:p>
    <w:p>
      <w:pPr>
        <w:spacing w:after="0" w:line="184"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Payment</w:t>
      </w:r>
      <w:r>
        <w:rPr>
          <w:rFonts w:ascii="Times New Roman" w:cs="Times New Roman" w:eastAsia="Times New Roman" w:hAnsi="Times New Roman"/>
          <w:sz w:val="21"/>
          <w:szCs w:val="21"/>
          <w:color w:val="auto"/>
        </w:rPr>
        <w:t>” means any dividend or other distribution (whether in cash, securities or other property) with respect to any capital stock or other Equity Interest of the Company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1"/>
          <w:szCs w:val="21"/>
          <w:color w:val="auto"/>
        </w:rPr>
        <w:t>return of capital to the Company’s stockholders, partners or members (or the equivalent Person thereof).</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Subsidiary</w:t>
      </w:r>
      <w:r>
        <w:rPr>
          <w:rFonts w:ascii="Times New Roman" w:cs="Times New Roman" w:eastAsia="Times New Roman" w:hAnsi="Times New Roman"/>
          <w:sz w:val="21"/>
          <w:szCs w:val="21"/>
          <w:color w:val="auto"/>
        </w:rPr>
        <w:t xml:space="preserve">” means any Subsidiary of the Company that is not listed on </w:t>
      </w:r>
      <w:r>
        <w:rPr>
          <w:rFonts w:ascii="Times New Roman" w:cs="Times New Roman" w:eastAsia="Times New Roman" w:hAnsi="Times New Roman"/>
          <w:sz w:val="21"/>
          <w:szCs w:val="21"/>
          <w:u w:val="single" w:color="auto"/>
          <w:color w:val="auto"/>
        </w:rPr>
        <w:t>Schedule 5.13</w:t>
      </w:r>
      <w:r>
        <w:rPr>
          <w:rFonts w:ascii="Times New Roman" w:cs="Times New Roman" w:eastAsia="Times New Roman" w:hAnsi="Times New Roman"/>
          <w:sz w:val="21"/>
          <w:szCs w:val="21"/>
          <w:color w:val="auto"/>
        </w:rPr>
        <w:t xml:space="preserve"> as an Unrestricted Subsidiary or has not been designated an Unrestricted Subsidiary in accordance with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xml:space="preserve"> hereof.</w:t>
      </w:r>
    </w:p>
    <w:p>
      <w:pPr>
        <w:spacing w:after="0" w:line="154"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Revaluation Date</w:t>
      </w:r>
      <w:r>
        <w:rPr>
          <w:rFonts w:ascii="Times New Roman" w:cs="Times New Roman" w:eastAsia="Times New Roman" w:hAnsi="Times New Roman"/>
          <w:sz w:val="21"/>
          <w:szCs w:val="21"/>
          <w:color w:val="auto"/>
        </w:rPr>
        <w:t xml:space="preserve">” means (a) with respect to any Committed (MC) Loan denominated in an Alternative Currency, each of the following: (i) each date of a Borrowing of a Eurocurrency Rate Loan denominated in such Alternative Currency, (ii) each date of a continuation of a Eurocurrency Rate Loan denominated in such Alternative Currency pursuant to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and (iii) such additional dates as the Administrative Agent shall determine or the Required (MC) Lenders shall require; and (b) with respect to any Letter of Credit or Bankers’ Acceptance denominated in an Alternative Currency, each of the following: (i) each date of issuance of a Letter of Credit or Bankers’ Acceptance denominated in such Alternative Currency, (ii) each date of an amendment of any such Letter of Credit or Bankers’ Acceptance having the effect of increasing the amount thereof (solely with respect to the increased amount), (iii) each date of any payment by the L/C Issuer under any Letter of Credit or Bankers’ Acceptance denominated in such Alternative Currency, and (iv) such additional dates as the Administrative Agent or the L/C Issuer shall determine or the Required (USD) Lenders shall require.</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Sale Leaseback Transaction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7.17</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Same Day Funds</w:t>
      </w:r>
      <w:r>
        <w:rPr>
          <w:rFonts w:ascii="Times New Roman" w:cs="Times New Roman" w:eastAsia="Times New Roman" w:hAnsi="Times New Roman"/>
          <w:sz w:val="21"/>
          <w:szCs w:val="21"/>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such Alternative Currency.</w:t>
      </w:r>
    </w:p>
    <w:p>
      <w:pPr>
        <w:spacing w:after="0" w:line="17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means any international economic or financial sanction or trade embargo imposed, administered or enforced by the United States Government (including without limitation, OFAC), the United Nations Security Council, the European Union, any European Union member state, Her Majesty’s Treasury or other relevant sanctions authority.</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Securities and Exchange Commission, or any Governmental Authority succeeding to any of its principal functions.</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Cash Management Agreement</w:t>
      </w:r>
      <w:r>
        <w:rPr>
          <w:rFonts w:ascii="Times New Roman" w:cs="Times New Roman" w:eastAsia="Times New Roman" w:hAnsi="Times New Roman"/>
          <w:sz w:val="21"/>
          <w:szCs w:val="21"/>
          <w:color w:val="auto"/>
        </w:rPr>
        <w:t>” means any Cash Management Agreement that is entered into by and between any Loan Party and any Cash Management Bank.</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Hedge Agreement</w:t>
      </w:r>
      <w:r>
        <w:rPr>
          <w:rFonts w:ascii="Times New Roman" w:cs="Times New Roman" w:eastAsia="Times New Roman" w:hAnsi="Times New Roman"/>
          <w:sz w:val="21"/>
          <w:szCs w:val="21"/>
          <w:color w:val="auto"/>
        </w:rPr>
        <w:t xml:space="preserve">” means any Swap Contract permitted under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that is entered into by and between any Loan Party and any Hedge Bank.</w:t>
      </w:r>
    </w:p>
    <w:p>
      <w:pPr>
        <w:spacing w:after="0" w:line="154"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Parties</w:t>
      </w:r>
      <w:r>
        <w:rPr>
          <w:rFonts w:ascii="Times New Roman" w:cs="Times New Roman" w:eastAsia="Times New Roman" w:hAnsi="Times New Roman"/>
          <w:sz w:val="21"/>
          <w:szCs w:val="21"/>
          <w:color w:val="auto"/>
        </w:rPr>
        <w:t xml:space="preserve">” means, collectively, the Administrative Agent, the Lenders, the L/C Issuer, the Hedge Banks, the Cash Management Banks, the PSLOC Banks, each co-agent or sub-agent appointed by the Administrative Agent from time to time pursuant to </w:t>
      </w:r>
      <w:r>
        <w:rPr>
          <w:rFonts w:ascii="Times New Roman" w:cs="Times New Roman" w:eastAsia="Times New Roman" w:hAnsi="Times New Roman"/>
          <w:sz w:val="21"/>
          <w:szCs w:val="21"/>
          <w:u w:val="single" w:color="auto"/>
          <w:color w:val="auto"/>
        </w:rPr>
        <w:t>Section 9.05</w:t>
      </w:r>
      <w:r>
        <w:rPr>
          <w:rFonts w:ascii="Times New Roman" w:cs="Times New Roman" w:eastAsia="Times New Roman" w:hAnsi="Times New Roman"/>
          <w:sz w:val="21"/>
          <w:szCs w:val="21"/>
          <w:color w:val="auto"/>
        </w:rPr>
        <w:t>, and the other Persons the Obligations owing to which are or are purported to be secured by the Collateral under the terms of the Collateral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93" w:name="page94"/>
    <w:bookmarkEnd w:id="93"/>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Permitted Standalone Letter of Credit</w:t>
      </w:r>
      <w:r>
        <w:rPr>
          <w:rFonts w:ascii="Times New Roman" w:cs="Times New Roman" w:eastAsia="Times New Roman" w:hAnsi="Times New Roman"/>
          <w:sz w:val="21"/>
          <w:szCs w:val="21"/>
          <w:color w:val="auto"/>
        </w:rPr>
        <w:t>” means any Permitted Standalone Letter of Credit specifically designated as such to the Administrative Agent in writing by the Company and the relevant PSLOC Bank as a “Secured Permitted Standalone Letter of Credit”.</w:t>
      </w:r>
    </w:p>
    <w:p>
      <w:pPr>
        <w:spacing w:after="0" w:line="16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Security Agreement</w:t>
      </w:r>
      <w:r>
        <w:rPr>
          <w:rFonts w:ascii="Times New Roman" w:cs="Times New Roman" w:eastAsia="Times New Roman" w:hAnsi="Times New Roman"/>
          <w:sz w:val="21"/>
          <w:szCs w:val="21"/>
          <w:color w:val="auto"/>
        </w:rPr>
        <w:t>” means the Amended and Restated Security Agreement dated as of February 22, 2017 executed by the Loan Parties in favor of the Administrative Agent for the benefit of the Secured Parties, as supplemented from time to time by execution and delivery of Security Joinder Agreements.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Security Joinder Agreement</w:t>
      </w:r>
      <w:r>
        <w:rPr>
          <w:rFonts w:ascii="Times New Roman" w:cs="Times New Roman" w:eastAsia="Times New Roman" w:hAnsi="Times New Roman"/>
          <w:sz w:val="21"/>
          <w:szCs w:val="21"/>
          <w:color w:val="auto"/>
        </w:rPr>
        <w:t xml:space="preserve">” means each Security Joinder Agreement, substantially in the form thereof attached to the Security Agreement, executed and delivered by a Subsidiary pursuant to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xml:space="preserve"> or otherwise.</w:t>
      </w:r>
    </w:p>
    <w:p>
      <w:pPr>
        <w:spacing w:after="0" w:line="15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Notes</w:t>
      </w:r>
      <w:r>
        <w:rPr>
          <w:rFonts w:ascii="Times New Roman" w:cs="Times New Roman" w:eastAsia="Times New Roman" w:hAnsi="Times New Roman"/>
          <w:sz w:val="21"/>
          <w:szCs w:val="21"/>
          <w:color w:val="auto"/>
        </w:rPr>
        <w:t>” means those certain 4.875% unsecured notes of the Company due 2023 and issued pursuant to the Senior Notes Indenture in the initial aggregate principal amount of $400,000,000 and, as of the Closing Date, in an aggregate principal amount of $400,000,000.</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Notes Documents</w:t>
      </w:r>
      <w:r>
        <w:rPr>
          <w:rFonts w:ascii="Times New Roman" w:cs="Times New Roman" w:eastAsia="Times New Roman" w:hAnsi="Times New Roman"/>
          <w:sz w:val="21"/>
          <w:szCs w:val="21"/>
          <w:color w:val="auto"/>
        </w:rPr>
        <w:t>” means, collectively, the Senior Notes Indenture, all supplemental indentures thereto, the Senior Notes and all other material agreements executed in connection therewith.</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Notes Indebtedness</w:t>
      </w:r>
      <w:r>
        <w:rPr>
          <w:rFonts w:ascii="Times New Roman" w:cs="Times New Roman" w:eastAsia="Times New Roman" w:hAnsi="Times New Roman"/>
          <w:sz w:val="21"/>
          <w:szCs w:val="21"/>
          <w:color w:val="auto"/>
        </w:rPr>
        <w:t>” means the Indebtedness evidenced by the Senior Notes and any Permitted Refinancings thereof.</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Notes Indenture</w:t>
      </w:r>
      <w:r>
        <w:rPr>
          <w:rFonts w:ascii="Times New Roman" w:cs="Times New Roman" w:eastAsia="Times New Roman" w:hAnsi="Times New Roman"/>
          <w:sz w:val="21"/>
          <w:szCs w:val="21"/>
          <w:color w:val="auto"/>
        </w:rPr>
        <w:t>” means that certain Fifth Supplemental Indenture dated as of March 18, 2013 to the Indenture by and between the Company and U.S. Bank National Association, as trustee, dated as of June 5, 2009.</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Notes Indenture Secured Debt Cap</w:t>
      </w:r>
      <w:r>
        <w:rPr>
          <w:rFonts w:ascii="Times New Roman" w:cs="Times New Roman" w:eastAsia="Times New Roman" w:hAnsi="Times New Roman"/>
          <w:sz w:val="21"/>
          <w:szCs w:val="21"/>
          <w:color w:val="auto"/>
        </w:rPr>
        <w:t>” means, as of any date of determination, the maximum amount of secured Indebtedness under credit facilities permitted to be incurred under the Senior Notes Indenture on such date.</w:t>
      </w:r>
    </w:p>
    <w:p>
      <w:pPr>
        <w:spacing w:after="0" w:line="15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Single Employer Pension Plan</w:t>
      </w:r>
      <w:r>
        <w:rPr>
          <w:rFonts w:ascii="Times New Roman" w:cs="Times New Roman" w:eastAsia="Times New Roman" w:hAnsi="Times New Roman"/>
          <w:sz w:val="21"/>
          <w:szCs w:val="21"/>
          <w:color w:val="auto"/>
        </w:rPr>
        <w:t>” means any employee pension benefit plan (excluding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167"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color w:val="auto"/>
        </w:rPr>
        <w:t>and circumstances existing at such time, represents the amount that can reasonably be expected to become an actual or matured liability.</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Acquisition</w:t>
      </w:r>
      <w:r>
        <w:rPr>
          <w:rFonts w:ascii="Times New Roman" w:cs="Times New Roman" w:eastAsia="Times New Roman" w:hAnsi="Times New Roman"/>
          <w:sz w:val="21"/>
          <w:szCs w:val="21"/>
          <w:color w:val="auto"/>
        </w:rPr>
        <w:t xml:space="preserve">” means any Permitted Acquisition or any other Acquisition permitted under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Disposition</w:t>
      </w:r>
      <w:r>
        <w:rPr>
          <w:rFonts w:ascii="Times New Roman" w:cs="Times New Roman" w:eastAsia="Times New Roman" w:hAnsi="Times New Roman"/>
          <w:sz w:val="21"/>
          <w:szCs w:val="21"/>
          <w:color w:val="auto"/>
        </w:rPr>
        <w:t>” means any Disposition by the Company or any Restricted Subsidiary of (a) all or substantially all of its assets or any of its divisions, business units, or lines of business or (b) the Equity Interests of any Subsidiary.</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Loan Party</w:t>
      </w:r>
      <w:r>
        <w:rPr>
          <w:rFonts w:ascii="Times New Roman" w:cs="Times New Roman" w:eastAsia="Times New Roman" w:hAnsi="Times New Roman"/>
          <w:sz w:val="21"/>
          <w:szCs w:val="21"/>
          <w:color w:val="auto"/>
        </w:rPr>
        <w:t xml:space="preserve">” means any Loan Party that is not an “eligible contract participant” under the Commodity Exchange Act (determined prior to giving effect to </w:t>
      </w:r>
      <w:r>
        <w:rPr>
          <w:rFonts w:ascii="Times New Roman" w:cs="Times New Roman" w:eastAsia="Times New Roman" w:hAnsi="Times New Roman"/>
          <w:sz w:val="21"/>
          <w:szCs w:val="21"/>
          <w:u w:val="single" w:color="auto"/>
          <w:color w:val="auto"/>
        </w:rPr>
        <w:t>Section 10.21</w:t>
      </w:r>
      <w:r>
        <w:rPr>
          <w:rFonts w:ascii="Times New Roman" w:cs="Times New Roman" w:eastAsia="Times New Roman" w:hAnsi="Times New Roman"/>
          <w:sz w:val="21"/>
          <w:szCs w:val="21"/>
          <w:color w:val="auto"/>
        </w:rPr>
        <w:t xml:space="preserve"> of this Agreement or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of the Subsidiary Guaranty, as applicable).</w:t>
      </w:r>
    </w:p>
    <w:p>
      <w:pPr>
        <w:spacing w:after="0" w:line="154"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Mexican Pipeline Assets</w:t>
      </w:r>
      <w:r>
        <w:rPr>
          <w:rFonts w:ascii="Times New Roman" w:cs="Times New Roman" w:eastAsia="Times New Roman" w:hAnsi="Times New Roman"/>
          <w:sz w:val="21"/>
          <w:szCs w:val="21"/>
          <w:color w:val="auto"/>
        </w:rPr>
        <w:t xml:space="preserve">” means Collateral owned by a Loan Party that is a Domestic Subsidiary and physically located in Mexico and used in the Loan Parties’ oil and gas pipeline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Collateral (or any portion thereof) shall not constitute “Specified Mexican Pipeline Assets” hereunder if such Collateral (or any portion thereof) is subject to a perfected security interest recognized under the laws of Mexico, including, to the extent necessary or advisable under Mexican law, documentation governed by laws of Mexico in form and substance reasonably satisfactory to the Administrative Agent.</w:t>
      </w:r>
    </w:p>
    <w:p>
      <w:pPr>
        <w:spacing w:after="0" w:line="17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Transaction</w:t>
      </w:r>
      <w:r>
        <w:rPr>
          <w:rFonts w:ascii="Times New Roman" w:cs="Times New Roman" w:eastAsia="Times New Roman" w:hAnsi="Times New Roman"/>
          <w:sz w:val="21"/>
          <w:szCs w:val="21"/>
          <w:color w:val="auto"/>
        </w:rPr>
        <w:t xml:space="preserve">” means (a) any Specified Disposition, (b) any Specified Acquisition, (c) any designation of a Subsidiary as a Restricted Subsidiary or an Unrestricted Subsidiary, (d) any Restricted Payment made pursuant to </w:t>
      </w:r>
      <w:r>
        <w:rPr>
          <w:rFonts w:ascii="Times New Roman" w:cs="Times New Roman" w:eastAsia="Times New Roman" w:hAnsi="Times New Roman"/>
          <w:sz w:val="21"/>
          <w:szCs w:val="21"/>
          <w:u w:val="single" w:color="auto"/>
          <w:color w:val="auto"/>
        </w:rPr>
        <w:t>Section 7.06(d)</w:t>
      </w:r>
      <w:r>
        <w:rPr>
          <w:rFonts w:ascii="Times New Roman" w:cs="Times New Roman" w:eastAsia="Times New Roman" w:hAnsi="Times New Roman"/>
          <w:sz w:val="21"/>
          <w:szCs w:val="21"/>
          <w:color w:val="auto"/>
        </w:rPr>
        <w:t xml:space="preserve"> and (e) the incurrence of any Indebtedness pursuant to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7.03(h)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7.03(i)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7.03(j)</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7.03(r)</w:t>
      </w:r>
      <w:r>
        <w:rPr>
          <w:rFonts w:ascii="Times New Roman" w:cs="Times New Roman" w:eastAsia="Times New Roman" w:hAnsi="Times New Roman"/>
          <w:sz w:val="21"/>
          <w:szCs w:val="21"/>
          <w:color w:val="auto"/>
        </w:rPr>
        <w:t xml:space="preserve"> as the context may require.</w:t>
      </w:r>
    </w:p>
    <w:p>
      <w:pPr>
        <w:spacing w:after="0" w:line="167"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Spot Rate</w:t>
      </w:r>
      <w:r>
        <w:rPr>
          <w:rFonts w:ascii="Times New Roman" w:cs="Times New Roman" w:eastAsia="Times New Roman" w:hAnsi="Times New Roman"/>
          <w:sz w:val="21"/>
          <w:szCs w:val="21"/>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L/C Issuer may use such spot rate quoted on the date as of which the foreign exchange computation is made in the case of any Letter of Credit or Bankers’ Acceptance denominated in an Alternative Currency.</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Sterling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 the lawful currency of the United Kingdom.</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STRH</w:t>
      </w:r>
      <w:r>
        <w:rPr>
          <w:rFonts w:ascii="Times New Roman" w:cs="Times New Roman" w:eastAsia="Times New Roman" w:hAnsi="Times New Roman"/>
          <w:sz w:val="21"/>
          <w:szCs w:val="21"/>
          <w:color w:val="auto"/>
        </w:rPr>
        <w:t>” means SunTrust Robinson Humphrey, Inc. and its successors.</w:t>
      </w:r>
    </w:p>
    <w:p>
      <w:pPr>
        <w:spacing w:after="0" w:line="211"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95" w:name="page96"/>
    <w:bookmarkEnd w:id="95"/>
    <w:p>
      <w:pPr>
        <w:jc w:val="both"/>
        <w:spacing w:after="0" w:line="270" w:lineRule="auto"/>
        <w:rPr>
          <w:sz w:val="20"/>
          <w:szCs w:val="20"/>
          <w:color w:val="auto"/>
        </w:rPr>
      </w:pPr>
      <w:r>
        <w:rPr>
          <w:rFonts w:ascii="Times New Roman" w:cs="Times New Roman" w:eastAsia="Times New Roman" w:hAnsi="Times New Roman"/>
          <w:sz w:val="21"/>
          <w:szCs w:val="21"/>
          <w:color w:val="auto"/>
        </w:rPr>
        <w:t>indirectly through one or more intermediaries, or both, by such Person. Unless otherwise specified, all references herein to a “Subsidiary” or to “Subsidiaries” shall refer to a Subsidiary or Subsidiaries of the Company.</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 Guarantors</w:t>
      </w:r>
      <w:r>
        <w:rPr>
          <w:rFonts w:ascii="Times New Roman" w:cs="Times New Roman" w:eastAsia="Times New Roman" w:hAnsi="Times New Roman"/>
          <w:sz w:val="21"/>
          <w:szCs w:val="21"/>
          <w:color w:val="auto"/>
        </w:rPr>
        <w:t xml:space="preserve">” means, collectively, each Subsidiary (whether now existing or hereafter created or acquired) who is a party to the Subsidiary Guaranty and has otherwise satisfied all of the conditions required of it under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 Guaranty</w:t>
      </w:r>
      <w:r>
        <w:rPr>
          <w:rFonts w:ascii="Times New Roman" w:cs="Times New Roman" w:eastAsia="Times New Roman" w:hAnsi="Times New Roman"/>
          <w:sz w:val="21"/>
          <w:szCs w:val="21"/>
          <w:color w:val="auto"/>
        </w:rPr>
        <w:t>” means the Second Amended and Restated Subsidiary Guaranty Agreement dated as of February 22, 2017 executed by the Subsidiary Guarantors in favor of the Administrative Agent for the benefit of the Secured Parties, as supplemented from time to time by execution and delivery of Subsidiary Guaranty Joinder Agreements.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 Guaranty Joinder Agreement</w:t>
      </w:r>
      <w:r>
        <w:rPr>
          <w:rFonts w:ascii="Times New Roman" w:cs="Times New Roman" w:eastAsia="Times New Roman" w:hAnsi="Times New Roman"/>
          <w:sz w:val="21"/>
          <w:szCs w:val="21"/>
          <w:color w:val="auto"/>
        </w:rPr>
        <w:t xml:space="preserve">” means each Subsidiary Guaranty Joinder Agreement, substantially in the form thereof attached to the Subsidiary Guaranty, executed and delivered by a Restricted Subsidiary pursuant to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xml:space="preserve"> or otherwise.</w:t>
      </w:r>
    </w:p>
    <w:p>
      <w:pPr>
        <w:spacing w:after="0" w:line="154"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Surety</w:t>
      </w:r>
      <w:r>
        <w:rPr>
          <w:rFonts w:ascii="Times New Roman" w:cs="Times New Roman" w:eastAsia="Times New Roman" w:hAnsi="Times New Roman"/>
          <w:sz w:val="21"/>
          <w:szCs w:val="21"/>
          <w:color w:val="auto"/>
        </w:rPr>
        <w:t>” means (i) Travelers Casualty and Surety Company of America and its successors and permitted assigns or (ii) any Person who replaces or supplements the Person identified in clause (i) under the applicable Surety Credit Documents as executor or procurer of bonds pursuant to such Surety Credit Documents, and their co-sureties and reinsurers, and their respective successors and permitted assigns.</w:t>
      </w:r>
    </w:p>
    <w:p>
      <w:pPr>
        <w:spacing w:after="0" w:line="17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Surety Bond Obligations</w:t>
      </w:r>
      <w:r>
        <w:rPr>
          <w:rFonts w:ascii="Times New Roman" w:cs="Times New Roman" w:eastAsia="Times New Roman" w:hAnsi="Times New Roman"/>
          <w:sz w:val="21"/>
          <w:szCs w:val="21"/>
          <w:color w:val="auto"/>
        </w:rPr>
        <w:t>” means obligations to the issuers of surety bonds for the account of the Company or a Subsidiary, which for all purposes herein shall be calculated based on the estimated cost to complete the applicable projects taking into consideration the progress made on any such projects and not the face value or penal sum of such surety bonds.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Surety Credit Documents</w:t>
      </w:r>
      <w:r>
        <w:rPr>
          <w:rFonts w:ascii="Times New Roman" w:cs="Times New Roman" w:eastAsia="Times New Roman" w:hAnsi="Times New Roman"/>
          <w:sz w:val="21"/>
          <w:szCs w:val="21"/>
          <w:color w:val="auto"/>
        </w:rPr>
        <w:t>” has the meaning specified in the applicable Intercreditor Agreement (such incorporation to include the defined terms contained in the definition of Surety Credit Documents contained in such Intercreditor Agreement).</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Surety Priority Collateral</w:t>
      </w:r>
      <w:r>
        <w:rPr>
          <w:rFonts w:ascii="Times New Roman" w:cs="Times New Roman" w:eastAsia="Times New Roman" w:hAnsi="Times New Roman"/>
          <w:sz w:val="21"/>
          <w:szCs w:val="21"/>
          <w:color w:val="auto"/>
        </w:rPr>
        <w:t>” has the meaning specified in the applicable Intercreditor Agreement (such incorporation to include the defined terms contained in the definition of Surety Priority Collateral contained in such Intercreditor Agreement).</w:t>
      </w:r>
    </w:p>
    <w:p>
      <w:pPr>
        <w:spacing w:after="0" w:line="154"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Contract</w:t>
      </w:r>
      <w:r>
        <w:rPr>
          <w:rFonts w:ascii="Times New Roman" w:cs="Times New Roman" w:eastAsia="Times New Roman" w:hAnsi="Times New Roman"/>
          <w:sz w:val="21"/>
          <w:szCs w:val="21"/>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96" w:name="page97"/>
    <w:bookmarkEnd w:id="96"/>
    <w:p>
      <w:pPr>
        <w:jc w:val="both"/>
        <w:spacing w:after="0" w:line="270" w:lineRule="auto"/>
        <w:rPr>
          <w:sz w:val="20"/>
          <w:szCs w:val="20"/>
          <w:color w:val="auto"/>
        </w:rPr>
      </w:pPr>
      <w:r>
        <w:rPr>
          <w:rFonts w:ascii="Times New Roman" w:cs="Times New Roman" w:eastAsia="Times New Roman" w:hAnsi="Times New Roman"/>
          <w:sz w:val="21"/>
          <w:szCs w:val="21"/>
          <w:color w:val="auto"/>
        </w:rPr>
        <w:t>Foreign Exchange Master Agreement, or any other master agreement (any such master agreement, together with any related schedules, a “</w:t>
      </w:r>
      <w:r>
        <w:rPr>
          <w:rFonts w:ascii="Times New Roman" w:cs="Times New Roman" w:eastAsia="Times New Roman" w:hAnsi="Times New Roman"/>
          <w:sz w:val="21"/>
          <w:szCs w:val="21"/>
          <w:u w:val="single" w:color="auto"/>
          <w:color w:val="auto"/>
        </w:rPr>
        <w:t>Master Agreement</w:t>
      </w:r>
      <w:r>
        <w:rPr>
          <w:rFonts w:ascii="Times New Roman" w:cs="Times New Roman" w:eastAsia="Times New Roman" w:hAnsi="Times New Roman"/>
          <w:sz w:val="21"/>
          <w:szCs w:val="21"/>
          <w:color w:val="auto"/>
        </w:rPr>
        <w:t>”), including any such obligations or liabilities under any Master Agreement.</w:t>
      </w:r>
    </w:p>
    <w:p>
      <w:pPr>
        <w:spacing w:after="0" w:line="15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Obligation</w:t>
      </w:r>
      <w:r>
        <w:rPr>
          <w:rFonts w:ascii="Times New Roman" w:cs="Times New Roman" w:eastAsia="Times New Roman" w:hAnsi="Times New Roman"/>
          <w:sz w:val="21"/>
          <w:szCs w:val="21"/>
          <w:color w:val="auto"/>
        </w:rPr>
        <w:t>” means, with respect to any Guarantor, any obligation to pay or perform under any agreement, contract or transaction that constitutes a “swap” within the meaning of Section 1a(47) of the Commodity Exchange Act.</w:t>
      </w:r>
    </w:p>
    <w:p>
      <w:pPr>
        <w:spacing w:after="0" w:line="154"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Termination Value</w:t>
      </w:r>
      <w:r>
        <w:rPr>
          <w:rFonts w:ascii="Times New Roman" w:cs="Times New Roman" w:eastAsia="Times New Roman" w:hAnsi="Times New Roman"/>
          <w:sz w:val="21"/>
          <w:szCs w:val="21"/>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Line Borrowing</w:t>
      </w:r>
      <w:r>
        <w:rPr>
          <w:rFonts w:ascii="Times New Roman" w:cs="Times New Roman" w:eastAsia="Times New Roman" w:hAnsi="Times New Roman"/>
          <w:sz w:val="21"/>
          <w:szCs w:val="21"/>
          <w:color w:val="auto"/>
        </w:rPr>
        <w:t xml:space="preserve">” means a borrowing of a Swing Line Loan pursuant to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Line Lender</w:t>
      </w:r>
      <w:r>
        <w:rPr>
          <w:rFonts w:ascii="Times New Roman" w:cs="Times New Roman" w:eastAsia="Times New Roman" w:hAnsi="Times New Roman"/>
          <w:sz w:val="21"/>
          <w:szCs w:val="21"/>
          <w:color w:val="auto"/>
        </w:rPr>
        <w:t>” means Bank of America in its capacity as provider of Swing Line Loans, or any successor swing line lender hereunder.</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Line Loan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2.04(a)</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Line Loan Notice</w:t>
      </w:r>
      <w:r>
        <w:rPr>
          <w:rFonts w:ascii="Times New Roman" w:cs="Times New Roman" w:eastAsia="Times New Roman" w:hAnsi="Times New Roman"/>
          <w:sz w:val="21"/>
          <w:szCs w:val="21"/>
          <w:color w:val="auto"/>
        </w:rPr>
        <w:t xml:space="preserve">” means a notice of a Swing Line Borrowing pursuant to </w:t>
      </w:r>
      <w:r>
        <w:rPr>
          <w:rFonts w:ascii="Times New Roman" w:cs="Times New Roman" w:eastAsia="Times New Roman" w:hAnsi="Times New Roman"/>
          <w:sz w:val="21"/>
          <w:szCs w:val="21"/>
          <w:u w:val="single" w:color="auto"/>
          <w:color w:val="auto"/>
        </w:rPr>
        <w:t>Section 2.04(b)</w:t>
      </w:r>
      <w:r>
        <w:rPr>
          <w:rFonts w:ascii="Times New Roman" w:cs="Times New Roman" w:eastAsia="Times New Roman" w:hAnsi="Times New Roman"/>
          <w:sz w:val="21"/>
          <w:szCs w:val="21"/>
          <w:color w:val="auto"/>
        </w:rPr>
        <w:t xml:space="preserve">, which, if in writing, shall be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or such other form as approved by the Administrative Agent (including any reasonable and customary form on an electronic platform or electronic transmission system as shall be approved by the Administrative Agent) and as to which the Company shall have previously been informed in writing, appropriately completed and signed by a Responsible Officer of the Company.</w:t>
      </w:r>
    </w:p>
    <w:p>
      <w:pPr>
        <w:spacing w:after="0" w:line="17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Line Sublimit</w:t>
      </w:r>
      <w:r>
        <w:rPr>
          <w:rFonts w:ascii="Times New Roman" w:cs="Times New Roman" w:eastAsia="Times New Roman" w:hAnsi="Times New Roman"/>
          <w:sz w:val="21"/>
          <w:szCs w:val="21"/>
          <w:color w:val="auto"/>
        </w:rPr>
        <w:t>” means an amount equal to the lesser of (a) $125,000,000, as such amount may be adjusted from time to time in accordance with this Agreement, and (b) the Aggregate (USD) Commitments. The Swing Line Sublimit is part of, and not in addition to, the Aggregate (USD) Commitments.</w:t>
      </w:r>
    </w:p>
    <w:p>
      <w:pPr>
        <w:spacing w:after="0" w:line="167"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Synthetic Lease Obligation</w:t>
      </w:r>
      <w:r>
        <w:rPr>
          <w:rFonts w:ascii="Times New Roman" w:cs="Times New Roman" w:eastAsia="Times New Roman" w:hAnsi="Times New Roman"/>
          <w:sz w:val="21"/>
          <w:szCs w:val="21"/>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7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TARGET2</w:t>
      </w:r>
      <w:r>
        <w:rPr>
          <w:rFonts w:ascii="Times New Roman" w:cs="Times New Roman" w:eastAsia="Times New Roman" w:hAnsi="Times New Roman"/>
          <w:sz w:val="21"/>
          <w:szCs w:val="21"/>
          <w:color w:val="auto"/>
        </w:rPr>
        <w:t>” means the Trans-European Automated Real-time Gross Settlement Express Transfer payment system which utilizes a single shared platform and which was launched on November 19, 2007.</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97" w:name="page98"/>
    <w:bookmarkEnd w:id="97"/>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 Day</w:t>
      </w:r>
      <w:r>
        <w:rPr>
          <w:rFonts w:ascii="Times New Roman" w:cs="Times New Roman" w:eastAsia="Times New Roman" w:hAnsi="Times New Roman"/>
          <w:sz w:val="21"/>
          <w:szCs w:val="21"/>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5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Loan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2.01(c)</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Loan Borrowing</w:t>
      </w:r>
      <w:r>
        <w:rPr>
          <w:rFonts w:ascii="Times New Roman" w:cs="Times New Roman" w:eastAsia="Times New Roman" w:hAnsi="Times New Roman"/>
          <w:sz w:val="21"/>
          <w:szCs w:val="21"/>
          <w:color w:val="auto"/>
        </w:rPr>
        <w:t xml:space="preserve">” means a borrowing consisting of simultaneous Term Loans of the same Type and, in the case of Eurocurrency Rate Loans, having the same Interest Period made by each of the Term Loan Lenders pursuant to </w:t>
      </w:r>
      <w:r>
        <w:rPr>
          <w:rFonts w:ascii="Times New Roman" w:cs="Times New Roman" w:eastAsia="Times New Roman" w:hAnsi="Times New Roman"/>
          <w:sz w:val="21"/>
          <w:szCs w:val="21"/>
          <w:u w:val="single" w:color="auto"/>
          <w:color w:val="auto"/>
        </w:rPr>
        <w:t>Section 2.01(c)</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Loan Commitment</w:t>
      </w:r>
      <w:r>
        <w:rPr>
          <w:rFonts w:ascii="Times New Roman" w:cs="Times New Roman" w:eastAsia="Times New Roman" w:hAnsi="Times New Roman"/>
          <w:sz w:val="21"/>
          <w:szCs w:val="21"/>
          <w:color w:val="auto"/>
        </w:rPr>
        <w:t xml:space="preserve">” means, as to each Lender, its obligation to make a single Term Loan to the Borrowers pursuant to </w:t>
      </w:r>
      <w:r>
        <w:rPr>
          <w:rFonts w:ascii="Times New Roman" w:cs="Times New Roman" w:eastAsia="Times New Roman" w:hAnsi="Times New Roman"/>
          <w:sz w:val="21"/>
          <w:szCs w:val="21"/>
          <w:u w:val="single" w:color="auto"/>
          <w:color w:val="auto"/>
        </w:rPr>
        <w:t>Section 2.01(c)</w:t>
      </w:r>
      <w:r>
        <w:rPr>
          <w:rFonts w:ascii="Times New Roman" w:cs="Times New Roman" w:eastAsia="Times New Roman" w:hAnsi="Times New Roman"/>
          <w:sz w:val="21"/>
          <w:szCs w:val="21"/>
          <w:color w:val="auto"/>
        </w:rPr>
        <w:t xml:space="preserve"> on the Closing Date in a principal amount not to exceed the amount set forth opposite such Lender’s name on </w:t>
      </w:r>
      <w:r>
        <w:rPr>
          <w:rFonts w:ascii="Times New Roman" w:cs="Times New Roman" w:eastAsia="Times New Roman" w:hAnsi="Times New Roman"/>
          <w:sz w:val="21"/>
          <w:szCs w:val="21"/>
          <w:u w:val="single" w:color="auto"/>
          <w:color w:val="auto"/>
        </w:rPr>
        <w:t>Annex II</w:t>
      </w:r>
      <w:r>
        <w:rPr>
          <w:rFonts w:ascii="Times New Roman" w:cs="Times New Roman" w:eastAsia="Times New Roman" w:hAnsi="Times New Roman"/>
          <w:sz w:val="21"/>
          <w:szCs w:val="21"/>
          <w:color w:val="auto"/>
        </w:rPr>
        <w:t xml:space="preserve"> under the caption “Term Loan Commitment” or opposite such caption in the Assignment and Assumption pursuant to which such Lender becomes a party hereto, as applicable, as such amount may be adjusted from time to time in accordance with this Agreement.</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Loan Facility</w:t>
      </w:r>
      <w:r>
        <w:rPr>
          <w:rFonts w:ascii="Times New Roman" w:cs="Times New Roman" w:eastAsia="Times New Roman" w:hAnsi="Times New Roman"/>
          <w:sz w:val="21"/>
          <w:szCs w:val="21"/>
          <w:color w:val="auto"/>
        </w:rPr>
        <w:t xml:space="preserve">” means, at any time, the term loan facility provided pursuant to </w:t>
      </w:r>
      <w:r>
        <w:rPr>
          <w:rFonts w:ascii="Times New Roman" w:cs="Times New Roman" w:eastAsia="Times New Roman" w:hAnsi="Times New Roman"/>
          <w:sz w:val="21"/>
          <w:szCs w:val="21"/>
          <w:u w:val="single" w:color="auto"/>
          <w:color w:val="auto"/>
        </w:rPr>
        <w:t>Section 2.01(c)</w:t>
      </w:r>
      <w:r>
        <w:rPr>
          <w:rFonts w:ascii="Times New Roman" w:cs="Times New Roman" w:eastAsia="Times New Roman" w:hAnsi="Times New Roman"/>
          <w:sz w:val="21"/>
          <w:szCs w:val="21"/>
          <w:color w:val="auto"/>
        </w:rPr>
        <w:t xml:space="preserve"> of this Agreement.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Loan Lender</w:t>
      </w:r>
      <w:r>
        <w:rPr>
          <w:rFonts w:ascii="Times New Roman" w:cs="Times New Roman" w:eastAsia="Times New Roman" w:hAnsi="Times New Roman"/>
          <w:sz w:val="21"/>
          <w:szCs w:val="21"/>
          <w:color w:val="auto"/>
        </w:rPr>
        <w:t>” means, at any time, any Lender that has a Term Loan Commitment or an outstanding Term Loan at such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time.</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Threshold Amount</w:t>
      </w:r>
      <w:r>
        <w:rPr>
          <w:rFonts w:ascii="Times New Roman" w:cs="Times New Roman" w:eastAsia="Times New Roman" w:hAnsi="Times New Roman"/>
          <w:sz w:val="21"/>
          <w:szCs w:val="21"/>
          <w:color w:val="auto"/>
        </w:rPr>
        <w:t>” means $75,000,000.</w:t>
      </w:r>
    </w:p>
    <w:p>
      <w:pPr>
        <w:spacing w:after="0" w:line="21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Credit Exposure</w:t>
      </w:r>
      <w:r>
        <w:rPr>
          <w:rFonts w:ascii="Times New Roman" w:cs="Times New Roman" w:eastAsia="Times New Roman" w:hAnsi="Times New Roman"/>
          <w:sz w:val="21"/>
          <w:szCs w:val="21"/>
          <w:color w:val="auto"/>
        </w:rPr>
        <w:t>” means, as to any Lender at any time, the sum of the unused Commitments of such Lender at such time, the aggregate principal amount at such time of its outstanding Loans and the amount of such Lender’s participations in L/C Obligations, Bankers’ Acceptances and Swing Line Loans at such time.</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(USD) Outstandings</w:t>
      </w:r>
      <w:r>
        <w:rPr>
          <w:rFonts w:ascii="Times New Roman" w:cs="Times New Roman" w:eastAsia="Times New Roman" w:hAnsi="Times New Roman"/>
          <w:sz w:val="21"/>
          <w:szCs w:val="21"/>
          <w:color w:val="auto"/>
        </w:rPr>
        <w:t>” means the aggregate Outstanding Amount of all Committed (USD) Loans, Swing Line Loans and all L/C Obligations.</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TPEC</w:t>
      </w:r>
      <w:r>
        <w:rPr>
          <w:rFonts w:ascii="Times New Roman" w:cs="Times New Roman" w:eastAsia="Times New Roman" w:hAnsi="Times New Roman"/>
          <w:sz w:val="21"/>
          <w:szCs w:val="21"/>
          <w:color w:val="auto"/>
        </w:rPr>
        <w:t>” has the meaning specified in the definition of Foreign Finance Company Plan.</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Committed Loan or a Term Loan, its character as a Base Rate Loan or a Eurocurrency Rate Loan.</w:t>
      </w:r>
    </w:p>
    <w:p>
      <w:pPr>
        <w:spacing w:after="0" w:line="222" w:lineRule="exact"/>
        <w:rPr>
          <w:sz w:val="20"/>
          <w:szCs w:val="20"/>
          <w:color w:val="auto"/>
        </w:rPr>
      </w:pPr>
    </w:p>
    <w:p>
      <w:pPr>
        <w:jc w:val="both"/>
        <w:ind w:firstLine="6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xml:space="preserve">” means the Uniform Commercial Code as in effect in the State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98" w:name="page99"/>
    <w:bookmarkEnd w:id="98"/>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UCP</w:t>
      </w:r>
      <w:r>
        <w:rPr>
          <w:rFonts w:ascii="Times New Roman" w:cs="Times New Roman" w:eastAsia="Times New Roman" w:hAnsi="Times New Roman"/>
          <w:sz w:val="21"/>
          <w:szCs w:val="21"/>
          <w:color w:val="auto"/>
        </w:rPr>
        <w:t>” means, with respect to any Letter of Credit, the Uniform Customs and Practice for Documentary Credits, International Chamber of Commerce (“ICC”) Publication No. 600 (or such later version thereof as may be in effect at the time of issuance).</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United States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U.S.</w:t>
      </w:r>
      <w:r>
        <w:rPr>
          <w:rFonts w:ascii="Times New Roman" w:cs="Times New Roman" w:eastAsia="Times New Roman" w:hAnsi="Times New Roman"/>
          <w:sz w:val="21"/>
          <w:szCs w:val="21"/>
          <w:color w:val="auto"/>
        </w:rPr>
        <w:t>” mean the United States of America.</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Unreimbursed Amount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2.03(d)(i)</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Domestic Cash</w:t>
      </w:r>
      <w:r>
        <w:rPr>
          <w:rFonts w:ascii="Times New Roman" w:cs="Times New Roman" w:eastAsia="Times New Roman" w:hAnsi="Times New Roman"/>
          <w:sz w:val="20"/>
          <w:szCs w:val="20"/>
          <w:color w:val="auto"/>
        </w:rPr>
        <w:t xml:space="preserve">” means, at any time, the positive excess, if any, of (a) 100% of the cash of the Company and its Restricted Subsidiaries maintained in accounts located in the United States that is not subject to any Lien (other than Liens permitted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7.01(j)</w:t>
      </w:r>
      <w:r>
        <w:rPr>
          <w:rFonts w:ascii="Times New Roman" w:cs="Times New Roman" w:eastAsia="Times New Roman" w:hAnsi="Times New Roman"/>
          <w:sz w:val="20"/>
          <w:szCs w:val="20"/>
          <w:color w:val="auto"/>
        </w:rPr>
        <w:t>) or any restriction as to its use and would not appear as “restricted” on a consolidated balance sheet of the Company and its Restricted Subsidiaries (but in any event not including amounts held as Cash Collateral) over (b) $10,000,000.</w:t>
      </w:r>
    </w:p>
    <w:p>
      <w:pPr>
        <w:spacing w:after="0" w:line="158" w:lineRule="exact"/>
        <w:rPr>
          <w:sz w:val="20"/>
          <w:szCs w:val="20"/>
          <w:color w:val="auto"/>
        </w:rPr>
      </w:pPr>
    </w:p>
    <w:p>
      <w:pPr>
        <w:jc w:val="both"/>
        <w:ind w:firstLine="620"/>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Subsidiary</w:t>
      </w:r>
      <w:r>
        <w:rPr>
          <w:rFonts w:ascii="Times New Roman" w:cs="Times New Roman" w:eastAsia="Times New Roman" w:hAnsi="Times New Roman"/>
          <w:sz w:val="21"/>
          <w:szCs w:val="21"/>
          <w:color w:val="auto"/>
        </w:rPr>
        <w:t xml:space="preserve">” means (a) each Subsidiary of the Company listed as an “Unrestricted Subsidiary” on Part (d) of </w:t>
      </w:r>
      <w:r>
        <w:rPr>
          <w:rFonts w:ascii="Times New Roman" w:cs="Times New Roman" w:eastAsia="Times New Roman" w:hAnsi="Times New Roman"/>
          <w:sz w:val="21"/>
          <w:szCs w:val="21"/>
          <w:u w:val="single" w:color="auto"/>
          <w:color w:val="auto"/>
        </w:rPr>
        <w:t>Schedule 5.13</w:t>
      </w:r>
      <w:r>
        <w:rPr>
          <w:rFonts w:ascii="Times New Roman" w:cs="Times New Roman" w:eastAsia="Times New Roman" w:hAnsi="Times New Roman"/>
          <w:sz w:val="21"/>
          <w:szCs w:val="21"/>
          <w:color w:val="auto"/>
        </w:rPr>
        <w:t xml:space="preserve">, (b) each Person that becomes a Subsidiary of the Company after the date hereof (whether by reason of being newly created, by acquisition or otherwise) if, at the time such Person becomes a Subsidiary, the Company notifies the Administrative Agent that such Person shall be an Unrestricted Subsidiary for purposes of this Agreement in accordance with </w:t>
      </w:r>
      <w:r>
        <w:rPr>
          <w:rFonts w:ascii="Times New Roman" w:cs="Times New Roman" w:eastAsia="Times New Roman" w:hAnsi="Times New Roman"/>
          <w:sz w:val="21"/>
          <w:szCs w:val="21"/>
          <w:u w:val="single" w:color="auto"/>
          <w:color w:val="auto"/>
        </w:rPr>
        <w:t>Section 6.12(i)</w:t>
      </w:r>
      <w:r>
        <w:rPr>
          <w:rFonts w:ascii="Times New Roman" w:cs="Times New Roman" w:eastAsia="Times New Roman" w:hAnsi="Times New Roman"/>
          <w:sz w:val="21"/>
          <w:szCs w:val="21"/>
          <w:color w:val="auto"/>
        </w:rPr>
        <w:t xml:space="preserve"> (in which case all Investments made in such Person by the Company or any Restricted Subsidiary in connection with its becoming a Subsidiary shall be deemed to be Investments in an Unrestricted Subsidiary for purposes of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and all arrangements between such Person and the Company or any Restricted Subsidiary in existence at the time it becomes an Unrestricted Subsidiary shall be subject to </w:t>
      </w:r>
      <w:r>
        <w:rPr>
          <w:rFonts w:ascii="Times New Roman" w:cs="Times New Roman" w:eastAsia="Times New Roman" w:hAnsi="Times New Roman"/>
          <w:sz w:val="21"/>
          <w:szCs w:val="21"/>
          <w:u w:val="single" w:color="auto"/>
          <w:color w:val="auto"/>
        </w:rPr>
        <w:t>Section 7.08</w:t>
      </w:r>
      <w:r>
        <w:rPr>
          <w:rFonts w:ascii="Times New Roman" w:cs="Times New Roman" w:eastAsia="Times New Roman" w:hAnsi="Times New Roman"/>
          <w:sz w:val="21"/>
          <w:szCs w:val="21"/>
          <w:color w:val="auto"/>
        </w:rPr>
        <w:t xml:space="preserve">), (c) each Subsidiary that is designated as an Unrestricted Subsidiary pursuant to </w:t>
      </w:r>
      <w:r>
        <w:rPr>
          <w:rFonts w:ascii="Times New Roman" w:cs="Times New Roman" w:eastAsia="Times New Roman" w:hAnsi="Times New Roman"/>
          <w:sz w:val="21"/>
          <w:szCs w:val="21"/>
          <w:u w:val="single" w:color="auto"/>
          <w:color w:val="auto"/>
        </w:rPr>
        <w:t>Section 6.12(i)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(b) and (c), such designation shall be deemed to be an Investment on the date of such designation in an Unrestricted Subsidiary in an amount equal to the sum of (i) the Company’s direct or indirect equity ownership percentage of the net worth of such designated Restricted Subsidiary immediately prior to such designation (such net worth to be calculated without regard to any guarantee provided by such designated Restricted Subsidiary) and (ii) the aggregate principal amount of any Indebtedness owed by such designated Restricted Subsidiary to the Company or any Restricted Subsidiary immediately prior to such designation, all calculated except as set forth in the parenthetical to clause (i), on a consolidated basis in accordance with GAAP, and (d) each Subsidiary of an Unrestricted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sake of clarity, (x) each Loan Party is </w:t>
      </w:r>
      <w:r>
        <w:rPr>
          <w:rFonts w:ascii="Times New Roman" w:cs="Times New Roman" w:eastAsia="Times New Roman" w:hAnsi="Times New Roman"/>
          <w:sz w:val="21"/>
          <w:szCs w:val="21"/>
          <w:i w:val="1"/>
          <w:iCs w:val="1"/>
          <w:color w:val="auto"/>
        </w:rPr>
        <w:t>ipso facto</w:t>
      </w:r>
      <w:r>
        <w:rPr>
          <w:rFonts w:ascii="Times New Roman" w:cs="Times New Roman" w:eastAsia="Times New Roman" w:hAnsi="Times New Roman"/>
          <w:sz w:val="21"/>
          <w:szCs w:val="21"/>
          <w:color w:val="auto"/>
        </w:rPr>
        <w:t xml:space="preserve"> a Restricted Subsidiary, (y) if any Unrestricted Subsidiary becomes a Loan Party it shall automatically and simultaneously be deemed a Restricted Subsidiary without any required action on behalf of the Company or any other Person and (z) each Subsidiary shall be deemed a Restricted Subsidiary unless it shall have been designated as an Unrestricted Subsidiary in accordance with this Agreement.</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Holdco</w:t>
      </w:r>
      <w:r>
        <w:rPr>
          <w:rFonts w:ascii="Times New Roman" w:cs="Times New Roman" w:eastAsia="Times New Roman" w:hAnsi="Times New Roman"/>
          <w:sz w:val="21"/>
          <w:szCs w:val="21"/>
          <w:color w:val="auto"/>
        </w:rPr>
        <w:t>” has the meaning specified in the definition of Foreign Finance Company Plan.</w:t>
      </w:r>
    </w:p>
    <w:p>
      <w:pPr>
        <w:spacing w:after="0" w:line="211"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USD Commitment</w:t>
      </w:r>
      <w:r>
        <w:rPr>
          <w:rFonts w:ascii="Times New Roman" w:cs="Times New Roman" w:eastAsia="Times New Roman" w:hAnsi="Times New Roman"/>
          <w:sz w:val="21"/>
          <w:szCs w:val="21"/>
          <w:color w:val="auto"/>
        </w:rPr>
        <w:t xml:space="preserve">” means, as to each Lender, its obligation to (a) make Committed (USD) Loans to the Borrowers pursuant to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Times New Roman" w:cs="Times New Roman" w:eastAsia="Times New Roman" w:hAnsi="Times New Roman"/>
          <w:sz w:val="21"/>
          <w:szCs w:val="21"/>
          <w:u w:val="single" w:color="auto"/>
          <w:color w:val="auto"/>
        </w:rPr>
        <w:t>Annex II</w:t>
      </w:r>
      <w:r>
        <w:rPr>
          <w:rFonts w:ascii="Times New Roman" w:cs="Times New Roman" w:eastAsia="Times New Roman" w:hAnsi="Times New Roman"/>
          <w:sz w:val="21"/>
          <w:szCs w:val="21"/>
          <w:color w:val="auto"/>
        </w:rPr>
        <w:t xml:space="preserve"> under the caption “USD Commitment” or opposite such caption in the Assignment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99" w:name="page100"/>
    <w:bookmarkEnd w:id="99"/>
    <w:p>
      <w:pPr>
        <w:jc w:val="both"/>
        <w:spacing w:after="0" w:line="270" w:lineRule="auto"/>
        <w:rPr>
          <w:sz w:val="20"/>
          <w:szCs w:val="20"/>
          <w:color w:val="auto"/>
        </w:rPr>
      </w:pPr>
      <w:r>
        <w:rPr>
          <w:rFonts w:ascii="Times New Roman" w:cs="Times New Roman" w:eastAsia="Times New Roman" w:hAnsi="Times New Roman"/>
          <w:sz w:val="21"/>
          <w:szCs w:val="21"/>
          <w:color w:val="auto"/>
        </w:rPr>
        <w:t>Assumption pursuant to which such Lender becomes a party hereto, as applicable, as such amount may be adjusted from time to time in accordance with this Agreement.</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WFS</w:t>
      </w:r>
      <w:r>
        <w:rPr>
          <w:rFonts w:ascii="Times New Roman" w:cs="Times New Roman" w:eastAsia="Times New Roman" w:hAnsi="Times New Roman"/>
          <w:sz w:val="21"/>
          <w:szCs w:val="21"/>
          <w:color w:val="auto"/>
        </w:rPr>
        <w:t>” means Wells Fargo Securities, LLC and its successors.</w:t>
      </w:r>
    </w:p>
    <w:p>
      <w:pPr>
        <w:spacing w:after="0" w:line="21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Wholly-Owned</w:t>
      </w:r>
      <w:r>
        <w:rPr>
          <w:rFonts w:ascii="Times New Roman" w:cs="Times New Roman" w:eastAsia="Times New Roman" w:hAnsi="Times New Roman"/>
          <w:sz w:val="21"/>
          <w:szCs w:val="21"/>
          <w:color w:val="auto"/>
        </w:rPr>
        <w:t>” means, with respect to any direct or indirect Subsidiary of any Person, that 100% of the Equity Interests with ordinary voting power issued by such Subsidiary (other than directors’ qualifying shares and investment by foreign nationals mandated by applicable Law) is beneficially, owned, directly or indirectly, by such Person.</w:t>
      </w:r>
    </w:p>
    <w:p>
      <w:pPr>
        <w:spacing w:after="0" w:line="180"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Working Capital</w:t>
      </w:r>
      <w:r>
        <w:rPr>
          <w:rFonts w:ascii="Times New Roman" w:cs="Times New Roman" w:eastAsia="Times New Roman" w:hAnsi="Times New Roman"/>
          <w:sz w:val="21"/>
          <w:szCs w:val="21"/>
          <w:color w:val="auto"/>
        </w:rPr>
        <w:t xml:space="preserve">” means, as of any date of determination, for the Company and its Restricted Subsidiaries on a consolidated basis, the excess (if any) of consolidated current assets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consolidated current liabilities, in each case as calculated in accordance with GAAP and set forth on a consolidated balance sheet of the Company and its Restricted Subsidiaries as of such date.</w:t>
      </w:r>
    </w:p>
    <w:p>
      <w:pPr>
        <w:spacing w:after="0" w:line="16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Yen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 the lawful currency of Japan.</w:t>
      </w:r>
    </w:p>
    <w:p>
      <w:pPr>
        <w:spacing w:after="0" w:line="207"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1.03 Other Interpretive Provisions. </w:t>
      </w:r>
      <w:r>
        <w:rPr>
          <w:rFonts w:ascii="Times New Roman" w:cs="Times New Roman" w:eastAsia="Times New Roman" w:hAnsi="Times New Roman"/>
          <w:sz w:val="21"/>
          <w:szCs w:val="21"/>
          <w:color w:val="auto"/>
        </w:rPr>
        <w:t>With reference to this Agreement and each other Loan Document, unless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specified herein or in such other Loan Document:</w:t>
      </w:r>
    </w:p>
    <w:p>
      <w:pPr>
        <w:spacing w:after="0" w:line="137" w:lineRule="exact"/>
        <w:rPr>
          <w:sz w:val="20"/>
          <w:szCs w:val="20"/>
          <w:color w:val="auto"/>
        </w:rPr>
      </w:pPr>
    </w:p>
    <w:p>
      <w:pPr>
        <w:jc w:val="both"/>
        <w:ind w:firstLine="624"/>
        <w:spacing w:after="0" w:line="259" w:lineRule="auto"/>
        <w:tabs>
          <w:tab w:leader="none" w:pos="115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20"/>
          <w:szCs w:val="20"/>
          <w:u w:val="single" w:color="auto"/>
          <w:color w:val="auto"/>
        </w:rPr>
        <w:t>include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includes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shall be deemed to be followed by the phrase “without limitation.” The word “</w:t>
      </w:r>
      <w:r>
        <w:rPr>
          <w:rFonts w:ascii="Times New Roman" w:cs="Times New Roman" w:eastAsia="Times New Roman" w:hAnsi="Times New Roman"/>
          <w:sz w:val="20"/>
          <w:szCs w:val="20"/>
          <w:u w:val="single" w:color="auto"/>
          <w:color w:val="auto"/>
        </w:rPr>
        <w:t>will</w:t>
      </w:r>
      <w:r>
        <w:rPr>
          <w:rFonts w:ascii="Times New Roman" w:cs="Times New Roman" w:eastAsia="Times New Roman" w:hAnsi="Times New Roman"/>
          <w:sz w:val="20"/>
          <w:szCs w:val="20"/>
          <w:color w:val="auto"/>
        </w:rPr>
        <w:t>” shall be construed to have the same meaning and effect as the word “</w:t>
      </w:r>
      <w:r>
        <w:rPr>
          <w:rFonts w:ascii="Times New Roman" w:cs="Times New Roman" w:eastAsia="Times New Roman" w:hAnsi="Times New Roman"/>
          <w:sz w:val="20"/>
          <w:szCs w:val="20"/>
          <w:u w:val="single" w:color="auto"/>
          <w:color w:val="auto"/>
        </w:rPr>
        <w:t>shall</w:t>
      </w:r>
      <w:r>
        <w:rPr>
          <w:rFonts w:ascii="Times New Roman" w:cs="Times New Roman" w:eastAsia="Times New Roman" w:hAnsi="Times New Roman"/>
          <w:sz w:val="20"/>
          <w:szCs w:val="20"/>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20"/>
          <w:szCs w:val="20"/>
          <w:u w:val="single" w:color="auto"/>
          <w:color w:val="auto"/>
        </w:rPr>
        <w:t>hereto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and words of similar import when used in any Loan Document, shall be construed to refer to such Loan Document in its entirety and not to any particular provision thereof, (iv) all references in a Loan Document to Articles, Sections, Exhibits, Schedules and Annexes shall be construed to refer to Articles and Sections of, and Exhibits, Schedules and Annexes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Times New Roman" w:cs="Times New Roman" w:eastAsia="Times New Roman" w:hAnsi="Times New Roman"/>
          <w:sz w:val="20"/>
          <w:szCs w:val="20"/>
          <w:u w:val="single" w:color="auto"/>
          <w:color w:val="auto"/>
        </w:rPr>
        <w:t>asset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shall be construed to have the same meaning and effect and to refer to any and all tangible and intangible assets and properties, including cash, securities, accounts and contract rights.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00" w:name="page101"/>
    <w:bookmarkEnd w:id="100"/>
    <w:p>
      <w:pPr>
        <w:ind w:firstLine="624"/>
        <w:spacing w:after="0" w:line="270" w:lineRule="auto"/>
        <w:tabs>
          <w:tab w:leader="none" w:pos="115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computation of periods of time from a specified date to a later specified date, the word “</w:t>
      </w:r>
      <w:r>
        <w:rPr>
          <w:rFonts w:ascii="Times New Roman" w:cs="Times New Roman" w:eastAsia="Times New Roman" w:hAnsi="Times New Roman"/>
          <w:sz w:val="21"/>
          <w:szCs w:val="21"/>
          <w:u w:val="single" w:color="auto"/>
          <w:color w:val="auto"/>
        </w:rPr>
        <w:t>from</w:t>
      </w:r>
      <w:r>
        <w:rPr>
          <w:rFonts w:ascii="Times New Roman" w:cs="Times New Roman" w:eastAsia="Times New Roman" w:hAnsi="Times New Roman"/>
          <w:sz w:val="21"/>
          <w:szCs w:val="21"/>
          <w:color w:val="auto"/>
        </w:rPr>
        <w:t>” means “</w:t>
      </w:r>
      <w:r>
        <w:rPr>
          <w:rFonts w:ascii="Times New Roman" w:cs="Times New Roman" w:eastAsia="Times New Roman" w:hAnsi="Times New Roman"/>
          <w:sz w:val="21"/>
          <w:szCs w:val="21"/>
          <w:u w:val="single" w:color="auto"/>
          <w:color w:val="auto"/>
        </w:rPr>
        <w:t>from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including</w:t>
      </w:r>
      <w:r>
        <w:rPr>
          <w:rFonts w:ascii="Times New Roman" w:cs="Times New Roman" w:eastAsia="Times New Roman" w:hAnsi="Times New Roman"/>
          <w:sz w:val="21"/>
          <w:szCs w:val="21"/>
          <w:color w:val="auto"/>
        </w:rPr>
        <w:t>;” the words “</w:t>
      </w:r>
      <w:r>
        <w:rPr>
          <w:rFonts w:ascii="Times New Roman" w:cs="Times New Roman" w:eastAsia="Times New Roman" w:hAnsi="Times New Roman"/>
          <w:sz w:val="21"/>
          <w:szCs w:val="21"/>
          <w:u w:val="single" w:color="auto"/>
          <w:color w:val="auto"/>
        </w:rPr>
        <w:t>to</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until</w:t>
      </w:r>
      <w:r>
        <w:rPr>
          <w:rFonts w:ascii="Times New Roman" w:cs="Times New Roman" w:eastAsia="Times New Roman" w:hAnsi="Times New Roman"/>
          <w:sz w:val="21"/>
          <w:szCs w:val="21"/>
          <w:color w:val="auto"/>
        </w:rPr>
        <w:t>” each mean “</w:t>
      </w:r>
      <w:r>
        <w:rPr>
          <w:rFonts w:ascii="Times New Roman" w:cs="Times New Roman" w:eastAsia="Times New Roman" w:hAnsi="Times New Roman"/>
          <w:sz w:val="21"/>
          <w:szCs w:val="21"/>
          <w:u w:val="single" w:color="auto"/>
          <w:color w:val="auto"/>
        </w:rPr>
        <w:t>to but excluding</w:t>
      </w:r>
      <w:r>
        <w:rPr>
          <w:rFonts w:ascii="Times New Roman" w:cs="Times New Roman" w:eastAsia="Times New Roman" w:hAnsi="Times New Roman"/>
          <w:sz w:val="21"/>
          <w:szCs w:val="21"/>
          <w:color w:val="auto"/>
        </w:rPr>
        <w:t>;” and the word “</w:t>
      </w:r>
      <w:r>
        <w:rPr>
          <w:rFonts w:ascii="Times New Roman" w:cs="Times New Roman" w:eastAsia="Times New Roman" w:hAnsi="Times New Roman"/>
          <w:sz w:val="21"/>
          <w:szCs w:val="21"/>
          <w:u w:val="single" w:color="auto"/>
          <w:color w:val="auto"/>
        </w:rPr>
        <w:t>through</w:t>
      </w:r>
      <w:r>
        <w:rPr>
          <w:rFonts w:ascii="Times New Roman" w:cs="Times New Roman" w:eastAsia="Times New Roman" w:hAnsi="Times New Roman"/>
          <w:sz w:val="21"/>
          <w:szCs w:val="21"/>
          <w:color w:val="auto"/>
        </w:rPr>
        <w:t>” means “</w:t>
      </w:r>
      <w:r>
        <w:rPr>
          <w:rFonts w:ascii="Times New Roman" w:cs="Times New Roman" w:eastAsia="Times New Roman" w:hAnsi="Times New Roman"/>
          <w:sz w:val="21"/>
          <w:szCs w:val="21"/>
          <w:u w:val="single" w:color="auto"/>
          <w:color w:val="auto"/>
        </w:rPr>
        <w:t>to and including</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ind w:firstLine="624"/>
        <w:spacing w:after="0" w:line="270" w:lineRule="auto"/>
        <w:tabs>
          <w:tab w:leader="none" w:pos="106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headings herein and in the other Loan Documents are included for convenience of reference only and shall not affect the interpretation of this Agreement or any other Loan Document.</w:t>
      </w:r>
    </w:p>
    <w:p>
      <w:pPr>
        <w:spacing w:after="0" w:line="154" w:lineRule="exact"/>
        <w:rPr>
          <w:rFonts w:ascii="Times New Roman" w:cs="Times New Roman" w:eastAsia="Times New Roman" w:hAnsi="Times New Roman"/>
          <w:sz w:val="21"/>
          <w:szCs w:val="21"/>
          <w:color w:val="auto"/>
        </w:rPr>
      </w:pPr>
    </w:p>
    <w:p>
      <w:pPr>
        <w:jc w:val="both"/>
        <w:ind w:firstLine="624"/>
        <w:spacing w:after="0" w:line="262" w:lineRule="auto"/>
        <w:tabs>
          <w:tab w:leader="none" w:pos="117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consolidation, assignment, sale, disposition or transfer, or similar term, shall be deemed to apply to a division of or by a limited liability company, a limited partnership or any other entity, or an allocation of assets to a series of a limited liability company, a limited partnership or any other entity (or the unwinding of such a division or allocation), as if it were a merger, transfer, consolidation, amalgamation, consolidation, assignment, sale, disposition or transfer, or similar term, as applicable, to, of or with a separate Person. Any division of a limited liability company, a limited partnership or any other entity shall constitute a separate Person hereunder (and each division of any limited liability company, a limited partnership or any other entity that is a Subsidiary, joint venture or any other like term shall also constitute such a Person or entity).</w:t>
      </w:r>
    </w:p>
    <w:p>
      <w:pPr>
        <w:spacing w:after="0" w:line="164"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1.04 Accounting Terms. </w:t>
      </w: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All accounting terms not specifically or completely defined herein shall be construed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1"/>
          <w:szCs w:val="21"/>
          <w:u w:val="single" w:color="auto"/>
          <w:color w:val="auto"/>
        </w:rPr>
        <w:t>except</w:t>
      </w:r>
      <w:r>
        <w:rPr>
          <w:rFonts w:ascii="Times New Roman" w:cs="Times New Roman" w:eastAsia="Times New Roman" w:hAnsi="Times New Roman"/>
          <w:sz w:val="21"/>
          <w:szCs w:val="21"/>
          <w:color w:val="auto"/>
        </w:rPr>
        <w:t xml:space="preserve"> as otherwise specifically prescribed herein.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174" w:lineRule="exact"/>
        <w:rPr>
          <w:sz w:val="20"/>
          <w:szCs w:val="20"/>
          <w:color w:val="auto"/>
        </w:rPr>
      </w:pPr>
    </w:p>
    <w:p>
      <w:pPr>
        <w:jc w:val="both"/>
        <w:ind w:firstLine="624"/>
        <w:spacing w:after="0" w:line="261" w:lineRule="auto"/>
        <w:tabs>
          <w:tab w:leader="none" w:pos="111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(including any change required by the promulgation of any rule, regulation, pronouncement or opinion by the FASB or its successors)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until so amended, (A) such ratio or requirement shall continue to be computed in accordance with GAAP prior to such change therein and (B)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01" w:name="page102"/>
    <w:bookmarkEnd w:id="101"/>
    <w:p>
      <w:pPr>
        <w:jc w:val="both"/>
        <w:ind w:firstLine="624"/>
        <w:spacing w:after="0" w:line="251" w:lineRule="auto"/>
        <w:tabs>
          <w:tab w:leader="none" w:pos="1035"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Consolidation of Variable Interest Entities</w:t>
      </w:r>
      <w:r>
        <w:rPr>
          <w:rFonts w:ascii="Times New Roman" w:cs="Times New Roman" w:eastAsia="Times New Roman" w:hAnsi="Times New Roman"/>
          <w:sz w:val="21"/>
          <w:szCs w:val="21"/>
          <w:color w:val="auto"/>
        </w:rPr>
        <w:t xml:space="preserve">. All references herein to consolidated financial statements of the Company and its Subsidiaries or the Company and its Restricted Subsidiaries, as the case may be, or to the determination of any amount for the Company and its Subsidiaries on a consolidated basis or the Company and its Restricted Subsidiaries on a consolidated basis, as the case may be, or any similar reference shall, in each case, be deemed to include each variable interest entity that the Company is required to consolidate pursuant to </w:t>
      </w:r>
      <w:r>
        <w:rPr>
          <w:rFonts w:ascii="Times New Roman" w:cs="Times New Roman" w:eastAsia="Times New Roman" w:hAnsi="Times New Roman"/>
          <w:sz w:val="21"/>
          <w:szCs w:val="21"/>
          <w:u w:val="single" w:color="auto"/>
          <w:color w:val="auto"/>
        </w:rPr>
        <w:t>FASB ASC 810</w:t>
      </w:r>
      <w:r>
        <w:rPr>
          <w:rFonts w:ascii="Times New Roman" w:cs="Times New Roman" w:eastAsia="Times New Roman" w:hAnsi="Times New Roman"/>
          <w:sz w:val="21"/>
          <w:szCs w:val="21"/>
          <w:color w:val="auto"/>
        </w:rPr>
        <w:t xml:space="preserve"> as if such variable interest entity were a Subsidiary or a Restricted Subsidiary, as the case may be, as defined herein.</w:t>
      </w:r>
    </w:p>
    <w:p>
      <w:pPr>
        <w:spacing w:after="0" w:line="17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1.05 Rounding. </w:t>
      </w:r>
      <w:r>
        <w:rPr>
          <w:rFonts w:ascii="Times New Roman" w:cs="Times New Roman" w:eastAsia="Times New Roman" w:hAnsi="Times New Roman"/>
          <w:sz w:val="21"/>
          <w:szCs w:val="21"/>
          <w:color w:val="auto"/>
        </w:rPr>
        <w:t>Any financial ratios required to be maintained by the Company pursuant to this Agreement shall be calculated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3"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1.06 Exchange Rates; Currency Equivalents. </w:t>
      </w:r>
      <w:r>
        <w:rPr>
          <w:rFonts w:ascii="Times New Roman" w:cs="Times New Roman" w:eastAsia="Times New Roman" w:hAnsi="Times New Roman"/>
          <w:sz w:val="21"/>
          <w:szCs w:val="21"/>
          <w:color w:val="auto"/>
        </w:rPr>
        <w:t>(a) The Administrative Agent or the L/C Issuer, as applicable, shall determine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74" w:lineRule="exact"/>
        <w:rPr>
          <w:sz w:val="20"/>
          <w:szCs w:val="20"/>
          <w:color w:val="auto"/>
        </w:rPr>
      </w:pPr>
    </w:p>
    <w:p>
      <w:pPr>
        <w:jc w:val="both"/>
        <w:ind w:firstLine="624"/>
        <w:spacing w:after="0" w:line="251" w:lineRule="auto"/>
        <w:tabs>
          <w:tab w:leader="none" w:pos="105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Wherever in this Agreement in connection with a Committed (MC) Borrowing, the conversion, continuation or prepayment of a Eurocurrency Rate Loan or the issuance, amendment or extension of a Letter of Credit or Bankers’ Acceptance, an amount, such as a required minimum or multiple amount, is expressed in Dollars, but such Committed (MC) Borrowing, Eurocurrency Rate Loan, Letter of Credit or Bankers’ Acceptance is denominated in an Alternative Currency, such amount shall be the Alternative Currency Equivalent of such Dollar amount (rounded to the nearest unit of such Alternative Currency, with 0.5 of a unit being rounded upward), as determined by the Administrative Agent or the L/C Issuer, as the case may be.</w:t>
      </w:r>
    </w:p>
    <w:p>
      <w:pPr>
        <w:spacing w:after="0" w:line="17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1.07 Change of Currency. </w:t>
      </w:r>
      <w:r>
        <w:rPr>
          <w:rFonts w:ascii="Times New Roman" w:cs="Times New Roman" w:eastAsia="Times New Roman" w:hAnsi="Times New Roman"/>
          <w:sz w:val="21"/>
          <w:szCs w:val="21"/>
          <w:color w:val="auto"/>
        </w:rPr>
        <w:t>Each provision of this Agreement shall be subject to such reasonable changes of construction as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Administrative Agent may from time to time specify to be appropriate to reflect a change in currency of any other country and any relevant market conventions or practices relating to the change in currency.</w:t>
      </w:r>
    </w:p>
    <w:p>
      <w:pPr>
        <w:spacing w:after="0" w:line="156"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1.08 Times of Day. </w:t>
      </w:r>
      <w:r>
        <w:rPr>
          <w:rFonts w:ascii="Times New Roman" w:cs="Times New Roman" w:eastAsia="Times New Roman" w:hAnsi="Times New Roman"/>
          <w:sz w:val="21"/>
          <w:szCs w:val="21"/>
          <w:color w:val="auto"/>
        </w:rPr>
        <w:t>Unless otherwise specified, all references herein to times of day shall be references to Eastern time (daylight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standard, as applicable).</w:t>
      </w:r>
    </w:p>
    <w:p>
      <w:pPr>
        <w:spacing w:after="0" w:line="13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1.09 Letter of Credit Amounts. </w:t>
      </w:r>
      <w:r>
        <w:rPr>
          <w:rFonts w:ascii="Times New Roman" w:cs="Times New Roman" w:eastAsia="Times New Roman" w:hAnsi="Times New Roman"/>
          <w:sz w:val="21"/>
          <w:szCs w:val="21"/>
          <w:color w:val="auto"/>
        </w:rPr>
        <w:t>Unless otherwise specified herein, (a) the amount of a Letter of Credit at any time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deemed to be the Dollar Equivalent of the stated amount of such Letter of Credit in effect at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with respect to any Letter of Credit that, by its terms or the terms of any Issuer Document related thereto, provides for one or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02" w:name="page103"/>
    <w:bookmarkEnd w:id="102"/>
    <w:p>
      <w:pPr>
        <w:jc w:val="both"/>
        <w:spacing w:after="0" w:line="252" w:lineRule="auto"/>
        <w:rPr>
          <w:sz w:val="20"/>
          <w:szCs w:val="20"/>
          <w:color w:val="auto"/>
        </w:rPr>
      </w:pPr>
      <w:r>
        <w:rPr>
          <w:rFonts w:ascii="Times New Roman" w:cs="Times New Roman" w:eastAsia="Times New Roman" w:hAnsi="Times New Roman"/>
          <w:sz w:val="21"/>
          <w:szCs w:val="21"/>
          <w:color w:val="auto"/>
        </w:rPr>
        <w:t>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and (b) the amount of any Bankers’ Acceptance at any time shall be deemed to be the face value of such Bankers’ Acceptance without respect to any discounts.</w:t>
      </w:r>
    </w:p>
    <w:p>
      <w:pPr>
        <w:spacing w:after="0" w:line="170"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1.10 Making Calculations on a Pro Forma Basis. </w:t>
      </w:r>
      <w:r>
        <w:rPr>
          <w:rFonts w:ascii="Times New Roman" w:cs="Times New Roman" w:eastAsia="Times New Roman" w:hAnsi="Times New Roman"/>
          <w:sz w:val="21"/>
          <w:szCs w:val="21"/>
          <w:color w:val="auto"/>
        </w:rPr>
        <w:t>When calculating Consolidated EBITDA or Consolidated Interest Charges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for any period in order to determine compliance with the financial maintenance covenants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or in order to determine the Applicable Rate or whether a Subsidiary is a Material Subsidiary, such calculations shall be made on a Pro Forma Basis with respect to each Specified Acquisition or Specified Disposition that occurred during such period. When calculating any financial ratio incurrence test or other incurrence test hereunder at any time in connection with any proposed Specified Transaction, such calculation shall be made (i) based on the financial results for the most recently ended period of four consecutive fiscal quarters for which financial statements have been delivered to the Administrative Agent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 prior to the first delivery thereof, the financial statements described in </w:t>
      </w:r>
      <w:r>
        <w:rPr>
          <w:rFonts w:ascii="Times New Roman" w:cs="Times New Roman" w:eastAsia="Times New Roman" w:hAnsi="Times New Roman"/>
          <w:sz w:val="21"/>
          <w:szCs w:val="21"/>
          <w:u w:val="single" w:color="auto"/>
          <w:color w:val="auto"/>
        </w:rPr>
        <w:t>Section 5.05(b)</w:t>
      </w:r>
      <w:r>
        <w:rPr>
          <w:rFonts w:ascii="Times New Roman" w:cs="Times New Roman" w:eastAsia="Times New Roman" w:hAnsi="Times New Roman"/>
          <w:sz w:val="21"/>
          <w:szCs w:val="21"/>
          <w:color w:val="auto"/>
        </w:rPr>
        <w:t>) but assuming all Indebtedness outstanding at such time was outstanding as of the last day of such period and (ii) on a Pro Forma Basis with respect to the proposed Specified Transaction and each other Specified Transaction that has occurred since the first day of such period of four consecutive fiscal quarters through the day on which the proposed Specified Transaction is to be consummated.</w:t>
      </w:r>
    </w:p>
    <w:p>
      <w:pPr>
        <w:spacing w:after="0" w:line="175" w:lineRule="exact"/>
        <w:rPr>
          <w:sz w:val="20"/>
          <w:szCs w:val="20"/>
          <w:color w:val="auto"/>
        </w:rPr>
      </w:pPr>
    </w:p>
    <w:p>
      <w:pPr>
        <w:jc w:val="both"/>
        <w:ind w:firstLine="620"/>
        <w:spacing w:after="0" w:line="275" w:lineRule="auto"/>
        <w:rPr>
          <w:sz w:val="20"/>
          <w:szCs w:val="20"/>
          <w:color w:val="auto"/>
        </w:rPr>
      </w:pPr>
      <w:r>
        <w:rPr>
          <w:rFonts w:ascii="Times New Roman" w:cs="Times New Roman" w:eastAsia="Times New Roman" w:hAnsi="Times New Roman"/>
          <w:sz w:val="20"/>
          <w:szCs w:val="20"/>
          <w:b w:val="1"/>
          <w:bCs w:val="1"/>
          <w:color w:val="auto"/>
        </w:rPr>
        <w:t xml:space="preserve">1.11 Interest Rates. </w:t>
      </w:r>
      <w:r>
        <w:rPr>
          <w:rFonts w:ascii="Times New Roman" w:cs="Times New Roman" w:eastAsia="Times New Roman" w:hAnsi="Times New Roman"/>
          <w:sz w:val="20"/>
          <w:szCs w:val="20"/>
          <w:color w:val="auto"/>
        </w:rPr>
        <w:t>The Administrative Agent does not warrant, nor accept responsibility, nor shall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any liability with respect to the administration, submission or any other matter related to the rates in the definition of “Eurocurrency Rate” or with respect to any rate that is an alternative or replacement for or successor to any of such rate (including, without limitation, any LIBOR Successor Rate) or the effect of any of the foregoing, or of any LIBOR Successor Rate Conforming Changes.</w:t>
      </w:r>
    </w:p>
    <w:p>
      <w:pPr>
        <w:spacing w:after="0" w:line="147"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1.12 Currency Equivalents Generally. </w:t>
      </w:r>
      <w:r>
        <w:rPr>
          <w:rFonts w:ascii="Times New Roman" w:cs="Times New Roman" w:eastAsia="Times New Roman" w:hAnsi="Times New Roman"/>
          <w:sz w:val="21"/>
          <w:szCs w:val="21"/>
          <w:color w:val="auto"/>
        </w:rPr>
        <w:t>Any amount specified in this Agreement (other than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Articles II</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IX</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X</w:t>
      </w:r>
      <w:r>
        <w:rPr>
          <w:rFonts w:ascii="Times New Roman" w:cs="Times New Roman" w:eastAsia="Times New Roman" w:hAnsi="Times New Roman"/>
          <w:sz w:val="21"/>
          <w:szCs w:val="21"/>
          <w:color w:val="auto"/>
        </w:rPr>
        <w:t>) or any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other Loan Documents to be in Dollars shall also include the equivalent of such amount in any currency other than Dollars, such equivalent amount thereof in the applicable currency to be determined by the Administrative Agent at such time on the basis of the Spot Rate for the purchase of such currency with Dollars.</w:t>
      </w:r>
    </w:p>
    <w:p>
      <w:pPr>
        <w:spacing w:after="0" w:line="163"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1.13 Limited Condition Transactions. </w:t>
      </w:r>
      <w:r>
        <w:rPr>
          <w:rFonts w:ascii="Times New Roman" w:cs="Times New Roman" w:eastAsia="Times New Roman" w:hAnsi="Times New Roman"/>
          <w:sz w:val="21"/>
          <w:szCs w:val="21"/>
          <w:color w:val="auto"/>
        </w:rPr>
        <w:t>In the event that the Company notifies the Administrative Agent in writing that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proposed Acquisition or other Investment is a Limited Condition Transaction and that the Company wishes to test the conditions to such Acquisition or Investment, as the case may be, and the Indebtedness under an Incremental Term Loan, Incremental Equivalent Indebtedness and/or Indebtedness under </w:t>
      </w:r>
      <w:r>
        <w:rPr>
          <w:rFonts w:ascii="Times New Roman" w:cs="Times New Roman" w:eastAsia="Times New Roman" w:hAnsi="Times New Roman"/>
          <w:sz w:val="21"/>
          <w:szCs w:val="21"/>
          <w:u w:val="single" w:color="auto"/>
          <w:color w:val="auto"/>
        </w:rPr>
        <w:t>Section 7.03(j)</w:t>
      </w:r>
      <w:r>
        <w:rPr>
          <w:rFonts w:ascii="Times New Roman" w:cs="Times New Roman" w:eastAsia="Times New Roman" w:hAnsi="Times New Roman"/>
          <w:sz w:val="21"/>
          <w:szCs w:val="21"/>
          <w:color w:val="auto"/>
        </w:rPr>
        <w:t xml:space="preserve"> that is to be used to finance such Acquisition or other Investment in accordance with this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then, so long as agreed to by the Administrative Agent and the lenders providing such Indebtedness, the following provisions shall apply:</w:t>
      </w:r>
    </w:p>
    <w:p>
      <w:pPr>
        <w:spacing w:after="0" w:line="175" w:lineRule="exact"/>
        <w:rPr>
          <w:sz w:val="20"/>
          <w:szCs w:val="20"/>
          <w:color w:val="auto"/>
        </w:rPr>
      </w:pPr>
    </w:p>
    <w:p>
      <w:pPr>
        <w:jc w:val="both"/>
        <w:ind w:left="620" w:firstLine="624"/>
        <w:spacing w:after="0" w:line="263" w:lineRule="auto"/>
        <w:tabs>
          <w:tab w:leader="none" w:pos="168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condition to such Limited Condition Transaction or such Indebtedness that requires that no Default or Event of Default shall have occurred and be continuing at the time of such Limited Condition Transaction or the incurrence of such Indebtedness, shall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03" w:name="page104"/>
    <w:bookmarkEnd w:id="103"/>
    <w:p>
      <w:pPr>
        <w:jc w:val="both"/>
        <w:ind w:left="620"/>
        <w:spacing w:after="0" w:line="252" w:lineRule="auto"/>
        <w:rPr>
          <w:sz w:val="20"/>
          <w:szCs w:val="20"/>
          <w:color w:val="auto"/>
        </w:rPr>
      </w:pPr>
      <w:r>
        <w:rPr>
          <w:rFonts w:ascii="Times New Roman" w:cs="Times New Roman" w:eastAsia="Times New Roman" w:hAnsi="Times New Roman"/>
          <w:sz w:val="21"/>
          <w:szCs w:val="21"/>
          <w:color w:val="auto"/>
        </w:rPr>
        <w:t>be satisfied if no Default or Event of Default shall have occurred and be continuing at the time of the execution of the definitive agreement governing such Limited Condition Transaction (the “</w:t>
      </w:r>
      <w:r>
        <w:rPr>
          <w:rFonts w:ascii="Times New Roman" w:cs="Times New Roman" w:eastAsia="Times New Roman" w:hAnsi="Times New Roman"/>
          <w:sz w:val="21"/>
          <w:szCs w:val="21"/>
          <w:u w:val="single" w:color="auto"/>
          <w:color w:val="auto"/>
        </w:rPr>
        <w:t>LCT Test Date</w:t>
      </w:r>
      <w:r>
        <w:rPr>
          <w:rFonts w:ascii="Times New Roman" w:cs="Times New Roman" w:eastAsia="Times New Roman" w:hAnsi="Times New Roman"/>
          <w:sz w:val="21"/>
          <w:szCs w:val="21"/>
          <w:color w:val="auto"/>
        </w:rPr>
        <w:t>”) both immediately before and immediately after giving effect to such Limited Condition Transaction and any Indebtedness incurred in connection therewith (including any such additional Indebtedness);</w:t>
      </w:r>
    </w:p>
    <w:p>
      <w:pPr>
        <w:spacing w:after="0" w:line="174" w:lineRule="exact"/>
        <w:rPr>
          <w:sz w:val="20"/>
          <w:szCs w:val="20"/>
          <w:color w:val="auto"/>
        </w:rPr>
      </w:pPr>
    </w:p>
    <w:p>
      <w:pPr>
        <w:jc w:val="both"/>
        <w:ind w:left="620" w:firstLine="624"/>
        <w:spacing w:after="0" w:line="257" w:lineRule="auto"/>
        <w:tabs>
          <w:tab w:leader="none" w:pos="1679"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condition to such Limited Condition Transaction or such Indebtedness that the representations and warranties in this Agreement and the other Loan Documents shall be true and correct at the time of consummation of such Limited Condition Transaction or the incurrence of such Indebtedness shall be deemed satisfied if (i) all representations and warranties in this Agreement and the other Loan Documents are true and correct in all material respects as of the LCT Test Date, except that (A) if a qualifier relating to materiality, Material Adverse Effect or a similar concept applies, such representation or warranty shall be required to be true and correct in all respects, (B)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required to be true and correct in all respects as of such earlier date), and (C) for purposes of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the representations and warranties contained in subsections (a), (b) and (c)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clauses (a) and (b),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and (ii) as of the date of consummation of such Limited Condition Transaction, (A) the representations and warranties under the relevant definitive agreement governing such Limited Condition Transaction as are material to the lenders providing such Indebtedness shall be true and correct, but only to the extent that the Company or its applicable Subsidiary has the right to terminate its obligations under such agreement or otherwise decline to close such Limited Condition Transaction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Indebtedness shall be true and correct in all material respects, except that (I) if a qualifier relating to materiality, Material Adverse Effect or a similar concept applies, such representation or warranty shall be required to be true and correct in all respects, (II)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required to be true and correct in all respects as of such earlier date), and</w:t>
      </w:r>
    </w:p>
    <w:p>
      <w:pPr>
        <w:spacing w:after="0" w:line="17" w:lineRule="exact"/>
        <w:rPr>
          <w:rFonts w:ascii="Times New Roman" w:cs="Times New Roman" w:eastAsia="Times New Roman" w:hAnsi="Times New Roman"/>
          <w:sz w:val="20"/>
          <w:szCs w:val="20"/>
          <w:color w:val="auto"/>
        </w:rPr>
      </w:pPr>
    </w:p>
    <w:p>
      <w:pPr>
        <w:ind w:left="620" w:firstLine="4"/>
        <w:spacing w:after="0" w:line="273" w:lineRule="auto"/>
        <w:tabs>
          <w:tab w:leader="none" w:pos="102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the representations and warranties contained in subsections (a), (b) and (c)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clauses (a) and (b),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jc w:val="both"/>
        <w:ind w:left="620" w:firstLine="624"/>
        <w:spacing w:after="0" w:line="263" w:lineRule="auto"/>
        <w:tabs>
          <w:tab w:leader="none" w:pos="1745"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financial ratio test or condition to be tested in connection with such Limited Condition Transaction and the availability of such Indebtedness will be tested as of the LCT Test Date, in each case, after giving effect to the relevant Limited Condition Transaction and related incurrence of Indebtedness, calculated on a Pro Forma Basis pursuant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04" w:name="page105"/>
    <w:bookmarkEnd w:id="104"/>
    <w:p>
      <w:pPr>
        <w:jc w:val="both"/>
        <w:ind w:left="620"/>
        <w:spacing w:after="0" w:line="249" w:lineRule="auto"/>
        <w:rPr>
          <w:sz w:val="20"/>
          <w:szCs w:val="20"/>
          <w:color w:val="auto"/>
        </w:rPr>
      </w:pPr>
      <w:r>
        <w:rPr>
          <w:rFonts w:ascii="Times New Roman" w:cs="Times New Roman" w:eastAsia="Times New Roman" w:hAnsi="Times New Roman"/>
          <w:sz w:val="21"/>
          <w:szCs w:val="21"/>
          <w:color w:val="auto"/>
        </w:rPr>
        <w:t xml:space="preserve">to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where applicable, and, for the avoidance of doubt, (i) such ratios and baskets shall not be tested at the time of consummation of such Limited Condition Transaction and (ii) if any of such ratios are exceeded or conditions are not met following the LCT Test Date, but prior to the closing of such Limited Condition Transaction, as a result of fluctuations in such ratio or amount,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 and</w:t>
      </w:r>
    </w:p>
    <w:p>
      <w:pPr>
        <w:spacing w:after="0" w:line="176" w:lineRule="exact"/>
        <w:rPr>
          <w:sz w:val="20"/>
          <w:szCs w:val="20"/>
          <w:color w:val="auto"/>
        </w:rPr>
      </w:pPr>
    </w:p>
    <w:p>
      <w:pPr>
        <w:jc w:val="both"/>
        <w:ind w:left="620" w:firstLine="624"/>
        <w:spacing w:after="0" w:line="247" w:lineRule="auto"/>
        <w:tabs>
          <w:tab w:leader="none" w:pos="170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the next sentence, in connection with any subsequent calculation of any ratio or basket on or following the relevant LCT Test Date and prior to the earlier of the date on which such Limited Condition Transaction is consummated and the date that the definitive agreement for such Limited Condition Transaction is terminated or expires without consummation of such Limited Condition Transaction, any such ratio or basket shall be calculated both (i) on a Pro Forma Basis pursuant to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assuming such Limited Condition Transaction and other transactions in connection therewith (including the incurrence or assumption of Indebtedness and the use of proceeds thereof) have been consummated and (ii) assuming such Limited Condition Transaction and other transactions in connection therewith (including the incurrence or assumption of Indebtedness and the use of proceeds thereof) have not been consummated. Notwithstanding the foregoing, any calculation of a ratio in connection with determining the Applicable Rate and determining whether or not the Company is in compliance with the financial covenants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shall, in each case, be calculated assuming such Limited Condition Transaction and other transactions in connection therewith (including the incurrence or assumption of Indebtedness and the use of proceeds thereof) have not been consummated.</w:t>
      </w:r>
    </w:p>
    <w:p>
      <w:pPr>
        <w:spacing w:after="0" w:line="183" w:lineRule="exact"/>
        <w:rPr>
          <w:sz w:val="20"/>
          <w:szCs w:val="20"/>
          <w:color w:val="auto"/>
        </w:rPr>
      </w:pPr>
    </w:p>
    <w:p>
      <w:pPr>
        <w:ind w:left="180" w:firstLine="620"/>
        <w:spacing w:after="0" w:line="270" w:lineRule="auto"/>
        <w:rPr>
          <w:sz w:val="20"/>
          <w:szCs w:val="20"/>
          <w:color w:val="auto"/>
        </w:rPr>
      </w:pPr>
      <w:r>
        <w:rPr>
          <w:rFonts w:ascii="Times New Roman" w:cs="Times New Roman" w:eastAsia="Times New Roman" w:hAnsi="Times New Roman"/>
          <w:sz w:val="21"/>
          <w:szCs w:val="21"/>
          <w:color w:val="auto"/>
        </w:rPr>
        <w:t>The foregoing provisions shall apply with similar effect during the pendency of multiple Limited Condition Transactions such that each of the possible scenarios is separately tested.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COMMITMENTS AND CREDIT EXTENSIONS</w:t>
      </w:r>
    </w:p>
    <w:p>
      <w:pPr>
        <w:spacing w:after="0" w:line="22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2.01</w:t>
      </w:r>
      <w:r>
        <w:rPr>
          <w:sz w:val="20"/>
          <w:szCs w:val="20"/>
          <w:color w:val="auto"/>
        </w:rPr>
        <w:tab/>
      </w:r>
      <w:r>
        <w:rPr>
          <w:rFonts w:ascii="Times New Roman" w:cs="Times New Roman" w:eastAsia="Times New Roman" w:hAnsi="Times New Roman"/>
          <w:sz w:val="20"/>
          <w:szCs w:val="20"/>
          <w:b w:val="1"/>
          <w:bCs w:val="1"/>
          <w:color w:val="auto"/>
        </w:rPr>
        <w:t>Loans.</w:t>
      </w:r>
    </w:p>
    <w:p>
      <w:pPr>
        <w:spacing w:after="0" w:line="228" w:lineRule="exact"/>
        <w:rPr>
          <w:sz w:val="20"/>
          <w:szCs w:val="20"/>
          <w:color w:val="auto"/>
        </w:rPr>
      </w:pPr>
    </w:p>
    <w:p>
      <w:pPr>
        <w:jc w:val="both"/>
        <w:ind w:firstLine="624"/>
        <w:spacing w:after="0" w:line="248" w:lineRule="auto"/>
        <w:tabs>
          <w:tab w:leader="none" w:pos="1112"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Committed (USD) Loans</w:t>
      </w:r>
      <w:r>
        <w:rPr>
          <w:rFonts w:ascii="Times New Roman" w:cs="Times New Roman" w:eastAsia="Times New Roman" w:hAnsi="Times New Roman"/>
          <w:sz w:val="21"/>
          <w:szCs w:val="21"/>
          <w:color w:val="auto"/>
        </w:rPr>
        <w:t>. Subject to the terms and conditions set forth herein, each Committed (USD) Lender severally agrees to make loans (each such loan, a “</w:t>
      </w:r>
      <w:r>
        <w:rPr>
          <w:rFonts w:ascii="Times New Roman" w:cs="Times New Roman" w:eastAsia="Times New Roman" w:hAnsi="Times New Roman"/>
          <w:sz w:val="21"/>
          <w:szCs w:val="21"/>
          <w:u w:val="single" w:color="auto"/>
          <w:color w:val="auto"/>
        </w:rPr>
        <w:t>Committed (USD) Loan</w:t>
      </w:r>
      <w:r>
        <w:rPr>
          <w:rFonts w:ascii="Times New Roman" w:cs="Times New Roman" w:eastAsia="Times New Roman" w:hAnsi="Times New Roman"/>
          <w:sz w:val="21"/>
          <w:szCs w:val="21"/>
          <w:color w:val="auto"/>
        </w:rPr>
        <w:t xml:space="preserve">”) to the Borrowers, in Dollars, from time to time, on any Business Day during the Availability Period with respect to the Committed (USD) Facility, in an aggregate amount not to exceed at any time outstanding the amount of such Lender’s USD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after giving effect to any Committed (USD) Borrowing, (i) the Total (USD) Outstandings shall not exceed the Aggregate (USD) Commitments and (ii) the aggregate Outstanding Amount of the Committed (USD) Loans of any Lender,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Lender’s Applicable (USD) Percentage of the Outstanding Amount of all L/C Obligations,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Lender’s Applicable (USD) Percentage of the Outstanding Amount of all Swing Line Loans shall not exceed such Lender’s USD Commitment. Within the limits of each Committed (USD) Lender’s USD Commitment, and subject to the other terms and conditions hereof, the Borrowers may borrow under this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 xml:space="preserve">, prepay under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reborrow under this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 Committed (USD) Loans may be Base Rate Loans or Eurocurrency Rate Loans, as further provided herein.</w:t>
      </w:r>
    </w:p>
    <w:p>
      <w:pPr>
        <w:spacing w:after="0" w:line="179" w:lineRule="exact"/>
        <w:rPr>
          <w:rFonts w:ascii="Times New Roman" w:cs="Times New Roman" w:eastAsia="Times New Roman" w:hAnsi="Times New Roman"/>
          <w:sz w:val="21"/>
          <w:szCs w:val="21"/>
          <w:color w:val="auto"/>
        </w:rPr>
      </w:pPr>
    </w:p>
    <w:p>
      <w:pPr>
        <w:jc w:val="both"/>
        <w:ind w:firstLine="624"/>
        <w:spacing w:after="0" w:line="263" w:lineRule="auto"/>
        <w:tabs>
          <w:tab w:leader="none" w:pos="104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Committed (MC) Loans</w:t>
      </w:r>
      <w:r>
        <w:rPr>
          <w:rFonts w:ascii="Times New Roman" w:cs="Times New Roman" w:eastAsia="Times New Roman" w:hAnsi="Times New Roman"/>
          <w:sz w:val="20"/>
          <w:szCs w:val="20"/>
          <w:color w:val="auto"/>
        </w:rPr>
        <w:t>. Subject to the terms and conditions set forth herein, each Committed (MC) Lender severally agrees to make loans (each such loan, a “</w:t>
      </w:r>
      <w:r>
        <w:rPr>
          <w:rFonts w:ascii="Times New Roman" w:cs="Times New Roman" w:eastAsia="Times New Roman" w:hAnsi="Times New Roman"/>
          <w:sz w:val="20"/>
          <w:szCs w:val="20"/>
          <w:u w:val="single" w:color="auto"/>
          <w:color w:val="auto"/>
        </w:rPr>
        <w:t>Committed (MC) Loan</w:t>
      </w:r>
      <w:r>
        <w:rPr>
          <w:rFonts w:ascii="Times New Roman" w:cs="Times New Roman" w:eastAsia="Times New Roman" w:hAnsi="Times New Roman"/>
          <w:sz w:val="20"/>
          <w:szCs w:val="20"/>
          <w:color w:val="auto"/>
        </w:rPr>
        <w:t xml:space="preserve">”) to the Borrowers, in Dollars or an Alternative Currency, from time to time, on any Business Day during the Availability Period with respect to the Committed (MC) Facility, in an aggregate amount not to exceed at any time outstanding the amount of such Lender’s MC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after giving effect to any Committed (MC) Borrowing, (i) the aggregate Outstanding Amount of all Committed (MC) Loans shall not exceed the Aggregate (MC) Commitments and</w:t>
      </w:r>
    </w:p>
    <w:p>
      <w:pPr>
        <w:spacing w:after="0" w:line="2" w:lineRule="exact"/>
        <w:rPr>
          <w:rFonts w:ascii="Times New Roman" w:cs="Times New Roman" w:eastAsia="Times New Roman" w:hAnsi="Times New Roman"/>
          <w:sz w:val="20"/>
          <w:szCs w:val="20"/>
          <w:color w:val="auto"/>
        </w:rPr>
      </w:pPr>
    </w:p>
    <w:p>
      <w:pPr>
        <w:jc w:val="both"/>
        <w:ind w:firstLine="3"/>
        <w:spacing w:after="0" w:line="245" w:lineRule="auto"/>
        <w:tabs>
          <w:tab w:leader="none" w:pos="31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Outstanding Amount of the Committed (MC) Loans of any Lender shall not exceed such Lender’s MC Commitment. Within the limits of each Committed (MC) Lender’s MC Commitment, and subject to the other terms and conditions hereof, the Borrowers may borrow under this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prepay under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reborrow under this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Committed (MC) Loans may be Base Rate Loans or Eurocurrency Rate Loans, as further provided herein.</w:t>
      </w:r>
    </w:p>
    <w:p>
      <w:pPr>
        <w:spacing w:after="0" w:line="180" w:lineRule="exact"/>
        <w:rPr>
          <w:rFonts w:ascii="Times New Roman" w:cs="Times New Roman" w:eastAsia="Times New Roman" w:hAnsi="Times New Roman"/>
          <w:sz w:val="21"/>
          <w:szCs w:val="21"/>
          <w:color w:val="auto"/>
        </w:rPr>
      </w:pPr>
    </w:p>
    <w:p>
      <w:pPr>
        <w:jc w:val="both"/>
        <w:ind w:firstLine="624"/>
        <w:spacing w:after="0" w:line="257" w:lineRule="auto"/>
        <w:tabs>
          <w:tab w:leader="none" w:pos="106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Loans</w:t>
      </w:r>
      <w:r>
        <w:rPr>
          <w:rFonts w:ascii="Times New Roman" w:cs="Times New Roman" w:eastAsia="Times New Roman" w:hAnsi="Times New Roman"/>
          <w:sz w:val="21"/>
          <w:szCs w:val="21"/>
          <w:color w:val="auto"/>
        </w:rPr>
        <w:t>. Subject to the terms and conditions set forth herein, each Term Loan Lender severally agrees to make a single loan (each such loan, a “</w:t>
      </w:r>
      <w:r>
        <w:rPr>
          <w:rFonts w:ascii="Times New Roman" w:cs="Times New Roman" w:eastAsia="Times New Roman" w:hAnsi="Times New Roman"/>
          <w:sz w:val="21"/>
          <w:szCs w:val="21"/>
          <w:u w:val="single" w:color="auto"/>
          <w:color w:val="auto"/>
        </w:rPr>
        <w:t>Term Loan</w:t>
      </w:r>
      <w:r>
        <w:rPr>
          <w:rFonts w:ascii="Times New Roman" w:cs="Times New Roman" w:eastAsia="Times New Roman" w:hAnsi="Times New Roman"/>
          <w:sz w:val="21"/>
          <w:szCs w:val="21"/>
          <w:color w:val="auto"/>
        </w:rPr>
        <w:t xml:space="preserve">”) to the Borrowers, in Dollars, on the Closing Date in an amount not to exceed such Term Loan Lender’s Term Loan Commitment. Amounts borrowed under this </w:t>
      </w:r>
      <w:r>
        <w:rPr>
          <w:rFonts w:ascii="Times New Roman" w:cs="Times New Roman" w:eastAsia="Times New Roman" w:hAnsi="Times New Roman"/>
          <w:sz w:val="21"/>
          <w:szCs w:val="21"/>
          <w:u w:val="single" w:color="auto"/>
          <w:color w:val="auto"/>
        </w:rPr>
        <w:t>Section 2.01(c)</w:t>
      </w:r>
      <w:r>
        <w:rPr>
          <w:rFonts w:ascii="Times New Roman" w:cs="Times New Roman" w:eastAsia="Times New Roman" w:hAnsi="Times New Roman"/>
          <w:sz w:val="21"/>
          <w:szCs w:val="21"/>
          <w:color w:val="auto"/>
        </w:rPr>
        <w:t xml:space="preserve"> and repaid or prepaid may not be reborrowed. Term Loans may be Base Rate Loans or Eurocurrency Rate Loans, as further provided herein.</w:t>
      </w:r>
    </w:p>
    <w:p>
      <w:pPr>
        <w:spacing w:after="0" w:line="16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2.02</w:t>
      </w:r>
      <w:r>
        <w:rPr>
          <w:sz w:val="20"/>
          <w:szCs w:val="20"/>
          <w:color w:val="auto"/>
        </w:rPr>
        <w:tab/>
      </w:r>
      <w:r>
        <w:rPr>
          <w:rFonts w:ascii="Times New Roman" w:cs="Times New Roman" w:eastAsia="Times New Roman" w:hAnsi="Times New Roman"/>
          <w:sz w:val="20"/>
          <w:szCs w:val="20"/>
          <w:b w:val="1"/>
          <w:bCs w:val="1"/>
          <w:color w:val="auto"/>
        </w:rPr>
        <w:t>Borrowings, Conversions and Continuations of Loans.</w:t>
      </w:r>
    </w:p>
    <w:p>
      <w:pPr>
        <w:spacing w:after="0" w:line="228" w:lineRule="exact"/>
        <w:rPr>
          <w:sz w:val="20"/>
          <w:szCs w:val="20"/>
          <w:color w:val="auto"/>
        </w:rPr>
      </w:pPr>
    </w:p>
    <w:p>
      <w:pPr>
        <w:jc w:val="both"/>
        <w:ind w:firstLine="624"/>
        <w:spacing w:after="0" w:line="263" w:lineRule="auto"/>
        <w:tabs>
          <w:tab w:leader="none" w:pos="108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Committed Borrowing, each Term Loan Borrowing, each conversion of Loans from one Type to the other, and each continuation of Eurocurrency Rate Loans shall be made upon the Company’s irrevocable notice to the Administrative Agent, which may be given by telephone or in the form of a Loan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telephonic notice must be confirmed promptly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1" w:right="239" w:bottom="1440" w:gutter="0" w:footer="0" w:header="0"/>
        </w:sectPr>
      </w:pPr>
    </w:p>
    <w:bookmarkStart w:id="106" w:name="page107"/>
    <w:bookmarkEnd w:id="106"/>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by delivery to the Administrative Agent of a written Loan Notice. Each such notice must be received by the Administrative Agent not later than 12:00 noon (i) three Business Days prior to the requested date of any Borrowing of, conversion to or continuation of Eurocurrency Rate Loans denominated in Dollars or Canadian Dollars or of any conversion of Eurocurrency Rate Loans to Base Rate Loans denominated in Dollars or Canadian Dollars, (ii) five Business Days prior to the requested date of any Borrowing or any continuation of Eurocurrency Rate Loans denominated in Mexican Pesos and (iii) on the requested date of any Borrowing of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the Company wishes to request Eurocurrency Rate Loans having an Interest Period other than one, two, three or six months in duration as provided in the definition of “Interest Period”, the applicable notice must be received by the Administrative Agent not later than 12:00 noon four Business Days prior to the requested date of such Borrowing, conversion or continuation of Eurocurrency Rate Loans, whereupon the Administrative Agent shall give prompt notice to the Lenders under the applicable Facility of such request and determine whether the requested Interest Period is acceptable to all of them. Not later than 12:00 noon, three Business Days before the requested date of such Borrowing, conversion or continuation of Eurocurrency Rate Loans, the Administrative Agent shall notify the Company (which notice may be by telephone) whether or not the requested Interest Period has been consented to by all the applicable Lenders. Each telephonic notice by the Company pursuant to this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must be confirmed promptly by delivery to the Administrative Agent of a written Loan Notice, appropriately completed and signed by a Responsible Officer of the Company. Except as provided in </w:t>
      </w:r>
      <w:r>
        <w:rPr>
          <w:rFonts w:ascii="Times New Roman" w:cs="Times New Roman" w:eastAsia="Times New Roman" w:hAnsi="Times New Roman"/>
          <w:sz w:val="20"/>
          <w:szCs w:val="20"/>
          <w:u w:val="single" w:color="auto"/>
          <w:color w:val="auto"/>
        </w:rPr>
        <w:t>Section 2.01(c)</w:t>
      </w:r>
      <w:r>
        <w:rPr>
          <w:rFonts w:ascii="Times New Roman" w:cs="Times New Roman" w:eastAsia="Times New Roman" w:hAnsi="Times New Roman"/>
          <w:sz w:val="20"/>
          <w:szCs w:val="20"/>
          <w:color w:val="auto"/>
        </w:rPr>
        <w:t xml:space="preserve">, each Borrowing of, conversion to or continuation of Eurocurrency Rate Loans shall be in a principal amount of $1,000,000 or a whole multiple of $100,000 in excess thereof. Except as provided in </w:t>
      </w:r>
      <w:r>
        <w:rPr>
          <w:rFonts w:ascii="Times New Roman" w:cs="Times New Roman" w:eastAsia="Times New Roman" w:hAnsi="Times New Roman"/>
          <w:sz w:val="20"/>
          <w:szCs w:val="20"/>
          <w:u w:val="single" w:color="auto"/>
          <w:color w:val="auto"/>
        </w:rPr>
        <w:t>Sections 2.01(c),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xml:space="preserve">, each Borrowing of or conversion to Base Rate Loans shall be in a principal amount of $500,000 or a whole multiple of $100,000 in excess thereof. Each Loan Notice (whether telephonic or written) shall specify (i) whether the Company is requesting a Committed (USD) Borrowing, a Committed (MC) Borrowing, a Term Loan Borrowing, a conversion of Committed (USD) Loans, Committed (MC) Loans or Term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Committed (USD) Loans, Committed (MC) Loans or Term Loans are to be converted, (v) if applicable, the duration of the Interest Period with respect thereto, (vi) if applicable, the currency of the Committed (MC) Loans to be borrowed and (vii) the Borrower of the requested Borrowing. If the Company fails to specify a currency in a Loan Notice requesting a Committed (MC) Borrowing, then the Committed (MC) Loans so requested shall be made in Dollars. If the Company fails to specify a Type of Loan in a Loan Notice or if the Company fails to give a timely notice requesting a conversion or continuation, then the applicable Committed (USD) Loans, Committed (MC) Loans or Term Loans shall be made as, or converted to,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case of a failure to timely request a continuation of Committed (MC) Loans denominated in an Alternative Currency, such Loans shall be continued as Eurocurrency Rate Loans in such Alternative Currency with an Interest Period of one month. Any automatic conversion to Base Rate Loans shall be effective as of the last day of the Interest Period then in effect with respect to the applicable Eurocurrency Rate Loans. If the Company requests a Borrowing of, conversion to, or continuation of Eurocurrency Rate Loans in any such Loan Notice, but fails to specify an Interest Period, it will be deemed to have specified an Interest Period of one month. No Committed (MC) Loan may be converted into or continued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07" w:name="page108"/>
    <w:bookmarkEnd w:id="107"/>
    <w:p>
      <w:pPr>
        <w:spacing w:after="0" w:line="270" w:lineRule="auto"/>
        <w:rPr>
          <w:sz w:val="20"/>
          <w:szCs w:val="20"/>
          <w:color w:val="auto"/>
        </w:rPr>
      </w:pPr>
      <w:r>
        <w:rPr>
          <w:rFonts w:ascii="Times New Roman" w:cs="Times New Roman" w:eastAsia="Times New Roman" w:hAnsi="Times New Roman"/>
          <w:sz w:val="21"/>
          <w:szCs w:val="21"/>
          <w:color w:val="auto"/>
        </w:rPr>
        <w:t>as a Committed (MC) Loan denominated in a different currency, but instead must be prepaid in the original currency of such Committed (MC) Loan and reborrowed in the other currency.</w:t>
      </w:r>
    </w:p>
    <w:p>
      <w:pPr>
        <w:spacing w:after="0" w:line="154" w:lineRule="exact"/>
        <w:rPr>
          <w:sz w:val="20"/>
          <w:szCs w:val="20"/>
          <w:color w:val="auto"/>
        </w:rPr>
      </w:pPr>
    </w:p>
    <w:p>
      <w:pPr>
        <w:jc w:val="both"/>
        <w:ind w:firstLine="624"/>
        <w:spacing w:after="0" w:line="246" w:lineRule="auto"/>
        <w:tabs>
          <w:tab w:leader="none" w:pos="1085"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receipt of a Loan Notice for a Facility, the Administrative Agent shall promptly notify each Lender under such Facility of the amount (and, if applicable, the currency) of its Applicable Percentage under such Facility of the applicable Loans, and if no timely notice of a conversion or continuation is provided by the Company, the Administrative Agent shall notify each Lender under the applicable Facility of the details of any automatic conversion to Base Rate Loans or continuations of Committed (MC) Loans denominated in an Alternative Currency, in each case as described in the preceding subsection. In the case of a Committed (USD) Borrowing, a Committed (MC) Borrowing or a Term Loan Borrowing, each Lender under the applicable Facility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Committed (MC) Loan in an Alternative Currency, in each case on the Business Day specified in the applicable Loan Notice. Upon satisfaction of the applicable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(and, if such Borrowing is the initial Credit Extension,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on the date a Loan Notice with respect to a Committed (USD) Borrowing is given by the Company, there are L/C Borrowings outstanding, then the proceeds of such Borrowing,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shall be applied to the payment in full of any such L/C Borrowings, and,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shall be made available to the applicable Borrower as provided above.</w:t>
      </w:r>
    </w:p>
    <w:p>
      <w:pPr>
        <w:spacing w:after="0" w:line="184" w:lineRule="exact"/>
        <w:rPr>
          <w:rFonts w:ascii="Times New Roman" w:cs="Times New Roman" w:eastAsia="Times New Roman" w:hAnsi="Times New Roman"/>
          <w:sz w:val="21"/>
          <w:szCs w:val="21"/>
          <w:color w:val="auto"/>
        </w:rPr>
      </w:pPr>
    </w:p>
    <w:p>
      <w:pPr>
        <w:jc w:val="both"/>
        <w:ind w:firstLine="624"/>
        <w:spacing w:after="0" w:line="251" w:lineRule="auto"/>
        <w:tabs>
          <w:tab w:leader="none" w:pos="1073"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herein, a Eurocurrency Rate Loan may be continued or converted only on the last day of an Interest Period for such Eurocurrency Rate Loan. During the existence of a Default, no Loans may be requested as, converted to or continued as Eurocurrency Rate Loans </w:t>
      </w:r>
      <w:r>
        <w:rPr>
          <w:rFonts w:ascii="Times New Roman" w:cs="Times New Roman" w:eastAsia="Times New Roman" w:hAnsi="Times New Roman"/>
          <w:sz w:val="21"/>
          <w:szCs w:val="21"/>
          <w:color w:val="191919"/>
        </w:rPr>
        <w:t>(whether in Dollars or an Alternative Currency)</w:t>
      </w:r>
      <w:r>
        <w:rPr>
          <w:rFonts w:ascii="Times New Roman" w:cs="Times New Roman" w:eastAsia="Times New Roman" w:hAnsi="Times New Roman"/>
          <w:sz w:val="21"/>
          <w:szCs w:val="21"/>
          <w:color w:val="auto"/>
        </w:rPr>
        <w:t xml:space="preserve"> without the consent of the Required Lenders</w:t>
      </w:r>
      <w:r>
        <w:rPr>
          <w:rFonts w:ascii="Times New Roman" w:cs="Times New Roman" w:eastAsia="Times New Roman" w:hAnsi="Times New Roman"/>
          <w:sz w:val="21"/>
          <w:szCs w:val="21"/>
          <w:color w:val="191919"/>
        </w:rPr>
        <w:t>,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91919"/>
        </w:rPr>
        <w:t>the Required Lenders may demand that any or all of the then outstanding Eurocurrency Rate Loans denominated in an Alternative Currency be redenominated into Dollars in the amount of the Dollar Equivalent thereof on the last day of the then current Interest Period with respect thereto</w:t>
      </w:r>
      <w:r>
        <w:rPr>
          <w:rFonts w:ascii="Times New Roman" w:cs="Times New Roman" w:eastAsia="Times New Roman" w:hAnsi="Times New Roman"/>
          <w:sz w:val="21"/>
          <w:szCs w:val="21"/>
          <w:color w:val="000000"/>
        </w:rPr>
        <w:t>.</w:t>
      </w:r>
    </w:p>
    <w:p>
      <w:pPr>
        <w:spacing w:after="0" w:line="177" w:lineRule="exact"/>
        <w:rPr>
          <w:rFonts w:ascii="Times New Roman" w:cs="Times New Roman" w:eastAsia="Times New Roman" w:hAnsi="Times New Roman"/>
          <w:sz w:val="21"/>
          <w:szCs w:val="21"/>
          <w:color w:val="auto"/>
        </w:rPr>
      </w:pPr>
    </w:p>
    <w:p>
      <w:pPr>
        <w:jc w:val="both"/>
        <w:ind w:firstLine="624"/>
        <w:spacing w:after="0" w:line="257" w:lineRule="auto"/>
        <w:tabs>
          <w:tab w:leader="none" w:pos="1059"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promptly notify the Company and the Lenders of the interest rate applicable to any Interest Period for Eurocurrency Rate 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167" w:lineRule="exact"/>
        <w:rPr>
          <w:rFonts w:ascii="Times New Roman" w:cs="Times New Roman" w:eastAsia="Times New Roman" w:hAnsi="Times New Roman"/>
          <w:sz w:val="21"/>
          <w:szCs w:val="21"/>
          <w:color w:val="auto"/>
        </w:rPr>
      </w:pPr>
    </w:p>
    <w:p>
      <w:pPr>
        <w:jc w:val="both"/>
        <w:ind w:firstLine="624"/>
        <w:spacing w:after="0" w:line="261" w:lineRule="auto"/>
        <w:tabs>
          <w:tab w:leader="none" w:pos="1086"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all Committed (USD) Borrowings, all Committed (MC) Borrowings, all Term Loan Borrowings, all conversions of Loans from one Type to the other, and all continuations of Loans as the same Type, there shall not be more than fifteen</w:t>
      </w:r>
    </w:p>
    <w:p>
      <w:pPr>
        <w:ind w:left="400" w:hanging="397"/>
        <w:spacing w:after="0"/>
        <w:tabs>
          <w:tab w:leader="none" w:pos="40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Periods in effect with respect to Loans.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08" w:name="page109"/>
    <w:bookmarkEnd w:id="108"/>
    <w:p>
      <w:pPr>
        <w:jc w:val="both"/>
        <w:ind w:firstLine="624"/>
        <w:spacing w:after="0" w:line="263" w:lineRule="auto"/>
        <w:tabs>
          <w:tab w:leader="none" w:pos="999"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58"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2.03</w:t>
      </w:r>
      <w:r>
        <w:rPr>
          <w:sz w:val="20"/>
          <w:szCs w:val="20"/>
          <w:color w:val="auto"/>
        </w:rPr>
        <w:tab/>
      </w:r>
      <w:r>
        <w:rPr>
          <w:rFonts w:ascii="Times New Roman" w:cs="Times New Roman" w:eastAsia="Times New Roman" w:hAnsi="Times New Roman"/>
          <w:sz w:val="20"/>
          <w:szCs w:val="20"/>
          <w:b w:val="1"/>
          <w:bCs w:val="1"/>
          <w:color w:val="auto"/>
        </w:rPr>
        <w:t>Letters of Credit and Bankers’ Acceptances.</w:t>
      </w:r>
    </w:p>
    <w:p>
      <w:pPr>
        <w:spacing w:after="0" w:line="228" w:lineRule="exact"/>
        <w:rPr>
          <w:sz w:val="20"/>
          <w:szCs w:val="20"/>
          <w:color w:val="auto"/>
        </w:rPr>
      </w:pPr>
    </w:p>
    <w:p>
      <w:pPr>
        <w:ind w:left="1020" w:hanging="396"/>
        <w:spacing w:after="0"/>
        <w:tabs>
          <w:tab w:leader="none" w:pos="102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 of Credit – BA Commitment</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45" w:lineRule="auto"/>
        <w:tabs>
          <w:tab w:leader="none" w:pos="162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and conditions set forth herein, (A) the L/C Issuer agrees, in reliance upon the agreements of the Committed (USD) Lenders set forth in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(1) from time to time on any Business Day during the period from the Closing Date until the Letter of Credit Expiration Date, to issue Letters of Credit and Clean BAs denominated in Dollars or, solely in the case of Bank of America in its capacity as an L/C Issuer, in an Alternative Currency for the account of the Company or its Subsidiaries, and to amend or extend Letters of Credit previously issued by it, in accordance with subsection (b) below, (2) to honor drawings under the Letters of Credit and to make payments under Bankers’ Acceptances and (3) with respect to Acceptance Credits, to create L/C Issued BAs in accordance with the terms thereof and hereof; and (B) the Committed (USD) Lenders severally agree to participate in Letters of Credit and Bankers’ Acceptances issued for the account of the Company or its Subsidiaries and any drawings or payments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after giving effect to any L/C Credit Extension, (v) the Total (USD) Outstandings shall not exceed the Aggregate (USD) Commitments, (w) the aggregate Outstanding Amount of the Committed (USD) Loans of any Lender,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Lender’s Applicable (USD) Percentage of the Outstanding Amount of all L/C Obligations,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Lender’s Applicable (USD) Percentage of the Outstanding Amount of all Swing Line Loans shall not exceed such Lender’s USD Commitment, (x) the Outstanding Amount of the L/C Obligations shall not exceed the Letter of Credit Sublimit and (y) the Outstanding Amount of the L/C Obligations with respect to Letters of Credit and Bankers’ Acceptances denominated in an Alternative Currency shall not exceed the Alternative Currency Letter of Credit Sublimit and (B) as to Clean BAs and Acceptance Credits, the Bankers’ Acceptance created or to be created thereunder shall be an eligible bankers’ acceptance under Section 13 of the Federal Reserve Act (12 U.S.C. § 372). Each request by the Company for the issuance or amendment of a Letter of Credit or Bankers’ Acceptance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and Bankers’ Acceptances shall be fully revolving, and accordingly the Company may, during the foregoing period, obtain Letters of Credit to replace Letters of Credit that have expired or that have been drawn upon and reimbursed and Bankers’ Acceptances that have matured and been reimbursed. The Company agrees to promptly notify the Administrative Agent of the designation of any Lender as an L/C Issuer. All Existing Letters of Credit shall be deemed to have been issued pursuant hereto, and from and after the Closing Date shall be subject to and governed by the terms and conditions hereof.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09" w:name="page110"/>
    <w:bookmarkEnd w:id="109"/>
    <w:p>
      <w:pPr>
        <w:ind w:left="1660" w:hanging="416"/>
        <w:spacing w:after="0"/>
        <w:tabs>
          <w:tab w:leader="none" w:pos="166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shall not issue any Letter of Credit or Bankers’ Acceptance, if:</w:t>
      </w:r>
    </w:p>
    <w:p>
      <w:pPr>
        <w:spacing w:after="0" w:line="223" w:lineRule="exact"/>
        <w:rPr>
          <w:rFonts w:ascii="Times New Roman" w:cs="Times New Roman" w:eastAsia="Times New Roman" w:hAnsi="Times New Roman"/>
          <w:sz w:val="21"/>
          <w:szCs w:val="21"/>
          <w:color w:val="auto"/>
        </w:rPr>
      </w:pPr>
    </w:p>
    <w:p>
      <w:pPr>
        <w:jc w:val="both"/>
        <w:ind w:left="1240" w:firstLine="624"/>
        <w:spacing w:after="0" w:line="263" w:lineRule="auto"/>
        <w:tabs>
          <w:tab w:leader="none" w:pos="2449"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2.03(b)(iii)</w:t>
      </w:r>
      <w:r>
        <w:rPr>
          <w:rFonts w:ascii="Times New Roman" w:cs="Times New Roman" w:eastAsia="Times New Roman" w:hAnsi="Times New Roman"/>
          <w:sz w:val="21"/>
          <w:szCs w:val="21"/>
          <w:color w:val="auto"/>
        </w:rPr>
        <w:t>, the expiry date of the requested Letter of Credit would occur more than eighteen months after the date of issuance or last extension, unless the Required (USD) Lenders have approved such expiry date;</w:t>
      </w:r>
    </w:p>
    <w:p>
      <w:pPr>
        <w:spacing w:after="0" w:line="162" w:lineRule="exact"/>
        <w:rPr>
          <w:rFonts w:ascii="Times New Roman" w:cs="Times New Roman" w:eastAsia="Times New Roman" w:hAnsi="Times New Roman"/>
          <w:sz w:val="21"/>
          <w:szCs w:val="21"/>
          <w:color w:val="auto"/>
        </w:rPr>
      </w:pPr>
    </w:p>
    <w:p>
      <w:pPr>
        <w:jc w:val="both"/>
        <w:ind w:left="1240" w:firstLine="624"/>
        <w:spacing w:after="0" w:line="263" w:lineRule="auto"/>
        <w:tabs>
          <w:tab w:leader="none" w:pos="2321"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maturity date of any Bankers’ Acceptance would occur earlier than 30 or later than 180 days from date of issuance or in any event later than 60 days before the Letter of Credit Expiration Date, unless the Required (USD) Lenders have approved such expiry date; or</w:t>
      </w:r>
    </w:p>
    <w:p>
      <w:pPr>
        <w:spacing w:after="0" w:line="162" w:lineRule="exact"/>
        <w:rPr>
          <w:rFonts w:ascii="Times New Roman" w:cs="Times New Roman" w:eastAsia="Times New Roman" w:hAnsi="Times New Roman"/>
          <w:sz w:val="21"/>
          <w:szCs w:val="21"/>
          <w:color w:val="auto"/>
        </w:rPr>
      </w:pPr>
    </w:p>
    <w:p>
      <w:pPr>
        <w:jc w:val="both"/>
        <w:ind w:left="1240" w:firstLine="624"/>
        <w:spacing w:after="0" w:line="263" w:lineRule="auto"/>
        <w:tabs>
          <w:tab w:leader="none" w:pos="233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expiry date of the requested Letter of Credit, or the maturity date of any Bankers’ Acceptance (including any L/C Issued BA issued under a Letter of Credit), would occur after the Letter of Credit Expiration Date, unless all the Committed (USD) Lenders have approved such expiry date.</w:t>
      </w:r>
    </w:p>
    <w:p>
      <w:pPr>
        <w:spacing w:after="0" w:line="162" w:lineRule="exact"/>
        <w:rPr>
          <w:rFonts w:ascii="Times New Roman" w:cs="Times New Roman" w:eastAsia="Times New Roman" w:hAnsi="Times New Roman"/>
          <w:sz w:val="21"/>
          <w:szCs w:val="21"/>
          <w:color w:val="auto"/>
        </w:rPr>
      </w:pPr>
    </w:p>
    <w:p>
      <w:pPr>
        <w:ind w:left="1720" w:hanging="476"/>
        <w:spacing w:after="0"/>
        <w:tabs>
          <w:tab w:leader="none" w:pos="17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shall not be under any obligation to issue any Letter of Credit or Bankers’ Acceptance, if:</w:t>
      </w:r>
    </w:p>
    <w:p>
      <w:pPr>
        <w:spacing w:after="0" w:line="223" w:lineRule="exact"/>
        <w:rPr>
          <w:rFonts w:ascii="Times New Roman" w:cs="Times New Roman" w:eastAsia="Times New Roman" w:hAnsi="Times New Roman"/>
          <w:sz w:val="21"/>
          <w:szCs w:val="21"/>
          <w:color w:val="auto"/>
        </w:rPr>
      </w:pPr>
    </w:p>
    <w:p>
      <w:pPr>
        <w:jc w:val="both"/>
        <w:ind w:left="1240" w:firstLine="624"/>
        <w:spacing w:after="0" w:line="248" w:lineRule="auto"/>
        <w:tabs>
          <w:tab w:leader="none" w:pos="2319"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order, judgment or decree of any Governmental Authority or arbitrator shall by its terms purport to enjoin or restrain the L/C Issuer from issuing the Letter of Credit or Bankers’ Acceptance, or any Law applicable to the L/C Issuer or any request or directive (whether or not having the force of law) from any Governmental Authority with jurisdiction over the L/C Issuer shall prohibit, or request that the L/C Issuer refrain from, the issuance of letters of credit or bankers’ acceptances generally or the Letter of Credit or any Bankers’ Acceptances in particular or shall impose upon the L/C Issuer with respect to the Letter of Credit or Bankers’ Acceptance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83" w:lineRule="exact"/>
        <w:rPr>
          <w:rFonts w:ascii="Times New Roman" w:cs="Times New Roman" w:eastAsia="Times New Roman" w:hAnsi="Times New Roman"/>
          <w:sz w:val="21"/>
          <w:szCs w:val="21"/>
          <w:color w:val="auto"/>
        </w:rPr>
      </w:pPr>
    </w:p>
    <w:p>
      <w:pPr>
        <w:jc w:val="both"/>
        <w:ind w:left="1240" w:firstLine="624"/>
        <w:spacing w:after="0" w:line="263" w:lineRule="auto"/>
        <w:tabs>
          <w:tab w:leader="none" w:pos="2321"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issuance of the Letter of Credit or any related Bankers’ Acceptance would violate one or more policies of the L/C Issuer, applicable to letters of credit generally, or the creation of any Bankers’ Acceptance would cause the L/C Issuer to exceed the maximum amount of outstanding bankers’ acceptances permitted by law;</w:t>
      </w:r>
    </w:p>
    <w:p>
      <w:pPr>
        <w:spacing w:after="0" w:line="162" w:lineRule="exact"/>
        <w:rPr>
          <w:rFonts w:ascii="Times New Roman" w:cs="Times New Roman" w:eastAsia="Times New Roman" w:hAnsi="Times New Roman"/>
          <w:sz w:val="21"/>
          <w:szCs w:val="21"/>
          <w:color w:val="auto"/>
        </w:rPr>
      </w:pPr>
    </w:p>
    <w:p>
      <w:pPr>
        <w:jc w:val="both"/>
        <w:ind w:left="1240" w:firstLine="624"/>
        <w:spacing w:after="0" w:line="263" w:lineRule="auto"/>
        <w:tabs>
          <w:tab w:leader="none" w:pos="233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agreed by the Administrative Agent and the L/C Issuer, the Letter of Credit or Bankers’ Acceptance is in an initial stated amount less than $100,000, in the case of a commercial Letter of Credit or Bankers’ Acceptance, or $250,000, in the case of a standby Letter of Credit;</w:t>
      </w:r>
    </w:p>
    <w:p>
      <w:pPr>
        <w:spacing w:after="0" w:line="162" w:lineRule="exact"/>
        <w:rPr>
          <w:rFonts w:ascii="Times New Roman" w:cs="Times New Roman" w:eastAsia="Times New Roman" w:hAnsi="Times New Roman"/>
          <w:sz w:val="21"/>
          <w:szCs w:val="21"/>
          <w:color w:val="auto"/>
        </w:rPr>
      </w:pPr>
    </w:p>
    <w:p>
      <w:pPr>
        <w:ind w:left="1240" w:firstLine="624"/>
        <w:spacing w:after="0" w:line="283" w:lineRule="auto"/>
        <w:tabs>
          <w:tab w:leader="none" w:pos="2397"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Letter of Credit or Bankers’ Acceptance is to be denominated in a currency other than Dollars or an Alternative Currency;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10" w:name="page111"/>
    <w:bookmarkEnd w:id="110"/>
    <w:p>
      <w:pPr>
        <w:ind w:left="1240" w:firstLine="624"/>
        <w:spacing w:after="0" w:line="283" w:lineRule="auto"/>
        <w:tabs>
          <w:tab w:leader="none" w:pos="2374"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L/C Issuer does not as of the issuance date of such requested Letter of Credit </w:t>
      </w:r>
      <w:r>
        <w:rPr>
          <w:rFonts w:ascii="Times New Roman" w:cs="Times New Roman" w:eastAsia="Times New Roman" w:hAnsi="Times New Roman"/>
          <w:sz w:val="21"/>
          <w:szCs w:val="21"/>
          <w:color w:val="191919"/>
        </w:rPr>
        <w:t>or Bankers’ Acceptance</w:t>
      </w:r>
      <w:r>
        <w:rPr>
          <w:rFonts w:ascii="Times New Roman" w:cs="Times New Roman" w:eastAsia="Times New Roman" w:hAnsi="Times New Roman"/>
          <w:sz w:val="21"/>
          <w:szCs w:val="21"/>
          <w:color w:val="auto"/>
        </w:rPr>
        <w:t xml:space="preserve"> issue Letters of Credit </w:t>
      </w:r>
      <w:r>
        <w:rPr>
          <w:rFonts w:ascii="Times New Roman" w:cs="Times New Roman" w:eastAsia="Times New Roman" w:hAnsi="Times New Roman"/>
          <w:sz w:val="21"/>
          <w:szCs w:val="21"/>
          <w:color w:val="191919"/>
        </w:rPr>
        <w:t>or Bankers’ Acceptances</w:t>
      </w:r>
      <w:r>
        <w:rPr>
          <w:rFonts w:ascii="Times New Roman" w:cs="Times New Roman" w:eastAsia="Times New Roman" w:hAnsi="Times New Roman"/>
          <w:sz w:val="21"/>
          <w:szCs w:val="21"/>
          <w:color w:val="auto"/>
        </w:rPr>
        <w:t xml:space="preserve"> in the requested currency;</w:t>
      </w:r>
    </w:p>
    <w:p>
      <w:pPr>
        <w:spacing w:after="0" w:line="141" w:lineRule="exact"/>
        <w:rPr>
          <w:rFonts w:ascii="Times New Roman" w:cs="Times New Roman" w:eastAsia="Times New Roman" w:hAnsi="Times New Roman"/>
          <w:sz w:val="21"/>
          <w:szCs w:val="21"/>
          <w:color w:val="auto"/>
        </w:rPr>
      </w:pPr>
    </w:p>
    <w:p>
      <w:pPr>
        <w:jc w:val="both"/>
        <w:ind w:left="1240" w:firstLine="624"/>
        <w:spacing w:after="0" w:line="251" w:lineRule="auto"/>
        <w:tabs>
          <w:tab w:leader="none" w:pos="2375"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Committed (USD) Lender is at that time a Defaulting Lender, unless the L/C Issuer has entered into arrangements, including the delivery of Cash Collateral, satisfactory to the L/C Issuer (in its sole discretion) with the Company or such Lender to eliminate the L/C Issuer’s actual or potential Fronting Exposure (after giving effect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2.17(a)(iv</w:t>
      </w:r>
      <w:r>
        <w:rPr>
          <w:rFonts w:ascii="Times New Roman" w:cs="Times New Roman" w:eastAsia="Times New Roman" w:hAnsi="Times New Roman"/>
          <w:sz w:val="21"/>
          <w:szCs w:val="21"/>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77" w:lineRule="exact"/>
        <w:rPr>
          <w:rFonts w:ascii="Times New Roman" w:cs="Times New Roman" w:eastAsia="Times New Roman" w:hAnsi="Times New Roman"/>
          <w:sz w:val="21"/>
          <w:szCs w:val="21"/>
          <w:color w:val="auto"/>
        </w:rPr>
      </w:pPr>
    </w:p>
    <w:p>
      <w:pPr>
        <w:ind w:left="1240" w:firstLine="624"/>
        <w:spacing w:after="0" w:line="283" w:lineRule="auto"/>
        <w:tabs>
          <w:tab w:leader="none" w:pos="2423"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Letter of Credit contains any provisions for automatic reinstatement of the stated amount after any drawing thereunder; or</w:t>
      </w:r>
    </w:p>
    <w:p>
      <w:pPr>
        <w:spacing w:after="0" w:line="141" w:lineRule="exact"/>
        <w:rPr>
          <w:rFonts w:ascii="Times New Roman" w:cs="Times New Roman" w:eastAsia="Times New Roman" w:hAnsi="Times New Roman"/>
          <w:sz w:val="21"/>
          <w:szCs w:val="21"/>
          <w:color w:val="auto"/>
        </w:rPr>
      </w:pPr>
    </w:p>
    <w:p>
      <w:pPr>
        <w:ind w:left="2340" w:hanging="476"/>
        <w:spacing w:after="0"/>
        <w:tabs>
          <w:tab w:leader="none" w:pos="2340"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Bankers’ Acceptance is to be used for a purpose other than as described in the last sentence of </w:t>
      </w:r>
      <w:r>
        <w:rPr>
          <w:rFonts w:ascii="Times New Roman" w:cs="Times New Roman" w:eastAsia="Times New Roman" w:hAnsi="Times New Roman"/>
          <w:sz w:val="21"/>
          <w:szCs w:val="21"/>
          <w:u w:val="single" w:color="auto"/>
          <w:color w:val="auto"/>
        </w:rPr>
        <w:t>Section</w:t>
      </w:r>
    </w:p>
    <w:p>
      <w:pPr>
        <w:spacing w:after="0" w:line="26" w:lineRule="exact"/>
        <w:rPr>
          <w:rFonts w:ascii="Times New Roman" w:cs="Times New Roman" w:eastAsia="Times New Roman" w:hAnsi="Times New Roman"/>
          <w:sz w:val="21"/>
          <w:szCs w:val="21"/>
          <w:color w:val="auto"/>
        </w:rPr>
      </w:pP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2.03(c)(i)</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ind w:left="620" w:firstLine="624"/>
        <w:spacing w:after="0" w:line="283" w:lineRule="auto"/>
        <w:tabs>
          <w:tab w:leader="none" w:pos="1711"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shall not amend any Letter of Credit or Bankers’ Acceptance if the L/C Issuer would not be permitted at such time to issue the Letter of Credit or Bankers’ Acceptance in its amended form under the terms hereof.</w:t>
      </w:r>
    </w:p>
    <w:p>
      <w:pPr>
        <w:spacing w:after="0" w:line="141"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1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shall be under no obligation to amend any Letter of Credit or Bankers’ Acceptance if (A) the L/C Issuer would have no obligation at such time to issue the Letter of Credit or Bankers’ Acceptance in its amended form under the terms hereof, or (B) the beneficiary of the Letter of Credit or Bankers’ Acceptance does not accept the proposed amendment to the Letter of Credit or Bankers’ Acceptance.</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74" w:lineRule="auto"/>
        <w:tabs>
          <w:tab w:leader="none" w:pos="1711"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L/C Issuer shall act on behalf of the Committed (USD) Lenders with respect to any Letters of Credit </w:t>
      </w:r>
      <w:r>
        <w:rPr>
          <w:rFonts w:ascii="Times New Roman" w:cs="Times New Roman" w:eastAsia="Times New Roman" w:hAnsi="Times New Roman"/>
          <w:sz w:val="20"/>
          <w:szCs w:val="20"/>
          <w:color w:val="191919"/>
        </w:rPr>
        <w:t>or Bankers’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91919"/>
        </w:rPr>
        <w:t xml:space="preserve">Acceptances </w:t>
      </w:r>
      <w:r>
        <w:rPr>
          <w:rFonts w:ascii="Times New Roman" w:cs="Times New Roman" w:eastAsia="Times New Roman" w:hAnsi="Times New Roman"/>
          <w:sz w:val="20"/>
          <w:szCs w:val="20"/>
          <w:color w:val="000000"/>
        </w:rPr>
        <w:t>issued by it and the documents associated therewith, and the L/C Issuer shall have all of the benefits and immunities</w:t>
      </w:r>
    </w:p>
    <w:p>
      <w:pPr>
        <w:jc w:val="both"/>
        <w:ind w:left="620" w:firstLine="4"/>
        <w:spacing w:after="0" w:line="245" w:lineRule="auto"/>
        <w:tabs>
          <w:tab w:leader="none" w:pos="96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provided to the Administrative Agent in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with respect to any acts taken or omissions suffered by the L/C Issuer in connection with Letters of Credit </w:t>
      </w:r>
      <w:r>
        <w:rPr>
          <w:rFonts w:ascii="Times New Roman" w:cs="Times New Roman" w:eastAsia="Times New Roman" w:hAnsi="Times New Roman"/>
          <w:sz w:val="21"/>
          <w:szCs w:val="21"/>
          <w:color w:val="191919"/>
        </w:rPr>
        <w:t>and Bankers’ Acceptances</w:t>
      </w:r>
      <w:r>
        <w:rPr>
          <w:rFonts w:ascii="Times New Roman" w:cs="Times New Roman" w:eastAsia="Times New Roman" w:hAnsi="Times New Roman"/>
          <w:sz w:val="21"/>
          <w:szCs w:val="21"/>
          <w:color w:val="auto"/>
        </w:rPr>
        <w:t xml:space="preserve"> issued by it or proposed to be issued by it and Issuer Documents pertaining to such Letters of Credit </w:t>
      </w:r>
      <w:r>
        <w:rPr>
          <w:rFonts w:ascii="Times New Roman" w:cs="Times New Roman" w:eastAsia="Times New Roman" w:hAnsi="Times New Roman"/>
          <w:sz w:val="21"/>
          <w:szCs w:val="21"/>
          <w:color w:val="191919"/>
        </w:rPr>
        <w:t>and Bankers’ Acceptances</w:t>
      </w:r>
      <w:r>
        <w:rPr>
          <w:rFonts w:ascii="Times New Roman" w:cs="Times New Roman" w:eastAsia="Times New Roman" w:hAnsi="Times New Roman"/>
          <w:sz w:val="21"/>
          <w:szCs w:val="21"/>
          <w:color w:val="auto"/>
        </w:rPr>
        <w:t xml:space="preserve"> as fully as if the term “Administrative Agent” as used in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included the L/C Issuer with respect to such acts or omissions, and (B) as additionally provided herein with respect to the L/C Issuer.</w:t>
      </w:r>
    </w:p>
    <w:p>
      <w:pPr>
        <w:spacing w:after="0" w:line="180" w:lineRule="exact"/>
        <w:rPr>
          <w:sz w:val="20"/>
          <w:szCs w:val="20"/>
          <w:color w:val="auto"/>
        </w:rPr>
      </w:pPr>
    </w:p>
    <w:p>
      <w:pPr>
        <w:ind w:left="1040" w:hanging="416"/>
        <w:spacing w:after="0"/>
        <w:tabs>
          <w:tab w:leader="none" w:pos="10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Procedures for Issuance and Amendment of Letters of Credit; Auto-Extension Letters of Credit</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646"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Letter of Credit shall be issued or amended, as the case may be, upon the request of the Company delivered to the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11" w:name="page112"/>
    <w:bookmarkEnd w:id="111"/>
    <w:p>
      <w:pPr>
        <w:jc w:val="both"/>
        <w:ind w:left="620"/>
        <w:spacing w:after="0" w:line="247" w:lineRule="auto"/>
        <w:rPr>
          <w:sz w:val="20"/>
          <w:szCs w:val="20"/>
          <w:color w:val="auto"/>
        </w:rPr>
      </w:pPr>
      <w:r>
        <w:rPr>
          <w:rFonts w:ascii="Times New Roman" w:cs="Times New Roman" w:eastAsia="Times New Roman" w:hAnsi="Times New Roman"/>
          <w:sz w:val="21"/>
          <w:szCs w:val="21"/>
          <w:color w:val="auto"/>
        </w:rPr>
        <w:t>the system provided by the L/C Issuer, by personal delivery or by any other means acceptable to the L/C Issuer. Such Letter of Credit Application must be received by the L/C Issuer and the Administrative Agent not later than 12:00 noon at least two Business Days (or such later date and time as the Administrative Agent and the L/C Issuer may agree in a particular instance in their reasonable discretion) prior to the proposed issuance date or date of amendment, as the case may be. In the case of a request for an initial issuance of a Letter of Credit, such Letter of Credit Application shall specify in form and detail reasonably satisfactory to the L/C Issuer: (A) the proposed issuance date of the requested Letter of Credit (which shall be a Business Day);</w:t>
      </w:r>
    </w:p>
    <w:p>
      <w:pPr>
        <w:spacing w:after="0" w:line="4" w:lineRule="exact"/>
        <w:rPr>
          <w:sz w:val="20"/>
          <w:szCs w:val="20"/>
          <w:color w:val="auto"/>
        </w:rPr>
      </w:pPr>
    </w:p>
    <w:p>
      <w:pPr>
        <w:jc w:val="both"/>
        <w:ind w:left="620" w:firstLine="4"/>
        <w:spacing w:after="0" w:line="256" w:lineRule="auto"/>
        <w:tabs>
          <w:tab w:leader="none" w:pos="96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w:t>
      </w:r>
    </w:p>
    <w:p>
      <w:pPr>
        <w:jc w:val="both"/>
        <w:ind w:left="620" w:firstLine="4"/>
        <w:spacing w:after="0" w:line="244" w:lineRule="auto"/>
        <w:tabs>
          <w:tab w:leader="none" w:pos="98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Company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84" w:lineRule="exact"/>
        <w:rPr>
          <w:rFonts w:ascii="Times New Roman" w:cs="Times New Roman" w:eastAsia="Times New Roman" w:hAnsi="Times New Roman"/>
          <w:sz w:val="21"/>
          <w:szCs w:val="21"/>
          <w:color w:val="auto"/>
        </w:rPr>
      </w:pPr>
    </w:p>
    <w:p>
      <w:pPr>
        <w:jc w:val="both"/>
        <w:ind w:left="620" w:firstLine="624"/>
        <w:spacing w:after="0" w:line="247" w:lineRule="auto"/>
        <w:tabs>
          <w:tab w:leader="none" w:pos="1678"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Company and, if not, the L/C Issuer will provide the Administrative Agent with a copy thereof. Unless the L/C Issuer has received written notice from any Committed (USD)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shall not then be satisfied, then, subject to the terms and conditions hereof, the L/C Issuer shall, on the requested date, issue a Letter of Credit for the account of the Company (or the applicable Restricted Subsidiary) or enter into the applicable amendment, as the case may be, in each case in accordance with the L/C Issuer's usual and customary business practices. Immediately upon the issuance of each Letter of Credit, each Committed (USD) Lender shall be deemed to, and hereby irrevocably and unconditionally agrees to, purchase from the L/C Issuer a risk participation in such Letter of Credit in an amount equal to the product of such Lender’s Applicable (USD) Percentage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the amount of such Letter of Credit.</w:t>
      </w:r>
    </w:p>
    <w:p>
      <w:pPr>
        <w:spacing w:after="0" w:line="186" w:lineRule="exact"/>
        <w:rPr>
          <w:rFonts w:ascii="Times New Roman" w:cs="Times New Roman" w:eastAsia="Times New Roman" w:hAnsi="Times New Roman"/>
          <w:sz w:val="21"/>
          <w:szCs w:val="21"/>
          <w:color w:val="auto"/>
        </w:rPr>
      </w:pPr>
    </w:p>
    <w:p>
      <w:pPr>
        <w:jc w:val="both"/>
        <w:ind w:left="620" w:firstLine="624"/>
        <w:spacing w:after="0" w:line="253" w:lineRule="auto"/>
        <w:tabs>
          <w:tab w:leader="none" w:pos="180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so requests in any applicable Letter of Credit Application, the L/C Issuer may, in its reasonable discretion, agree to issue a standby Letter of Credit that has automatic extension provisions (each, an “</w:t>
      </w:r>
      <w:r>
        <w:rPr>
          <w:rFonts w:ascii="Times New Roman" w:cs="Times New Roman" w:eastAsia="Times New Roman" w:hAnsi="Times New Roman"/>
          <w:sz w:val="21"/>
          <w:szCs w:val="21"/>
          <w:u w:val="single" w:color="auto"/>
          <w:color w:val="auto"/>
        </w:rPr>
        <w:t>Auto-Extension Letter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1"/>
          <w:szCs w:val="21"/>
          <w:u w:val="single" w:color="auto"/>
          <w:color w:val="auto"/>
        </w:rPr>
        <w:t>Non-Extension Notice Date</w:t>
      </w:r>
      <w:r>
        <w:rPr>
          <w:rFonts w:ascii="Times New Roman" w:cs="Times New Roman" w:eastAsia="Times New Roman" w:hAnsi="Times New Roman"/>
          <w:sz w:val="21"/>
          <w:szCs w:val="21"/>
          <w:color w:val="auto"/>
        </w:rPr>
        <w:t>”) in each such twelve-month period to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12" w:name="page113"/>
    <w:bookmarkEnd w:id="112"/>
    <w:p>
      <w:pPr>
        <w:jc w:val="both"/>
        <w:ind w:left="620"/>
        <w:spacing w:after="0" w:line="246" w:lineRule="auto"/>
        <w:rPr>
          <w:sz w:val="20"/>
          <w:szCs w:val="20"/>
          <w:color w:val="auto"/>
        </w:rPr>
      </w:pPr>
      <w:r>
        <w:rPr>
          <w:rFonts w:ascii="Times New Roman" w:cs="Times New Roman" w:eastAsia="Times New Roman" w:hAnsi="Times New Roman"/>
          <w:sz w:val="21"/>
          <w:szCs w:val="21"/>
          <w:color w:val="auto"/>
        </w:rPr>
        <w:t xml:space="preserve">agreed upon at the time such Letter of Credit is issued. Unless otherwise directed by the L/C Issuer, the Company shall not be required to make a specific request to the L/C Issuer for any such extension. Once an Auto-Extension Letter of Credit has been issued, the Committed (USD)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xml:space="preserve"> or otherwise), or (B) it has received notice (which may be by telephone or in writing) on or before the day that is seven Business Days before the Non-Extension Notice Date (1) from the Administrative Agent that the Required (USD) Lenders have elected not to permit such extension or (2) from the Administrative Agent, any Committed (USD) Lender or the Company that one or more of the applicable conditions specified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is not then satisfied, and in each such case directing the L/C Issuer not to permit such extension.</w:t>
      </w:r>
    </w:p>
    <w:p>
      <w:pPr>
        <w:spacing w:after="0" w:line="184" w:lineRule="exact"/>
        <w:rPr>
          <w:sz w:val="20"/>
          <w:szCs w:val="20"/>
          <w:color w:val="auto"/>
        </w:rPr>
      </w:pPr>
    </w:p>
    <w:p>
      <w:pPr>
        <w:jc w:val="both"/>
        <w:ind w:left="620" w:firstLine="624"/>
        <w:spacing w:after="0" w:line="263" w:lineRule="auto"/>
        <w:tabs>
          <w:tab w:leader="none" w:pos="1749"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its delivery of any Letter of Credit or any amendment to a Letter of Credit to an advising bank with respect thereto or to the beneficiary thereof, the L/C Issuer will also deliver to the Company and the Administrative Agent a true and complete copy of such Letter of Credit or amendment.</w:t>
      </w:r>
    </w:p>
    <w:p>
      <w:pPr>
        <w:spacing w:after="0" w:line="162" w:lineRule="exact"/>
        <w:rPr>
          <w:rFonts w:ascii="Times New Roman" w:cs="Times New Roman" w:eastAsia="Times New Roman" w:hAnsi="Times New Roman"/>
          <w:sz w:val="21"/>
          <w:szCs w:val="21"/>
          <w:color w:val="auto"/>
        </w:rPr>
      </w:pPr>
    </w:p>
    <w:p>
      <w:pPr>
        <w:ind w:left="1020" w:hanging="396"/>
        <w:spacing w:after="0"/>
        <w:tabs>
          <w:tab w:leader="none" w:pos="102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 for Issuance of Clean Bankers’ Acceptances</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47" w:lineRule="auto"/>
        <w:tabs>
          <w:tab w:leader="none" w:pos="162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Clean Bankers’ Acceptance shall be issued upon the request of the Company delivered to the L/C Issuer (with a copy to the Administrative Agent) in the form of a Bankers’ Acceptance Request, appropriately completed and signed by a Responsible Officer of the Company. Bankers’ Acceptances Requests may be delivered and accepted electronically. Such Bankers’ Acceptance Request must be received by the L/C Issuer and the Administrative Agent not later than 12:00 noon (or such later date and time as the L/C Issuer may agree in a particular instance in its reasonable discretion) of the proposed issuance date. Each Bankers’ Acceptance Request shall specify in form and detail satisfactory to the L/C Issuer: (A) the proposed issuance date of the requested Clean Bankers’ Acceptance (which shall be a Business Day); (B) the amount and currency thereof; (C) the expiry date thereof; (D) the shipping information; (E) a description of the inventory; and (F) such other matters as the L/C Issuer may reasonably require. Each Clean Bankers’ Acceptance shall be in a minimum increment of $100,000, shall be endorsed in blank, shall cover the purchase of inventory, shall mature on a Business Day up to one hundred eighty (180) days after the date thereof, and shall not be payable prior to its stated maturity date.</w:t>
      </w:r>
    </w:p>
    <w:p>
      <w:pPr>
        <w:spacing w:after="0" w:line="186" w:lineRule="exact"/>
        <w:rPr>
          <w:rFonts w:ascii="Times New Roman" w:cs="Times New Roman" w:eastAsia="Times New Roman" w:hAnsi="Times New Roman"/>
          <w:sz w:val="21"/>
          <w:szCs w:val="21"/>
          <w:color w:val="auto"/>
        </w:rPr>
      </w:pPr>
    </w:p>
    <w:p>
      <w:pPr>
        <w:jc w:val="both"/>
        <w:ind w:left="620" w:firstLine="624"/>
        <w:spacing w:after="0" w:line="251" w:lineRule="auto"/>
        <w:tabs>
          <w:tab w:leader="none" w:pos="1755"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receipt of any Bankers’ Acceptance Request, the L/C Issuer will confirm with the Administrative Agent (by telephone or in writing) that the Administrative Agent has received a copy of such Bankers’ Acceptance Request from the Company and, if not, the L/C Issuer will provide the Administrative Agent with a copy thereof. Upon receipt by the L/C Issuer of confirmation from the Administrative Agent that the requested issuance is permitted in accordance with the terms hereof, then, subject to the terms and conditions hereof, the L/C Issuer shall, on the requested date, issue a Clean Bankers’ Acceptance for the account of the Company, in each case in accordance with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13" w:name="page114"/>
    <w:bookmarkEnd w:id="113"/>
    <w:p>
      <w:pPr>
        <w:jc w:val="both"/>
        <w:ind w:left="620"/>
        <w:spacing w:after="0" w:line="252" w:lineRule="auto"/>
        <w:rPr>
          <w:sz w:val="20"/>
          <w:szCs w:val="20"/>
          <w:color w:val="auto"/>
        </w:rPr>
      </w:pPr>
      <w:r>
        <w:rPr>
          <w:rFonts w:ascii="Times New Roman" w:cs="Times New Roman" w:eastAsia="Times New Roman" w:hAnsi="Times New Roman"/>
          <w:sz w:val="21"/>
          <w:szCs w:val="21"/>
          <w:color w:val="auto"/>
        </w:rPr>
        <w:t>L/C Issuer’s usual and customary business practices. Immediately upon the issuance of each Clean Bankers’ Acceptance, each Committed (USD) Lender shall be deemed to, and hereby irrevocably and unconditionally agrees to, purchase from the L/C Issuer a risk participation in such Clean Bankers’ Acceptance in an amount equal to the product of such Committed (USD) Lender’s Applicable (USD) Percentage times the amount of such Clean Bankers’ Acceptance.</w:t>
      </w:r>
    </w:p>
    <w:p>
      <w:pPr>
        <w:spacing w:after="0" w:line="174" w:lineRule="exact"/>
        <w:rPr>
          <w:sz w:val="20"/>
          <w:szCs w:val="20"/>
          <w:color w:val="auto"/>
        </w:rPr>
      </w:pPr>
    </w:p>
    <w:p>
      <w:pPr>
        <w:jc w:val="both"/>
        <w:ind w:left="620" w:firstLine="624"/>
        <w:spacing w:after="0" w:line="253" w:lineRule="auto"/>
        <w:tabs>
          <w:tab w:leader="none" w:pos="182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L/C Issuer presents a draft on a matured Clean Bankers’ Acceptance for payment and the Company, at the time of such presentment, does not have funds on deposit in its account at the Administrative Agent sufficient to pay the entire amount of the draft (including any charges or expenses paid or incurred by the L/C Issuer in connection with such draft), the Administrative Agent shall deem such amount to be an Unreimbursed Amount and proceed in accordance with the provisions of </w:t>
      </w:r>
      <w:r>
        <w:rPr>
          <w:rFonts w:ascii="Times New Roman" w:cs="Times New Roman" w:eastAsia="Times New Roman" w:hAnsi="Times New Roman"/>
          <w:sz w:val="21"/>
          <w:szCs w:val="21"/>
          <w:u w:val="single" w:color="auto"/>
          <w:color w:val="auto"/>
        </w:rPr>
        <w:t>Section 2.03(d)(iii)</w:t>
      </w:r>
      <w:r>
        <w:rPr>
          <w:rFonts w:ascii="Times New Roman" w:cs="Times New Roman" w:eastAsia="Times New Roman" w:hAnsi="Times New Roman"/>
          <w:sz w:val="21"/>
          <w:szCs w:val="21"/>
          <w:color w:val="auto"/>
        </w:rPr>
        <w:t xml:space="preserve"> which relate to a Bankers’ Acceptance not paid on maturity.</w:t>
      </w:r>
    </w:p>
    <w:p>
      <w:pPr>
        <w:spacing w:after="0" w:line="174"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Drawings and Reimbursements; Funding of Participations</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45" w:lineRule="auto"/>
        <w:tabs>
          <w:tab w:leader="none" w:pos="1762"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receipt from the beneficiary of any Letter of Credit of any notice of a drawing or, with respect to any Acceptance Credit, presentation of documents, under such Letter of Credit, or any presentation for payment of a Bankers’ Acceptance, the L/C Issuer shall notify the Company and the Administrative Agent thereof. In the case of a Letter of Credit or Bankers’ Acceptance denominated in an Alternative Currency, the Company shall reimburse the L/C Issuer in an Alternative Currency, unless (A) the L/C Issuer (at its option) shall have specified in such notice that it will require reimbursement in Dollars, or (B) in the absence of any such requirement for reimbursement in Dollars, the Company shall have notified the L/C Issuer promptly following receipt of the notice of drawing that the Company will reimburse the L/C Issuer in Dollars. In the case of any such reimbursement in Dollars of a drawing under a Letter of Credit or Bankers’ Acceptance denominated in an Alternative Currency, the L/C Issuer shall notify the Company of the Dollar Equivalent of the amount of the drawing promptly following the determination thereof. Not later than 12:00 noon on the date of any payment by the L/C Issuer under a Letter of Credit or Bankers’ Acceptance to be reimbursed in Dollars, or the Applicable Time on the date of any payment by the L/C Issuer under a Letter of Credit or Bankers’ Acceptance to be reimbursed in an Alternative Currency (each such date, an “</w:t>
      </w:r>
      <w:r>
        <w:rPr>
          <w:rFonts w:ascii="Times New Roman" w:cs="Times New Roman" w:eastAsia="Times New Roman" w:hAnsi="Times New Roman"/>
          <w:sz w:val="21"/>
          <w:szCs w:val="21"/>
          <w:u w:val="single" w:color="auto"/>
          <w:color w:val="auto"/>
        </w:rPr>
        <w:t>Honor Date</w:t>
      </w:r>
      <w:r>
        <w:rPr>
          <w:rFonts w:ascii="Times New Roman" w:cs="Times New Roman" w:eastAsia="Times New Roman" w:hAnsi="Times New Roman"/>
          <w:sz w:val="21"/>
          <w:szCs w:val="21"/>
          <w:color w:val="auto"/>
        </w:rPr>
        <w:t xml:space="preserve">”), the Company shall reimburse the L/C Issuer through the Administrative Agent in an amount equal to the amount of such drawing or Bankers’ Acceptance, as applicable, and in the applicable currency. In the event that (A) a drawing or payment denominated in an Alternative Currency is to be reimbursed in Dollars pursuant to the second sentence in this </w:t>
      </w:r>
      <w:r>
        <w:rPr>
          <w:rFonts w:ascii="Times New Roman" w:cs="Times New Roman" w:eastAsia="Times New Roman" w:hAnsi="Times New Roman"/>
          <w:sz w:val="21"/>
          <w:szCs w:val="21"/>
          <w:u w:val="single" w:color="auto"/>
          <w:color w:val="auto"/>
        </w:rPr>
        <w:t>Section 2.03(d)(i)</w:t>
      </w:r>
      <w:r>
        <w:rPr>
          <w:rFonts w:ascii="Times New Roman" w:cs="Times New Roman" w:eastAsia="Times New Roman" w:hAnsi="Times New Roman"/>
          <w:sz w:val="21"/>
          <w:szCs w:val="21"/>
          <w:color w:val="auto"/>
        </w:rPr>
        <w:t xml:space="preserve"> and (B) the Dollar amount paid by the Company, whether on or after the Honor Date, shall not be adequate on the date of that payment to purchase in accordance with normal banking procedures a sum denominated in an Alternative Currency equal to the drawing or payment, the Company agrees, as a separate and independent obligation, to indemnify the L/C Issuer for the loss resulting from its inability on that date to purchase such Alternative Currency in the full amount of the drawing or payment. If the Company fails to so reimburse the L/C Issuer by such time, the Administrative Agent shall promptly notify each Committed (USD) Lender of the Honor Date, the amount of the unreimbursed drawing or presentation (expressed in Dollars in the amount of the Dollar Equivalent thereof in the case of a Letter of Credit or Bankers’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14" w:name="page115"/>
    <w:bookmarkEnd w:id="114"/>
    <w:p>
      <w:pPr>
        <w:jc w:val="both"/>
        <w:ind w:left="620"/>
        <w:spacing w:after="0" w:line="247" w:lineRule="auto"/>
        <w:rPr>
          <w:sz w:val="20"/>
          <w:szCs w:val="20"/>
          <w:color w:val="auto"/>
        </w:rPr>
      </w:pPr>
      <w:r>
        <w:rPr>
          <w:rFonts w:ascii="Times New Roman" w:cs="Times New Roman" w:eastAsia="Times New Roman" w:hAnsi="Times New Roman"/>
          <w:sz w:val="21"/>
          <w:szCs w:val="21"/>
          <w:color w:val="auto"/>
        </w:rPr>
        <w:t>Acceptance denominated in an Alternative Currency) (the “</w:t>
      </w:r>
      <w:r>
        <w:rPr>
          <w:rFonts w:ascii="Times New Roman" w:cs="Times New Roman" w:eastAsia="Times New Roman" w:hAnsi="Times New Roman"/>
          <w:sz w:val="21"/>
          <w:szCs w:val="21"/>
          <w:u w:val="single" w:color="auto"/>
          <w:color w:val="auto"/>
        </w:rPr>
        <w:t>Unreimbursed Amount</w:t>
      </w:r>
      <w:r>
        <w:rPr>
          <w:rFonts w:ascii="Times New Roman" w:cs="Times New Roman" w:eastAsia="Times New Roman" w:hAnsi="Times New Roman"/>
          <w:sz w:val="21"/>
          <w:szCs w:val="21"/>
          <w:color w:val="auto"/>
        </w:rPr>
        <w:t xml:space="preserve">”), and the amount of such Lender’s Applicable (USD) Percentage thereof. In such event, the Company shall be deemed to have requested a Committed (USD)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for the principal amount of Base Rate Loans, but subject to the amount of the unutilized portion of the Aggregate (USD) Commitments and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the delivery of a Loan Notice). Any notice given by the L/C Issuer or the Administrative Agent pursuant to this </w:t>
      </w:r>
      <w:r>
        <w:rPr>
          <w:rFonts w:ascii="Times New Roman" w:cs="Times New Roman" w:eastAsia="Times New Roman" w:hAnsi="Times New Roman"/>
          <w:sz w:val="21"/>
          <w:szCs w:val="21"/>
          <w:u w:val="single" w:color="auto"/>
          <w:color w:val="auto"/>
        </w:rPr>
        <w:t>Section 2.03(d)(i)</w:t>
      </w:r>
      <w:r>
        <w:rPr>
          <w:rFonts w:ascii="Times New Roman" w:cs="Times New Roman" w:eastAsia="Times New Roman" w:hAnsi="Times New Roman"/>
          <w:sz w:val="21"/>
          <w:szCs w:val="21"/>
          <w:color w:val="auto"/>
        </w:rPr>
        <w:t xml:space="preserve"> may be given by telephone if immediately confirmed in 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lack of such an immediate confirmation shall not affect the conclusiveness or binding effect of such notice.</w:t>
      </w:r>
    </w:p>
    <w:p>
      <w:pPr>
        <w:spacing w:after="0" w:line="182" w:lineRule="exact"/>
        <w:rPr>
          <w:sz w:val="20"/>
          <w:szCs w:val="20"/>
          <w:color w:val="auto"/>
        </w:rPr>
      </w:pPr>
    </w:p>
    <w:p>
      <w:pPr>
        <w:jc w:val="both"/>
        <w:ind w:left="620" w:firstLine="624"/>
        <w:spacing w:after="0" w:line="249" w:lineRule="auto"/>
        <w:tabs>
          <w:tab w:leader="none" w:pos="171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Committed (USD) Lender shall upon any notice pursuant to </w:t>
      </w:r>
      <w:r>
        <w:rPr>
          <w:rFonts w:ascii="Times New Roman" w:cs="Times New Roman" w:eastAsia="Times New Roman" w:hAnsi="Times New Roman"/>
          <w:sz w:val="21"/>
          <w:szCs w:val="21"/>
          <w:u w:val="single" w:color="auto"/>
          <w:color w:val="auto"/>
        </w:rPr>
        <w:t>Section 2.03(d)(i)</w:t>
      </w:r>
      <w:r>
        <w:rPr>
          <w:rFonts w:ascii="Times New Roman" w:cs="Times New Roman" w:eastAsia="Times New Roman" w:hAnsi="Times New Roman"/>
          <w:sz w:val="21"/>
          <w:szCs w:val="21"/>
          <w:color w:val="auto"/>
        </w:rPr>
        <w:t xml:space="preserve"> make funds available (and the Administrative Agent may apply Cash Collateral provided for this purpose) for the account of the L/C Issuer, in Dollars, at the Administrative Agent’s Office for Dollar-denominated payments in an amount equal to its Applicable (USD) Percentage of the Unreimbursed Amount not later than 1:00 p.m. on the Business Day specified in such notice by the Administrative Agent (which shall not be earlier than the Business Day immediately following the date such notice is given), whereupon, subject to the provisions of </w:t>
      </w:r>
      <w:r>
        <w:rPr>
          <w:rFonts w:ascii="Times New Roman" w:cs="Times New Roman" w:eastAsia="Times New Roman" w:hAnsi="Times New Roman"/>
          <w:sz w:val="21"/>
          <w:szCs w:val="21"/>
          <w:u w:val="single" w:color="auto"/>
          <w:color w:val="auto"/>
        </w:rPr>
        <w:t>Section 2.03(d)(iii)</w:t>
      </w:r>
      <w:r>
        <w:rPr>
          <w:rFonts w:ascii="Times New Roman" w:cs="Times New Roman" w:eastAsia="Times New Roman" w:hAnsi="Times New Roman"/>
          <w:sz w:val="21"/>
          <w:szCs w:val="21"/>
          <w:color w:val="auto"/>
        </w:rPr>
        <w:t>, each Committed (USD) Lender that so makes funds available shall be deemed to have made a Base Rate Committed (USD) Loan to the Company in such amount. The Administrative Agent shall remit the funds so received to the L/C Issuer in Dollars.</w:t>
      </w:r>
    </w:p>
    <w:p>
      <w:pPr>
        <w:spacing w:after="0" w:line="179" w:lineRule="exact"/>
        <w:rPr>
          <w:rFonts w:ascii="Times New Roman" w:cs="Times New Roman" w:eastAsia="Times New Roman" w:hAnsi="Times New Roman"/>
          <w:sz w:val="21"/>
          <w:szCs w:val="21"/>
          <w:color w:val="auto"/>
        </w:rPr>
      </w:pPr>
    </w:p>
    <w:p>
      <w:pPr>
        <w:jc w:val="both"/>
        <w:ind w:left="620" w:firstLine="624"/>
        <w:spacing w:after="0" w:line="250" w:lineRule="auto"/>
        <w:tabs>
          <w:tab w:leader="none" w:pos="1774"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Unreimbursed Amount that is not fully refinanced by a Committed (USD) Borrowing of Base Rate Loans because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cannot be satisfied or for any other reason, the Company shall be deemed to have incurred from the L/C Issuer an L/C Borrowing in the amount of the Unreimbursed Amount that is not so refinanced, which L/C Borrowing shall be due and payable on demand (together with interest) and shall bear interest at the Default Rate. In such event, each Committed (USD) Lender’s payment to the Administrative Agent for the account of the L/C Issuer pursuant to </w:t>
      </w:r>
      <w:r>
        <w:rPr>
          <w:rFonts w:ascii="Times New Roman" w:cs="Times New Roman" w:eastAsia="Times New Roman" w:hAnsi="Times New Roman"/>
          <w:sz w:val="21"/>
          <w:szCs w:val="21"/>
          <w:u w:val="single" w:color="auto"/>
          <w:color w:val="auto"/>
        </w:rPr>
        <w:t>Section 2.03(d)(ii)</w:t>
      </w:r>
      <w:r>
        <w:rPr>
          <w:rFonts w:ascii="Times New Roman" w:cs="Times New Roman" w:eastAsia="Times New Roman" w:hAnsi="Times New Roman"/>
          <w:sz w:val="21"/>
          <w:szCs w:val="21"/>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8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Until each Committed (USD) Lender funds its Committed (USD) Loan or L/C Advance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2.03(d)</w:t>
      </w:r>
      <w:r>
        <w:rPr>
          <w:rFonts w:ascii="Times New Roman" w:cs="Times New Roman" w:eastAsia="Times New Roman" w:hAnsi="Times New Roman"/>
          <w:sz w:val="21"/>
          <w:szCs w:val="21"/>
          <w:color w:val="auto"/>
        </w:rPr>
        <w:t xml:space="preserve"> to reimburse the L/C Issuer for any amount drawn under any Letter of Credit or payments made on any Bankers’ Acceptance, interest in respect of such Lender’s Applicable (USD) Percentage of such amount shall be solely for the account of the L/C Issuer.</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53" w:lineRule="auto"/>
        <w:tabs>
          <w:tab w:leader="none" w:pos="1653"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Committed (USD) Lender’s obligation to make Committed (USD) Loans or L/C Advances to reimburse the L/C Issuer for amounts drawn under Letters of Credit and payments made on Bankers’ Acceptances, as contemplated by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2.03(d)</w:t>
      </w:r>
      <w:r>
        <w:rPr>
          <w:rFonts w:ascii="Times New Roman" w:cs="Times New Roman" w:eastAsia="Times New Roman" w:hAnsi="Times New Roman"/>
          <w:sz w:val="21"/>
          <w:szCs w:val="21"/>
          <w:color w:val="auto"/>
        </w:rPr>
        <w:t>, shall be absolute and unconditional and shall not be affected by any circumstance, including (A) any setoff, counterclaim, recoupment, defense or other right which such Lender may have against the L/C Issuer, the Company, any Subsidiary or any other Person for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15" w:name="page116"/>
    <w:bookmarkEnd w:id="115"/>
    <w:p>
      <w:pPr>
        <w:jc w:val="both"/>
        <w:ind w:left="620"/>
        <w:spacing w:after="0" w:line="249" w:lineRule="auto"/>
        <w:rPr>
          <w:sz w:val="20"/>
          <w:szCs w:val="20"/>
          <w:color w:val="auto"/>
        </w:rPr>
      </w:pPr>
      <w:r>
        <w:rPr>
          <w:rFonts w:ascii="Times New Roman" w:cs="Times New Roman" w:eastAsia="Times New Roman" w:hAnsi="Times New Roman"/>
          <w:sz w:val="21"/>
          <w:szCs w:val="21"/>
          <w:color w:val="auto"/>
        </w:rPr>
        <w:t xml:space="preserve">reason whatsoever; (B) the occurrence or continuance of a Default, or (C) any other occurrence, event or condition, whether or not similar to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Committed (USD) Lender’s obligation to make Committed (USD) Loans pursuant to this </w:t>
      </w:r>
      <w:r>
        <w:rPr>
          <w:rFonts w:ascii="Times New Roman" w:cs="Times New Roman" w:eastAsia="Times New Roman" w:hAnsi="Times New Roman"/>
          <w:sz w:val="21"/>
          <w:szCs w:val="21"/>
          <w:u w:val="single" w:color="auto"/>
          <w:color w:val="auto"/>
        </w:rPr>
        <w:t>Section 2.03(d)</w:t>
      </w:r>
      <w:r>
        <w:rPr>
          <w:rFonts w:ascii="Times New Roman" w:cs="Times New Roman" w:eastAsia="Times New Roman" w:hAnsi="Times New Roman"/>
          <w:sz w:val="21"/>
          <w:szCs w:val="21"/>
          <w:color w:val="auto"/>
        </w:rPr>
        <w:t xml:space="preserve"> is subject to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delivery by the Company of a Loan Notice). No such making of an L/C Advance shall relieve or otherwise impair the obligation of the Company to reimburse the L/C Issuer for the amount of any payment made by the L/C Issuer under any Letter of Credit or Bankers’ Acceptance, together with interest as provided herein.</w:t>
      </w:r>
    </w:p>
    <w:p>
      <w:pPr>
        <w:spacing w:after="0" w:line="176" w:lineRule="exact"/>
        <w:rPr>
          <w:sz w:val="20"/>
          <w:szCs w:val="20"/>
          <w:color w:val="auto"/>
        </w:rPr>
      </w:pPr>
    </w:p>
    <w:p>
      <w:pPr>
        <w:jc w:val="both"/>
        <w:ind w:left="620" w:firstLine="624"/>
        <w:spacing w:after="0" w:line="247" w:lineRule="auto"/>
        <w:tabs>
          <w:tab w:leader="none" w:pos="1801"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Committed (USD)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1"/>
          <w:szCs w:val="21"/>
          <w:u w:val="single" w:color="auto"/>
          <w:color w:val="auto"/>
        </w:rPr>
        <w:t>Section 2.03(d)</w:t>
      </w:r>
      <w:r>
        <w:rPr>
          <w:rFonts w:ascii="Times New Roman" w:cs="Times New Roman" w:eastAsia="Times New Roman" w:hAnsi="Times New Roman"/>
          <w:sz w:val="21"/>
          <w:szCs w:val="21"/>
          <w:color w:val="auto"/>
        </w:rPr>
        <w:t xml:space="preserve"> by the time specified in </w:t>
      </w:r>
      <w:r>
        <w:rPr>
          <w:rFonts w:ascii="Times New Roman" w:cs="Times New Roman" w:eastAsia="Times New Roman" w:hAnsi="Times New Roman"/>
          <w:sz w:val="21"/>
          <w:szCs w:val="21"/>
          <w:u w:val="single" w:color="auto"/>
          <w:color w:val="auto"/>
        </w:rPr>
        <w:t>Section 2.03(d)(ii)</w:t>
      </w:r>
      <w:r>
        <w:rPr>
          <w:rFonts w:ascii="Times New Roman" w:cs="Times New Roman" w:eastAsia="Times New Roman" w:hAnsi="Times New Roman"/>
          <w:sz w:val="21"/>
          <w:szCs w:val="21"/>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Committed (USD) Loan included in the relevant Committed (USD) Borrowing or L/C Advance in respect of the relevant L/C Borrowing, as the case may be. A certificate of the L/C Issuer submitted to any Committed (USD) Lender (through the Administrative Agent) with respect to any amounts owing under this clause (vi) shall be conclusive absent manifest error.</w:t>
      </w:r>
    </w:p>
    <w:p>
      <w:pPr>
        <w:spacing w:after="0" w:line="186" w:lineRule="exact"/>
        <w:rPr>
          <w:rFonts w:ascii="Times New Roman" w:cs="Times New Roman" w:eastAsia="Times New Roman" w:hAnsi="Times New Roman"/>
          <w:sz w:val="21"/>
          <w:szCs w:val="21"/>
          <w:color w:val="auto"/>
        </w:rPr>
      </w:pPr>
    </w:p>
    <w:p>
      <w:pPr>
        <w:ind w:left="1020" w:hanging="396"/>
        <w:spacing w:after="0"/>
        <w:tabs>
          <w:tab w:leader="none" w:pos="102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Repayment of Participations</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51" w:lineRule="auto"/>
        <w:tabs>
          <w:tab w:leader="none" w:pos="1685"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after the L/C Issuer has made a payment under any Letter of Credit or Bankers’ Acceptance and has received from any Committed (USD) Lender such Lender’s L/C Advance in respect of such payment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2.03(d)</w:t>
      </w:r>
      <w:r>
        <w:rPr>
          <w:rFonts w:ascii="Times New Roman" w:cs="Times New Roman" w:eastAsia="Times New Roman" w:hAnsi="Times New Roman"/>
          <w:sz w:val="21"/>
          <w:szCs w:val="21"/>
          <w:color w:val="auto"/>
        </w:rPr>
        <w:t>, if the Administrative Agent receives for the account of the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(USD) Percentage thereof in Dollars and in the same funds as those received by the Administrative Agent.</w:t>
      </w:r>
    </w:p>
    <w:p>
      <w:pPr>
        <w:spacing w:after="0" w:line="177" w:lineRule="exact"/>
        <w:rPr>
          <w:rFonts w:ascii="Times New Roman" w:cs="Times New Roman" w:eastAsia="Times New Roman" w:hAnsi="Times New Roman"/>
          <w:sz w:val="21"/>
          <w:szCs w:val="21"/>
          <w:color w:val="auto"/>
        </w:rPr>
      </w:pPr>
    </w:p>
    <w:p>
      <w:pPr>
        <w:jc w:val="both"/>
        <w:ind w:left="620" w:firstLine="624"/>
        <w:spacing w:after="0" w:line="250" w:lineRule="auto"/>
        <w:tabs>
          <w:tab w:leader="none" w:pos="167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payment received by the Administrative Agent for the account of the L/C Issuer pursuant to </w:t>
      </w:r>
      <w:r>
        <w:rPr>
          <w:rFonts w:ascii="Times New Roman" w:cs="Times New Roman" w:eastAsia="Times New Roman" w:hAnsi="Times New Roman"/>
          <w:sz w:val="21"/>
          <w:szCs w:val="21"/>
          <w:u w:val="single" w:color="auto"/>
          <w:color w:val="auto"/>
        </w:rPr>
        <w:t>Section 2.03(d)(i)</w:t>
      </w:r>
      <w:r>
        <w:rPr>
          <w:rFonts w:ascii="Times New Roman" w:cs="Times New Roman" w:eastAsia="Times New Roman" w:hAnsi="Times New Roman"/>
          <w:sz w:val="21"/>
          <w:szCs w:val="21"/>
          <w:color w:val="auto"/>
        </w:rPr>
        <w:t xml:space="preserve"> is required to be returned under any of the circumstances described in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(including pursuant to any settlement entered into by the L/C Issuer in its discretion), each Committed (USD) Lender shall pay to the Administrative Agent for the account of the L/C Issuer its Applicable (USD) Percentage thereof on demand of the Administrative Agent, plus interest thereon from the date of such demand to the date such amount is returned by such Lender, at a rate per annum equal to the applicable Overnight Rate from time to time in effect. The obligations of the Committed (USD) Lenders under this clause shall survive the payment in full of the Obligations and the termination of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16" w:name="page117"/>
    <w:bookmarkEnd w:id="116"/>
    <w:p>
      <w:pPr>
        <w:jc w:val="both"/>
        <w:ind w:firstLine="624"/>
        <w:spacing w:after="0" w:line="263" w:lineRule="auto"/>
        <w:tabs>
          <w:tab w:leader="none" w:pos="107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The obligation of the Company to reimburse the L/C Issuer for each drawing under each Letter of Credit and each payment under any Bankers’ Acceptance and to repay each L/C Borrowing shall be absolute, unconditional and irrevocable, and shall be paid strictly in accordance with the terms of this Agreement under all circumstances, including the following:</w:t>
      </w:r>
    </w:p>
    <w:p>
      <w:pPr>
        <w:spacing w:after="0" w:line="162" w:lineRule="exact"/>
        <w:rPr>
          <w:rFonts w:ascii="Times New Roman" w:cs="Times New Roman" w:eastAsia="Times New Roman" w:hAnsi="Times New Roman"/>
          <w:sz w:val="21"/>
          <w:szCs w:val="21"/>
          <w:color w:val="auto"/>
        </w:rPr>
      </w:pPr>
    </w:p>
    <w:p>
      <w:pPr>
        <w:ind w:left="620" w:firstLine="624"/>
        <w:spacing w:after="0" w:line="283" w:lineRule="auto"/>
        <w:tabs>
          <w:tab w:leader="none" w:pos="1659"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lack of validity or enforceability of such Letter of Credit or Bankers’ Acceptance, this Agreement, or any other Loan Document;</w:t>
      </w:r>
    </w:p>
    <w:p>
      <w:pPr>
        <w:spacing w:after="0" w:line="141" w:lineRule="exact"/>
        <w:rPr>
          <w:rFonts w:ascii="Times New Roman" w:cs="Times New Roman" w:eastAsia="Times New Roman" w:hAnsi="Times New Roman"/>
          <w:sz w:val="21"/>
          <w:szCs w:val="21"/>
          <w:color w:val="auto"/>
        </w:rPr>
      </w:pPr>
    </w:p>
    <w:p>
      <w:pPr>
        <w:jc w:val="both"/>
        <w:ind w:left="620" w:firstLine="624"/>
        <w:spacing w:after="0" w:line="253" w:lineRule="auto"/>
        <w:tabs>
          <w:tab w:leader="none" w:pos="167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existence of any claim, counterclaim, setoff, defense or other right that the Company or any Subsidiary may have at any time against any beneficiary or any transferee of such Letter of Credit </w:t>
      </w:r>
      <w:r>
        <w:rPr>
          <w:rFonts w:ascii="Times New Roman" w:cs="Times New Roman" w:eastAsia="Times New Roman" w:hAnsi="Times New Roman"/>
          <w:sz w:val="21"/>
          <w:szCs w:val="21"/>
          <w:color w:val="191919"/>
        </w:rPr>
        <w:t>or Bankers’ Acceptance</w:t>
      </w:r>
      <w:r>
        <w:rPr>
          <w:rFonts w:ascii="Times New Roman" w:cs="Times New Roman" w:eastAsia="Times New Roman" w:hAnsi="Times New Roman"/>
          <w:sz w:val="21"/>
          <w:szCs w:val="21"/>
          <w:color w:val="auto"/>
        </w:rPr>
        <w:t xml:space="preserve"> (or any Person for whom any such beneficiary or any such transferee may be acting), the L/C Issuer or any other Person, whether in connection with this Agreement, the transactions contemplated hereby or by such Letter of Credit </w:t>
      </w:r>
      <w:r>
        <w:rPr>
          <w:rFonts w:ascii="Times New Roman" w:cs="Times New Roman" w:eastAsia="Times New Roman" w:hAnsi="Times New Roman"/>
          <w:sz w:val="21"/>
          <w:szCs w:val="21"/>
          <w:color w:val="191919"/>
        </w:rPr>
        <w:t>or Bankers’ Acceptance</w:t>
      </w:r>
      <w:r>
        <w:rPr>
          <w:rFonts w:ascii="Times New Roman" w:cs="Times New Roman" w:eastAsia="Times New Roman" w:hAnsi="Times New Roman"/>
          <w:sz w:val="21"/>
          <w:szCs w:val="21"/>
          <w:color w:val="auto"/>
        </w:rPr>
        <w:t xml:space="preserve"> or any agreement or instrument relating thereto, or any unrelated transaction;</w:t>
      </w:r>
    </w:p>
    <w:p>
      <w:pPr>
        <w:spacing w:after="0" w:line="174"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61"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draft, demand, certificate or other document </w:t>
      </w:r>
      <w:r>
        <w:rPr>
          <w:rFonts w:ascii="Times New Roman" w:cs="Times New Roman" w:eastAsia="Times New Roman" w:hAnsi="Times New Roman"/>
          <w:sz w:val="21"/>
          <w:szCs w:val="21"/>
          <w:color w:val="191919"/>
        </w:rPr>
        <w:t>or endorsement</w:t>
      </w:r>
      <w:r>
        <w:rPr>
          <w:rFonts w:ascii="Times New Roman" w:cs="Times New Roman" w:eastAsia="Times New Roman" w:hAnsi="Times New Roman"/>
          <w:sz w:val="21"/>
          <w:szCs w:val="21"/>
          <w:color w:val="auto"/>
        </w:rPr>
        <w:t xml:space="preserve"> presented under </w:t>
      </w:r>
      <w:r>
        <w:rPr>
          <w:rFonts w:ascii="Times New Roman" w:cs="Times New Roman" w:eastAsia="Times New Roman" w:hAnsi="Times New Roman"/>
          <w:sz w:val="21"/>
          <w:szCs w:val="21"/>
          <w:color w:val="191919"/>
        </w:rPr>
        <w:t>or in connection with</w:t>
      </w:r>
      <w:r>
        <w:rPr>
          <w:rFonts w:ascii="Times New Roman" w:cs="Times New Roman" w:eastAsia="Times New Roman" w:hAnsi="Times New Roman"/>
          <w:sz w:val="21"/>
          <w:szCs w:val="21"/>
          <w:color w:val="auto"/>
        </w:rPr>
        <w:t xml:space="preserve"> such Letter of Credit </w:t>
      </w:r>
      <w:r>
        <w:rPr>
          <w:rFonts w:ascii="Times New Roman" w:cs="Times New Roman" w:eastAsia="Times New Roman" w:hAnsi="Times New Roman"/>
          <w:sz w:val="21"/>
          <w:szCs w:val="21"/>
          <w:color w:val="191919"/>
        </w:rPr>
        <w:t>or Bankers’ Acceptance</w:t>
      </w:r>
      <w:r>
        <w:rPr>
          <w:rFonts w:ascii="Times New Roman" w:cs="Times New Roman" w:eastAsia="Times New Roman" w:hAnsi="Times New Roman"/>
          <w:sz w:val="21"/>
          <w:szCs w:val="21"/>
          <w:color w:val="auto"/>
        </w:rPr>
        <w:t xml:space="preserve">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r>
        <w:rPr>
          <w:rFonts w:ascii="Times New Roman" w:cs="Times New Roman" w:eastAsia="Times New Roman" w:hAnsi="Times New Roman"/>
          <w:sz w:val="21"/>
          <w:szCs w:val="21"/>
          <w:color w:val="191919"/>
        </w:rPr>
        <w:t>or obtain payment under any Bankers’ Acceptance</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ind w:left="620" w:firstLine="624"/>
        <w:spacing w:after="0" w:line="283" w:lineRule="auto"/>
        <w:tabs>
          <w:tab w:leader="none" w:pos="1736"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waiver by the L/C Issuer of any requirement that exists for the L/C Issuer’s protection and not the protection of the Company or any waiver by the L/C Issuer which does not in fact materially prejudice the Company;</w:t>
      </w:r>
    </w:p>
    <w:p>
      <w:pPr>
        <w:spacing w:after="0" w:line="141" w:lineRule="exact"/>
        <w:rPr>
          <w:rFonts w:ascii="Times New Roman" w:cs="Times New Roman" w:eastAsia="Times New Roman" w:hAnsi="Times New Roman"/>
          <w:sz w:val="21"/>
          <w:szCs w:val="21"/>
          <w:color w:val="auto"/>
        </w:rPr>
      </w:pPr>
    </w:p>
    <w:p>
      <w:pPr>
        <w:ind w:left="620" w:firstLine="624"/>
        <w:spacing w:after="0" w:line="283" w:lineRule="auto"/>
        <w:tabs>
          <w:tab w:leader="none" w:pos="1783"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honor of a demand for payment presented electronically even if such Letter of Credit or Bankers’ Acceptance requires that demand be in the form of a draft;</w:t>
      </w:r>
    </w:p>
    <w:p>
      <w:pPr>
        <w:spacing w:after="0" w:line="141"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724"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made by the L/C Issuer in respect of an otherwise complying item presented after the date specified as the expiration date of, or the date by which documents must be received under such Letter of Credit or Bankers’ Acceptance if presentation after such date is authorized by the UCC, the ISP or the UCP, as applicable;</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51" w:lineRule="auto"/>
        <w:tabs>
          <w:tab w:leader="none" w:pos="176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by the L/C Issuer under such Letter of Credit or Bankers’ Acceptance against presentation of a draft or certificate that does not strictly comply with the terms of such Letter of Credit or Bankers’ Acceptance; or any payment made by the L/C Issuer under such Letter of Credit or Bankers’ Acceptance to any Person purporting to be a trustee in bankruptcy, debtor-in-possession, assignee for the benefit of creditors, liquidator, receiver or other representative of or successor to any beneficiary or any transferee of such Letter of Credit or Bankers’ Acceptance, including any arising in connection with any proceeding under any Debtor Relief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17" w:name="page118"/>
    <w:bookmarkEnd w:id="117"/>
    <w:p>
      <w:pPr>
        <w:ind w:left="620" w:firstLine="624"/>
        <w:spacing w:after="0" w:line="283" w:lineRule="auto"/>
        <w:tabs>
          <w:tab w:leader="none" w:pos="183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adverse change in the relevant exchange rates or in the availability of an Alternative Currency to the Company or any Subsidiary or in the relevant currency markets generally; or</w:t>
      </w:r>
    </w:p>
    <w:p>
      <w:pPr>
        <w:spacing w:after="0" w:line="141" w:lineRule="exact"/>
        <w:rPr>
          <w:rFonts w:ascii="Times New Roman" w:cs="Times New Roman" w:eastAsia="Times New Roman" w:hAnsi="Times New Roman"/>
          <w:sz w:val="21"/>
          <w:szCs w:val="21"/>
          <w:color w:val="auto"/>
        </w:rPr>
      </w:pPr>
    </w:p>
    <w:p>
      <w:pPr>
        <w:ind w:left="620" w:firstLine="624"/>
        <w:spacing w:after="0" w:line="283" w:lineRule="auto"/>
        <w:tabs>
          <w:tab w:leader="none" w:pos="1724"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41"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The Company shall promptly examine a copy of each Letter of Credit and each amendment thereto, and each Bankers’ Acceptance, that is delivered to it and, in the event of any claim of noncompliance with the Company’s instructions or other irregularity, the Company will immediately notify the L/C Issuer. The Company shall be conclusively deemed to have waived any such claim against the L/C Issuer and its correspondents unless such notice is given as aforesaid.</w:t>
      </w:r>
    </w:p>
    <w:p>
      <w:pPr>
        <w:spacing w:after="0" w:line="174" w:lineRule="exact"/>
        <w:rPr>
          <w:sz w:val="20"/>
          <w:szCs w:val="20"/>
          <w:color w:val="auto"/>
        </w:rPr>
      </w:pPr>
    </w:p>
    <w:p>
      <w:pPr>
        <w:jc w:val="both"/>
        <w:ind w:firstLine="624"/>
        <w:spacing w:after="0" w:line="261" w:lineRule="auto"/>
        <w:tabs>
          <w:tab w:leader="none" w:pos="1046"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L/C Issuer</w:t>
      </w:r>
      <w:r>
        <w:rPr>
          <w:rFonts w:ascii="Times New Roman" w:cs="Times New Roman" w:eastAsia="Times New Roman" w:hAnsi="Times New Roman"/>
          <w:sz w:val="20"/>
          <w:szCs w:val="20"/>
          <w:color w:val="auto"/>
        </w:rPr>
        <w:t>. Each Lender and the Company agree that, in paying any drawing under a Letter of Credit or making any payment under a Bankers’ Acceptance,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Committed (USD) Lenders or the Required (USD) Lenders, as applicable; (ii) any action taken or omitted in the absence of gross negligence or willful misconduct; or</w:t>
      </w:r>
    </w:p>
    <w:p>
      <w:pPr>
        <w:spacing w:after="0" w:line="2" w:lineRule="exact"/>
        <w:rPr>
          <w:rFonts w:ascii="Times New Roman" w:cs="Times New Roman" w:eastAsia="Times New Roman" w:hAnsi="Times New Roman"/>
          <w:sz w:val="20"/>
          <w:szCs w:val="20"/>
          <w:color w:val="auto"/>
        </w:rPr>
      </w:pPr>
    </w:p>
    <w:p>
      <w:pPr>
        <w:jc w:val="both"/>
        <w:ind w:firstLine="3"/>
        <w:spacing w:after="0" w:line="257" w:lineRule="auto"/>
        <w:tabs>
          <w:tab w:leader="none" w:pos="37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due execution, effectiveness, validity or enforceability of any document or instrument related to any Letter of Credit, Bankers’ Acceptance or Issuer Document. The Company hereby assumes all risks of the acts or omissions of any beneficiary or transferee with respect to its use of any Letter of Credit or Bankers’ Acceptance;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assumption is not intended to, and shall not, preclude the Company’s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(ix) of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such clauses to the contrary notwithstanding, the Company may have a claim against the L/C Issuer, and the L/C Issuer may be liable to the Company, to the extent, but only to the extent, of any direct, as opposed to consequential or exemplary, damages suffered by the Company which the Company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or to honor any Bankers’ Acceptance presented for payment in strict compliance with its terms and conditions.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endorsing, transferring or assigning or purporting to endorse, transfer or assign a Letter of Credit or Bankers’ Acceptance or the rights or benefits thereunder or proceeds thereof, in whole or in part, which may prove to be invalid or ineffective for any reason. The L/C Issuer may send a Letter of Credit or conduct any communication to or from the beneficiary via the Society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18" w:name="page119"/>
    <w:bookmarkEnd w:id="118"/>
    <w:p>
      <w:pPr>
        <w:spacing w:after="0" w:line="270" w:lineRule="auto"/>
        <w:rPr>
          <w:sz w:val="20"/>
          <w:szCs w:val="20"/>
          <w:color w:val="auto"/>
        </w:rPr>
      </w:pPr>
      <w:r>
        <w:rPr>
          <w:rFonts w:ascii="Times New Roman" w:cs="Times New Roman" w:eastAsia="Times New Roman" w:hAnsi="Times New Roman"/>
          <w:sz w:val="21"/>
          <w:szCs w:val="21"/>
          <w:color w:val="auto"/>
        </w:rPr>
        <w:t>for Worldwide Interbank Financial Telecommunication (SWIFT) message or overnight courier, or any other commercially reasonable means of communicating with a beneficiary.</w:t>
      </w:r>
    </w:p>
    <w:p>
      <w:pPr>
        <w:spacing w:after="0" w:line="154" w:lineRule="exact"/>
        <w:rPr>
          <w:sz w:val="20"/>
          <w:szCs w:val="20"/>
          <w:color w:val="auto"/>
        </w:rPr>
      </w:pPr>
    </w:p>
    <w:p>
      <w:pPr>
        <w:jc w:val="both"/>
        <w:ind w:firstLine="624"/>
        <w:spacing w:after="0" w:line="248" w:lineRule="auto"/>
        <w:tabs>
          <w:tab w:leader="none" w:pos="1124"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Applicability of ISP and UCP</w:t>
      </w:r>
      <w:r>
        <w:rPr>
          <w:rFonts w:ascii="Times New Roman" w:cs="Times New Roman" w:eastAsia="Times New Roman" w:hAnsi="Times New Roman"/>
          <w:sz w:val="21"/>
          <w:szCs w:val="21"/>
          <w:color w:val="auto"/>
        </w:rPr>
        <w:t>. Unless otherwise expressly agreed by the L/C Issuer and the Company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Company for, and the L/C Issuer’s rights and remedies against the Company shall not be impaired by, any action or inaction of the L/C Issuer required or permitted under any law, order, or practice that is required or permitted to be applied to any Letter of Credit, Bankers’ Acceptance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or Bankers’ Acceptance chooses such law or practice.</w:t>
      </w:r>
    </w:p>
    <w:p>
      <w:pPr>
        <w:spacing w:after="0" w:line="179" w:lineRule="exact"/>
        <w:rPr>
          <w:rFonts w:ascii="Times New Roman" w:cs="Times New Roman" w:eastAsia="Times New Roman" w:hAnsi="Times New Roman"/>
          <w:sz w:val="21"/>
          <w:szCs w:val="21"/>
          <w:color w:val="auto"/>
        </w:rPr>
      </w:pPr>
    </w:p>
    <w:p>
      <w:pPr>
        <w:jc w:val="both"/>
        <w:ind w:firstLine="624"/>
        <w:spacing w:after="0" w:line="247" w:lineRule="auto"/>
        <w:tabs>
          <w:tab w:leader="none" w:pos="100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 of Credit Fees</w:t>
      </w:r>
      <w:r>
        <w:rPr>
          <w:rFonts w:ascii="Times New Roman" w:cs="Times New Roman" w:eastAsia="Times New Roman" w:hAnsi="Times New Roman"/>
          <w:sz w:val="21"/>
          <w:szCs w:val="21"/>
          <w:color w:val="auto"/>
        </w:rPr>
        <w:t xml:space="preserve">. The Company shall pay to the Administrative Agent for the account of each Committed (USD) Lender in accordance, subject to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with its Applicable (USD) Percentage, in Dollars, a Letter of Credit fee (the “</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Fee</w:t>
      </w:r>
      <w:r>
        <w:rPr>
          <w:rFonts w:ascii="Times New Roman" w:cs="Times New Roman" w:eastAsia="Times New Roman" w:hAnsi="Times New Roman"/>
          <w:sz w:val="21"/>
          <w:szCs w:val="21"/>
          <w:color w:val="auto"/>
        </w:rPr>
        <w:t xml:space="preserve">”) for each Letter of Credit equal to the Applicable Rate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1"/>
          <w:szCs w:val="21"/>
          <w:u w:val="single" w:color="auto"/>
          <w:color w:val="auto"/>
        </w:rPr>
        <w:t>Section 1.09</w:t>
      </w:r>
      <w:r>
        <w:rPr>
          <w:rFonts w:ascii="Times New Roman" w:cs="Times New Roman" w:eastAsia="Times New Roman" w:hAnsi="Times New Roman"/>
          <w:sz w:val="21"/>
          <w:szCs w:val="21"/>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(USD) Lenders, while any Event of Default exists, all Letter of Credit Fees shall accrue at the Default Rate.</w:t>
      </w:r>
    </w:p>
    <w:p>
      <w:pPr>
        <w:spacing w:after="0" w:line="186" w:lineRule="exact"/>
        <w:rPr>
          <w:rFonts w:ascii="Times New Roman" w:cs="Times New Roman" w:eastAsia="Times New Roman" w:hAnsi="Times New Roman"/>
          <w:sz w:val="21"/>
          <w:szCs w:val="21"/>
          <w:color w:val="auto"/>
        </w:rPr>
      </w:pPr>
    </w:p>
    <w:p>
      <w:pPr>
        <w:jc w:val="both"/>
        <w:ind w:firstLine="624"/>
        <w:spacing w:after="0" w:line="248" w:lineRule="auto"/>
        <w:tabs>
          <w:tab w:leader="none" w:pos="114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191919"/>
        </w:rPr>
        <w:t>BA Fees</w:t>
      </w:r>
      <w:r>
        <w:rPr>
          <w:rFonts w:ascii="Times New Roman" w:cs="Times New Roman" w:eastAsia="Times New Roman" w:hAnsi="Times New Roman"/>
          <w:sz w:val="21"/>
          <w:szCs w:val="21"/>
          <w:color w:val="191919"/>
        </w:rPr>
        <w:t xml:space="preserve">. The Company shall pay to the Administrative Agent for the account of each Committed (USD) Lender in accordance, subject to </w:t>
      </w:r>
      <w:r>
        <w:rPr>
          <w:rFonts w:ascii="Times New Roman" w:cs="Times New Roman" w:eastAsia="Times New Roman" w:hAnsi="Times New Roman"/>
          <w:sz w:val="21"/>
          <w:szCs w:val="21"/>
          <w:u w:val="single" w:color="auto"/>
          <w:color w:val="191919"/>
        </w:rPr>
        <w:t>Section 2.17</w:t>
      </w:r>
      <w:r>
        <w:rPr>
          <w:rFonts w:ascii="Times New Roman" w:cs="Times New Roman" w:eastAsia="Times New Roman" w:hAnsi="Times New Roman"/>
          <w:sz w:val="21"/>
          <w:szCs w:val="21"/>
          <w:color w:val="191919"/>
        </w:rPr>
        <w:t>, with its Applicable (USD) Percentage a Bankers’ Acceptance fee (the “</w:t>
      </w:r>
      <w:r>
        <w:rPr>
          <w:rFonts w:ascii="Times New Roman" w:cs="Times New Roman" w:eastAsia="Times New Roman" w:hAnsi="Times New Roman"/>
          <w:sz w:val="21"/>
          <w:szCs w:val="21"/>
          <w:u w:val="single" w:color="auto"/>
          <w:color w:val="191919"/>
        </w:rPr>
        <w:t>BA Fee</w:t>
      </w:r>
      <w:r>
        <w:rPr>
          <w:rFonts w:ascii="Times New Roman" w:cs="Times New Roman" w:eastAsia="Times New Roman" w:hAnsi="Times New Roman"/>
          <w:sz w:val="21"/>
          <w:szCs w:val="21"/>
          <w:color w:val="191919"/>
        </w:rPr>
        <w:t xml:space="preserve">”) equal to the Bankers’ Acceptance Rate </w:t>
      </w:r>
      <w:r>
        <w:rPr>
          <w:rFonts w:ascii="Times New Roman" w:cs="Times New Roman" w:eastAsia="Times New Roman" w:hAnsi="Times New Roman"/>
          <w:sz w:val="21"/>
          <w:szCs w:val="21"/>
          <w:u w:val="single" w:color="auto"/>
          <w:color w:val="191919"/>
        </w:rPr>
        <w:t>plus</w:t>
      </w:r>
      <w:r>
        <w:rPr>
          <w:rFonts w:ascii="Times New Roman" w:cs="Times New Roman" w:eastAsia="Times New Roman" w:hAnsi="Times New Roman"/>
          <w:sz w:val="21"/>
          <w:szCs w:val="21"/>
          <w:color w:val="191919"/>
        </w:rPr>
        <w:t xml:space="preserve"> the Applicable Rate </w:t>
      </w:r>
      <w:r>
        <w:rPr>
          <w:rFonts w:ascii="Times New Roman" w:cs="Times New Roman" w:eastAsia="Times New Roman" w:hAnsi="Times New Roman"/>
          <w:sz w:val="21"/>
          <w:szCs w:val="21"/>
          <w:u w:val="single" w:color="auto"/>
          <w:color w:val="191919"/>
        </w:rPr>
        <w:t>times</w:t>
      </w:r>
      <w:r>
        <w:rPr>
          <w:rFonts w:ascii="Times New Roman" w:cs="Times New Roman" w:eastAsia="Times New Roman" w:hAnsi="Times New Roman"/>
          <w:sz w:val="21"/>
          <w:szCs w:val="21"/>
          <w:color w:val="191919"/>
        </w:rPr>
        <w:t xml:space="preserve"> the Dollar Equivalent of the daily maximum stated amount of all outstanding Bankers’ Acceptances. BA Fees shall be (i) due and payable on the first Business Day after the end of each March, June, September and December, commencing with the first such date to occur after the issuance of such Bankers’ Acceptance, on the Maturity Date </w:t>
      </w:r>
      <w:r>
        <w:rPr>
          <w:rFonts w:ascii="Times New Roman" w:cs="Times New Roman" w:eastAsia="Times New Roman" w:hAnsi="Times New Roman"/>
          <w:sz w:val="21"/>
          <w:szCs w:val="21"/>
          <w:color w:val="000000"/>
        </w:rPr>
        <w:t>of the</w:t>
      </w:r>
      <w:r>
        <w:rPr>
          <w:rFonts w:ascii="Times New Roman" w:cs="Times New Roman" w:eastAsia="Times New Roman" w:hAnsi="Times New Roman"/>
          <w:sz w:val="21"/>
          <w:szCs w:val="21"/>
          <w:color w:val="191919"/>
        </w:rPr>
        <w:t xml:space="preserve"> </w:t>
      </w:r>
      <w:r>
        <w:rPr>
          <w:rFonts w:ascii="Times New Roman" w:cs="Times New Roman" w:eastAsia="Times New Roman" w:hAnsi="Times New Roman"/>
          <w:sz w:val="21"/>
          <w:szCs w:val="21"/>
          <w:color w:val="000000"/>
        </w:rPr>
        <w:t xml:space="preserve">Committed (USD) Facility </w:t>
      </w:r>
      <w:r>
        <w:rPr>
          <w:rFonts w:ascii="Times New Roman" w:cs="Times New Roman" w:eastAsia="Times New Roman" w:hAnsi="Times New Roman"/>
          <w:sz w:val="21"/>
          <w:szCs w:val="21"/>
          <w:color w:val="191919"/>
        </w:rPr>
        <w:t>and thereafter on demand and (ii) computed on a quarterly basis in arrears</w:t>
      </w:r>
      <w:r>
        <w:rPr>
          <w:rFonts w:ascii="Times New Roman" w:cs="Times New Roman" w:eastAsia="Times New Roman" w:hAnsi="Times New Roman"/>
          <w:sz w:val="21"/>
          <w:szCs w:val="21"/>
          <w:color w:val="000000"/>
        </w:rPr>
        <w:t>. If there is any change in the Bankers’ Acceptance Rate or the Applicable Rate for Bankers’ Acceptances during any quarter, the maximum stated amount of all outstanding Bankers’ Acceptances shall be computed and multiplied by the Bankers’ Acceptance Rate or Applicable Rate, as applicable, separately for each period during such quarter that such Bankers’ Acceptance Rate or Applicable Rate, as applicable, was in effect. Notwithstanding anything to the contrary contained herein, upon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1"/>
          <w:szCs w:val="21"/>
          <w:color w:val="auto"/>
        </w:rPr>
        <w:t>the request of the Required (USD) Lenders, while any Event of Default exists, all BA Fees shall accrue at the Default Rate.</w:t>
      </w:r>
    </w:p>
    <w:p>
      <w:pPr>
        <w:spacing w:after="0" w:line="211" w:lineRule="exact"/>
        <w:rPr>
          <w:sz w:val="20"/>
          <w:szCs w:val="20"/>
          <w:color w:val="auto"/>
        </w:rPr>
      </w:pPr>
    </w:p>
    <w:p>
      <w:pPr>
        <w:jc w:val="both"/>
        <w:ind w:firstLine="624"/>
        <w:spacing w:after="0" w:line="259" w:lineRule="auto"/>
        <w:tabs>
          <w:tab w:leader="none" w:pos="108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w:t>
      </w:r>
      <w:r>
        <w:rPr>
          <w:rFonts w:ascii="Times New Roman" w:cs="Times New Roman" w:eastAsia="Times New Roman" w:hAnsi="Times New Roman"/>
          <w:sz w:val="20"/>
          <w:szCs w:val="20"/>
          <w:color w:val="auto"/>
        </w:rPr>
        <w:t xml:space="preserve">. The Company shall pay directly to the L/C Issuer for its own account, in Dollars, a fronting fee (i) with respect to each commercial Letter of Credit, at the rate specified in the Bank of America Fee Letter with respect to such Letters of Credit issued by Bank of America and, with respect to such Letters of Credit issued by any other L/C Issuer, at a rate determined by the Company and such L/C Issuer, computed on the Dollar Equivalent of the amount of such Letter of Credit, and payable upon the issuance thereof, (ii) with respect to any amendment of a commercial Letter of Credit increasing the amount of such Letter of Credit, at a rate separately agreed between the Borrower and the L/C Issuer, computed on the Dollar Equivalent of the amount of such increase, and payable upon the effectiveness of such amendment, and (iii) with respect to each standby Letter of Credit, at the rate per annum specified in the Bank of America Fee Letter with respect to such Letters of Credit issued by Bank of America and, with respect to such Letters of Credit issued by any other L/C Issuer, at a rate determined by the Company and such L/C Issuer, computed on the Dollar Equivalent of the daily amount available to be drawn under such Letter of Credit on a quarterly basis in arrears. The fronting fee referenced in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immediately preceding sentence shall be due and payable on the tenth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In addition, the Company shall pay directly to the L/C Issuer for its own account, in Dollars, the customary issuance, presentation, amendment and other processing fees, and other standard costs and charges, of the L/C Issuer relating to letters of credit and bankers’ acceptances as from time to time in effect. Such customary fees and standard costs and charges are due and payable on demand and are nonrefundable.</w:t>
      </w:r>
    </w:p>
    <w:p>
      <w:pPr>
        <w:spacing w:after="0" w:line="170" w:lineRule="exact"/>
        <w:rPr>
          <w:rFonts w:ascii="Times New Roman" w:cs="Times New Roman" w:eastAsia="Times New Roman" w:hAnsi="Times New Roman"/>
          <w:sz w:val="20"/>
          <w:szCs w:val="20"/>
          <w:color w:val="auto"/>
        </w:rPr>
      </w:pPr>
    </w:p>
    <w:p>
      <w:pPr>
        <w:ind w:firstLine="624"/>
        <w:spacing w:after="0" w:line="283" w:lineRule="auto"/>
        <w:tabs>
          <w:tab w:leader="none" w:pos="100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 with Issuer Documents</w:t>
      </w:r>
      <w:r>
        <w:rPr>
          <w:rFonts w:ascii="Times New Roman" w:cs="Times New Roman" w:eastAsia="Times New Roman" w:hAnsi="Times New Roman"/>
          <w:sz w:val="21"/>
          <w:szCs w:val="21"/>
          <w:color w:val="auto"/>
        </w:rPr>
        <w:t>. In the event of any conflict between the terms hereof and the terms of any Issuer Document, the terms hereof shall control.</w:t>
      </w:r>
    </w:p>
    <w:p>
      <w:pPr>
        <w:spacing w:after="0" w:line="141" w:lineRule="exact"/>
        <w:rPr>
          <w:rFonts w:ascii="Times New Roman" w:cs="Times New Roman" w:eastAsia="Times New Roman" w:hAnsi="Times New Roman"/>
          <w:sz w:val="21"/>
          <w:szCs w:val="21"/>
          <w:color w:val="auto"/>
        </w:rPr>
      </w:pPr>
    </w:p>
    <w:p>
      <w:pPr>
        <w:jc w:val="both"/>
        <w:ind w:firstLine="624"/>
        <w:spacing w:after="0" w:line="250" w:lineRule="auto"/>
        <w:tabs>
          <w:tab w:leader="none" w:pos="125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Letters of Credit/Bankers’ Acceptances Issued for Subsidiaries</w:t>
      </w:r>
      <w:r>
        <w:rPr>
          <w:rFonts w:ascii="Times New Roman" w:cs="Times New Roman" w:eastAsia="Times New Roman" w:hAnsi="Times New Roman"/>
          <w:sz w:val="21"/>
          <w:szCs w:val="21"/>
          <w:color w:val="auto"/>
        </w:rPr>
        <w:t xml:space="preserve">. Notwithstanding that a Letter of Credit or Bankers’ Acceptance issued or outstanding hereunder is in support of any obligations of, or is for the account of, a Subsidiary, the Company shall be obligated to reimburse the L/C Issuer hereunder for any and all drawings under such Letter of Credit or Bankers’ Acceptance, as applicable. The Company hereby acknowledges that the issuance of Letters of Credit or Bankers’ Acceptances for the account of Subsidiaries inures to the benefit of the Company, that the Company’s business derives substantial benefits from the businesses of such Subsidiaries and that such issuance for the benefit of a Subsidiary constitutes an Investment by the Company in such Subsidiary that must comply with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jc w:val="both"/>
        <w:ind w:firstLine="624"/>
        <w:spacing w:after="0" w:line="257" w:lineRule="auto"/>
        <w:tabs>
          <w:tab w:leader="none" w:pos="1085"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Letters of Credit Reports</w:t>
      </w:r>
      <w:r>
        <w:rPr>
          <w:rFonts w:ascii="Times New Roman" w:cs="Times New Roman" w:eastAsia="Times New Roman" w:hAnsi="Times New Roman"/>
          <w:sz w:val="21"/>
          <w:szCs w:val="21"/>
          <w:color w:val="auto"/>
        </w:rPr>
        <w:t xml:space="preserve">. For so long as any Letter of Credit or Bankers’ Acceptance issued by an L/C Issuer (other than Bank of America) is outstanding, such L/C Issuer shall deliver to the Administrative Agent within five (5) Business Days after each calendar month, and on each date that an L/C Credit Extension occurs with respect to any such Letter of Credit or Bankers’ Acceptance, a report in the form of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appropriately completed with the information for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20" w:name="page121"/>
    <w:bookmarkEnd w:id="120"/>
    <w:p>
      <w:pPr>
        <w:spacing w:after="0" w:line="270" w:lineRule="auto"/>
        <w:rPr>
          <w:sz w:val="20"/>
          <w:szCs w:val="20"/>
          <w:color w:val="auto"/>
        </w:rPr>
      </w:pPr>
      <w:r>
        <w:rPr>
          <w:rFonts w:ascii="Times New Roman" w:cs="Times New Roman" w:eastAsia="Times New Roman" w:hAnsi="Times New Roman"/>
          <w:sz w:val="21"/>
          <w:szCs w:val="21"/>
          <w:color w:val="auto"/>
        </w:rPr>
        <w:t>every outstanding Letter of Credit or Bankers’ Acceptance issued by such L/C Issuer. The Administrative Agent will notify the Lenders of its receipt of any such report and provide a copy thereof to any Lender following such Lender’s request.</w:t>
      </w:r>
    </w:p>
    <w:p>
      <w:pPr>
        <w:spacing w:after="0" w:line="150"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2.04</w:t>
      </w:r>
      <w:r>
        <w:rPr>
          <w:sz w:val="20"/>
          <w:szCs w:val="20"/>
          <w:color w:val="auto"/>
        </w:rPr>
        <w:tab/>
      </w:r>
      <w:r>
        <w:rPr>
          <w:rFonts w:ascii="Times New Roman" w:cs="Times New Roman" w:eastAsia="Times New Roman" w:hAnsi="Times New Roman"/>
          <w:sz w:val="20"/>
          <w:szCs w:val="20"/>
          <w:b w:val="1"/>
          <w:bCs w:val="1"/>
          <w:color w:val="auto"/>
        </w:rPr>
        <w:t>Swing Line Loans.</w:t>
      </w:r>
    </w:p>
    <w:p>
      <w:pPr>
        <w:spacing w:after="0" w:line="228" w:lineRule="exact"/>
        <w:rPr>
          <w:sz w:val="20"/>
          <w:szCs w:val="20"/>
          <w:color w:val="auto"/>
        </w:rPr>
      </w:pPr>
    </w:p>
    <w:p>
      <w:pPr>
        <w:jc w:val="both"/>
        <w:ind w:firstLine="624"/>
        <w:spacing w:after="0" w:line="246" w:lineRule="auto"/>
        <w:tabs>
          <w:tab w:leader="none" w:pos="102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Swing Line</w:t>
      </w:r>
      <w:r>
        <w:rPr>
          <w:rFonts w:ascii="Times New Roman" w:cs="Times New Roman" w:eastAsia="Times New Roman" w:hAnsi="Times New Roman"/>
          <w:sz w:val="21"/>
          <w:szCs w:val="21"/>
          <w:color w:val="auto"/>
        </w:rPr>
        <w:t xml:space="preserve">. Subject to the terms and conditions set forth herein, the Swing Line Lender, in reliance upon the agreements of the other Committed (USD) Lenders set forth in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shall make loans in Dollars (each such loan, a “</w:t>
      </w:r>
      <w:r>
        <w:rPr>
          <w:rFonts w:ascii="Times New Roman" w:cs="Times New Roman" w:eastAsia="Times New Roman" w:hAnsi="Times New Roman"/>
          <w:sz w:val="21"/>
          <w:szCs w:val="21"/>
          <w:u w:val="single" w:color="auto"/>
          <w:color w:val="auto"/>
        </w:rPr>
        <w:t>Swing Line Loan</w:t>
      </w:r>
      <w:r>
        <w:rPr>
          <w:rFonts w:ascii="Times New Roman" w:cs="Times New Roman" w:eastAsia="Times New Roman" w:hAnsi="Times New Roman"/>
          <w:sz w:val="21"/>
          <w:szCs w:val="21"/>
          <w:color w:val="auto"/>
        </w:rPr>
        <w:t xml:space="preserve">”) to the Company from time to time on any Business Day during the Availability Period with respect to the Committed (USD) Facility in an aggregate amount not to exceed at any time outstanding the amount of the Swing Line Sublimit, notwithstanding the fact that such Swing Line Loans, when aggregated with the Applicable (USD) Percentage of the Outstanding Amount of Committed (USD) Loans and L/C Obligations of the Lender acting as Swing Line Lender, may exceed the amount of such Lender’s USD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after giving effect to any Swing Line Loan, (i) the Total (USD) Outstandings shall not exceed the Aggregate (USD) Commitments and (ii) the aggregate Outstanding Amount of the Committed (USD) Loans of any Lender,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Lender’s Applicable (USD) Percentage of the Outstanding Amount of all L/C Obligations,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Lender’s Applicable (USD) Percentage of the Outstanding Amount of all Swing Line Loans shall not exceed such Lender’s USD Commitment,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Company shall not use the proceeds of any Swing Line Loan to refinance any outstanding Swing Line Loan. Within the foregoing limits, and subject to the other terms and conditions hereof, the Company may borrow under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prepay under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reborrow under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Each Swing Line Loan shall be a Base Rate Loan. Immediately upon the making of a Swing Line Loan, each Committed (USD) Lender shall be deemed to, and hereby irrevocably and unconditionally agrees to, purchase from the Swing Line Lender a risk participation in such Swing Line Loan in an amount equal to the product of such Lender’s Applicable (USD) Percentage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the amount of such Swing Line Loan.</w:t>
      </w:r>
    </w:p>
    <w:p>
      <w:pPr>
        <w:spacing w:after="0" w:line="187" w:lineRule="exact"/>
        <w:rPr>
          <w:rFonts w:ascii="Times New Roman" w:cs="Times New Roman" w:eastAsia="Times New Roman" w:hAnsi="Times New Roman"/>
          <w:sz w:val="21"/>
          <w:szCs w:val="21"/>
          <w:color w:val="auto"/>
        </w:rPr>
      </w:pPr>
    </w:p>
    <w:p>
      <w:pPr>
        <w:jc w:val="both"/>
        <w:ind w:firstLine="624"/>
        <w:spacing w:after="0" w:line="260" w:lineRule="auto"/>
        <w:tabs>
          <w:tab w:leader="none" w:pos="103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 xml:space="preserve">. Each Swing Line Borrowing shall be made upon the Company’s irrevocable notice to the Swing Line Lender and the Administrative Agent, which may be given by telephone. Each such notice must be received by the Swing Line Lender and the Administrative Agent not later than 2:00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Company.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Committed (USD) Lender) prior to 2:00 p.m.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(B) that one or more of the applicable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 Line Lender will, not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21" w:name="page122"/>
    <w:bookmarkEnd w:id="121"/>
    <w:p>
      <w:pPr>
        <w:spacing w:after="0" w:line="270" w:lineRule="auto"/>
        <w:rPr>
          <w:sz w:val="20"/>
          <w:szCs w:val="20"/>
          <w:color w:val="auto"/>
        </w:rPr>
      </w:pPr>
      <w:r>
        <w:rPr>
          <w:rFonts w:ascii="Times New Roman" w:cs="Times New Roman" w:eastAsia="Times New Roman" w:hAnsi="Times New Roman"/>
          <w:sz w:val="21"/>
          <w:szCs w:val="21"/>
          <w:color w:val="auto"/>
        </w:rPr>
        <w:t>later than 4:00 p.m. on the borrowing date specified in such Swing Line Loan Notice, make the amount of its Swing Line Loan available to the Company.</w:t>
      </w:r>
    </w:p>
    <w:p>
      <w:pPr>
        <w:spacing w:after="0" w:line="154" w:lineRule="exact"/>
        <w:rPr>
          <w:sz w:val="20"/>
          <w:szCs w:val="20"/>
          <w:color w:val="auto"/>
        </w:rPr>
      </w:pPr>
    </w:p>
    <w:p>
      <w:pPr>
        <w:ind w:left="1020" w:hanging="396"/>
        <w:spacing w:after="0"/>
        <w:tabs>
          <w:tab w:leader="none" w:pos="102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Refinancing of Swing Line Loans</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47" w:lineRule="auto"/>
        <w:tabs>
          <w:tab w:leader="none" w:pos="162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Swing Line Lender at any time in its sole and absolute discretion may request, on behalf of the Company (which hereby irrevocably authorizes the Swing Line Lender to so request on its behalf), that each Committed (USD) Lender make a Base Rate Committed (USD) Loan in an amount equal to such Lender's Applicable (USD)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without regard to the minimum and multiples specified therein for the principal amount of Base Rate Loans, but subject to the unutilized portion of the Aggregate (USD) Commitments and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The Swing Line Lender shall furnish the Company with a copy of the applicable Loan Notice promptly after delivering such notice to the Administrative Agent. Each Committed (USD) Lender shall make an amount equal to its Applicable (USD) Percentage of the amount specified in such Loan Notice available to the Administrative Agent in Same Day Funds for the account of the Swing 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2.04(c)(ii)</w:t>
      </w:r>
      <w:r>
        <w:rPr>
          <w:rFonts w:ascii="Times New Roman" w:cs="Times New Roman" w:eastAsia="Times New Roman" w:hAnsi="Times New Roman"/>
          <w:sz w:val="21"/>
          <w:szCs w:val="21"/>
          <w:color w:val="auto"/>
        </w:rPr>
        <w:t>, each Committed (USD) Lender that so makes funds available shall be deemed to have made a Base Rate Committed (USD) Loan to the Company in such amount. The Administrative Agent shall remit the funds so received to the Swing Line Lender.</w:t>
      </w:r>
    </w:p>
    <w:p>
      <w:pPr>
        <w:spacing w:after="0" w:line="177" w:lineRule="exact"/>
        <w:rPr>
          <w:rFonts w:ascii="Times New Roman" w:cs="Times New Roman" w:eastAsia="Times New Roman" w:hAnsi="Times New Roman"/>
          <w:sz w:val="21"/>
          <w:szCs w:val="21"/>
          <w:color w:val="auto"/>
        </w:rPr>
      </w:pPr>
    </w:p>
    <w:p>
      <w:pPr>
        <w:jc w:val="both"/>
        <w:ind w:left="620" w:firstLine="624"/>
        <w:spacing w:after="0" w:line="253" w:lineRule="auto"/>
        <w:tabs>
          <w:tab w:leader="none" w:pos="1704"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for any reason any Swing Line Loan cannot be refinanced by such a Committed (USD) Borrowing in accordance with </w:t>
      </w:r>
      <w:r>
        <w:rPr>
          <w:rFonts w:ascii="Times New Roman" w:cs="Times New Roman" w:eastAsia="Times New Roman" w:hAnsi="Times New Roman"/>
          <w:sz w:val="21"/>
          <w:szCs w:val="21"/>
          <w:u w:val="single" w:color="auto"/>
          <w:color w:val="auto"/>
        </w:rPr>
        <w:t>Section 2.04(c)(i)</w:t>
      </w:r>
      <w:r>
        <w:rPr>
          <w:rFonts w:ascii="Times New Roman" w:cs="Times New Roman" w:eastAsia="Times New Roman" w:hAnsi="Times New Roman"/>
          <w:sz w:val="21"/>
          <w:szCs w:val="21"/>
          <w:color w:val="auto"/>
        </w:rPr>
        <w:t xml:space="preserve">, the request for Base Rate Committed (USD) Loans submitted by the Swing Line Lender as set forth herein shall be deemed to be a request by the Swing Line Lender that each of the Committed (USD) Lenders fund its risk participation in the relevant Swing Line Loan and each Committed (USD) Lender’s payment to the Administrative Agent for the account of the Swing Line Lender pursuant to </w:t>
      </w:r>
      <w:r>
        <w:rPr>
          <w:rFonts w:ascii="Times New Roman" w:cs="Times New Roman" w:eastAsia="Times New Roman" w:hAnsi="Times New Roman"/>
          <w:sz w:val="21"/>
          <w:szCs w:val="21"/>
          <w:u w:val="single" w:color="auto"/>
          <w:color w:val="auto"/>
        </w:rPr>
        <w:t>Section 2.04(c)(i)</w:t>
      </w:r>
      <w:r>
        <w:rPr>
          <w:rFonts w:ascii="Times New Roman" w:cs="Times New Roman" w:eastAsia="Times New Roman" w:hAnsi="Times New Roman"/>
          <w:sz w:val="21"/>
          <w:szCs w:val="21"/>
          <w:color w:val="auto"/>
        </w:rPr>
        <w:t xml:space="preserve"> shall be deemed payment in respect of such participation.</w:t>
      </w:r>
    </w:p>
    <w:p>
      <w:pPr>
        <w:spacing w:after="0" w:line="174" w:lineRule="exact"/>
        <w:rPr>
          <w:rFonts w:ascii="Times New Roman" w:cs="Times New Roman" w:eastAsia="Times New Roman" w:hAnsi="Times New Roman"/>
          <w:sz w:val="21"/>
          <w:szCs w:val="21"/>
          <w:color w:val="auto"/>
        </w:rPr>
      </w:pPr>
    </w:p>
    <w:p>
      <w:pPr>
        <w:jc w:val="both"/>
        <w:ind w:left="620" w:firstLine="624"/>
        <w:spacing w:after="0" w:line="248" w:lineRule="auto"/>
        <w:tabs>
          <w:tab w:leader="none" w:pos="1774"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Committed (USD)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by the time specified in </w:t>
      </w:r>
      <w:r>
        <w:rPr>
          <w:rFonts w:ascii="Times New Roman" w:cs="Times New Roman" w:eastAsia="Times New Roman" w:hAnsi="Times New Roman"/>
          <w:sz w:val="21"/>
          <w:szCs w:val="21"/>
          <w:u w:val="single" w:color="auto"/>
          <w:color w:val="auto"/>
        </w:rPr>
        <w:t>Section 2.04(c)(i)</w:t>
      </w:r>
      <w:r>
        <w:rPr>
          <w:rFonts w:ascii="Times New Roman" w:cs="Times New Roman" w:eastAsia="Times New Roman" w:hAnsi="Times New Roman"/>
          <w:sz w:val="21"/>
          <w:szCs w:val="21"/>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Committed (USD) Lender pays such amount (with interest and fees as aforesaid), the amount so paid shall constitute such Lender’s Committed (USD) Loan included in the relevant Committed (USD) Borrowing or funded participation in the relevant Swing Line Loan, as the case may be. A certificate of the Swing Line Lender submitted to any Lender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22" w:name="page123"/>
    <w:bookmarkEnd w:id="122"/>
    <w:p>
      <w:pPr>
        <w:ind w:left="620"/>
        <w:spacing w:after="0" w:line="270" w:lineRule="auto"/>
        <w:rPr>
          <w:sz w:val="20"/>
          <w:szCs w:val="20"/>
          <w:color w:val="auto"/>
        </w:rPr>
      </w:pPr>
      <w:r>
        <w:rPr>
          <w:rFonts w:ascii="Times New Roman" w:cs="Times New Roman" w:eastAsia="Times New Roman" w:hAnsi="Times New Roman"/>
          <w:sz w:val="21"/>
          <w:szCs w:val="21"/>
          <w:color w:val="auto"/>
        </w:rPr>
        <w:t>(through the Administrative Agent) with respect to any amounts owing under this clause (iii) shall be conclusive absent manifest error.</w:t>
      </w:r>
    </w:p>
    <w:p>
      <w:pPr>
        <w:spacing w:after="0" w:line="154" w:lineRule="exact"/>
        <w:rPr>
          <w:sz w:val="20"/>
          <w:szCs w:val="20"/>
          <w:color w:val="auto"/>
        </w:rPr>
      </w:pPr>
    </w:p>
    <w:p>
      <w:pPr>
        <w:jc w:val="both"/>
        <w:ind w:left="620" w:firstLine="624"/>
        <w:spacing w:after="0" w:line="249" w:lineRule="auto"/>
        <w:tabs>
          <w:tab w:leader="none" w:pos="1879"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Committed (USD) Lender’s obligation to make Committed (USD) Loans or to purchase and fund risk participations in Swing Line Loans pursuant to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shall be absolute and unconditional and shall not be affected by any circumstance, including (A) 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Committed (USD) Lender’s obligation to make Committed (USD) Loans pursuant to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is subject to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No such funding of risk participations shall relieve or otherwise impair the obligation of the Company to repay Swing Line Loans, together with interest as provided herein.</w:t>
      </w:r>
    </w:p>
    <w:p>
      <w:pPr>
        <w:spacing w:after="0" w:line="179"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Repayment of Participations</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82" w:lineRule="auto"/>
        <w:tabs>
          <w:tab w:leader="none" w:pos="162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Committed (USD) Lender has purchased and funded a risk participation in a Swing Line Loan, if the Swing Line Lender receives any payment on account of such Swing Line Loan, the Swing Line Lender will distribute to such Lender its Applicable (USD) Percentage thereof in the same funds as those received by the Swing Line Lender.</w:t>
      </w:r>
    </w:p>
    <w:p>
      <w:pPr>
        <w:spacing w:after="0" w:line="145" w:lineRule="exact"/>
        <w:rPr>
          <w:rFonts w:ascii="Times New Roman" w:cs="Times New Roman" w:eastAsia="Times New Roman" w:hAnsi="Times New Roman"/>
          <w:sz w:val="20"/>
          <w:szCs w:val="20"/>
          <w:color w:val="auto"/>
        </w:rPr>
      </w:pPr>
    </w:p>
    <w:p>
      <w:pPr>
        <w:jc w:val="both"/>
        <w:ind w:left="620" w:firstLine="624"/>
        <w:spacing w:after="0" w:line="265" w:lineRule="auto"/>
        <w:tabs>
          <w:tab w:leader="none" w:pos="1742"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(including pursuant to any settlement entered into by the Swing Line Lender in its discretion), each Committed (USD) Lender shall pay to the Swing Line Lender its Applicable (USD)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Committed (USD) Lenders under this clause shall survive the payment in full of the Obligations and the termination of this Agreement.</w:t>
      </w:r>
    </w:p>
    <w:p>
      <w:pPr>
        <w:spacing w:after="0" w:line="160" w:lineRule="exact"/>
        <w:rPr>
          <w:rFonts w:ascii="Times New Roman" w:cs="Times New Roman" w:eastAsia="Times New Roman" w:hAnsi="Times New Roman"/>
          <w:sz w:val="20"/>
          <w:szCs w:val="20"/>
          <w:color w:val="auto"/>
        </w:rPr>
      </w:pPr>
    </w:p>
    <w:p>
      <w:pPr>
        <w:jc w:val="both"/>
        <w:ind w:firstLine="624"/>
        <w:spacing w:after="0" w:line="257" w:lineRule="auto"/>
        <w:tabs>
          <w:tab w:leader="none" w:pos="111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 for Account of Swing Line Lender</w:t>
      </w:r>
      <w:r>
        <w:rPr>
          <w:rFonts w:ascii="Times New Roman" w:cs="Times New Roman" w:eastAsia="Times New Roman" w:hAnsi="Times New Roman"/>
          <w:sz w:val="21"/>
          <w:szCs w:val="21"/>
          <w:color w:val="auto"/>
        </w:rPr>
        <w:t xml:space="preserve">. The Swing Line Lender shall be responsible for invoicing the Company for interest on the Swing Line Loans. Until each Committed (USD) Lender funds its Base Rate Committed (USD) Loan or risk participation pursuant to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to refinance such Lender’s Applicable (USD) Percentage of any Swing Line Loan, interest in respect of such Applicable (USD) Percentage shall be solely for the account of the Swing Line Lender.</w:t>
      </w:r>
    </w:p>
    <w:p>
      <w:pPr>
        <w:spacing w:after="0" w:line="167" w:lineRule="exact"/>
        <w:rPr>
          <w:rFonts w:ascii="Times New Roman" w:cs="Times New Roman" w:eastAsia="Times New Roman" w:hAnsi="Times New Roman"/>
          <w:sz w:val="21"/>
          <w:szCs w:val="21"/>
          <w:color w:val="auto"/>
        </w:rPr>
      </w:pPr>
    </w:p>
    <w:p>
      <w:pPr>
        <w:ind w:firstLine="624"/>
        <w:spacing w:after="0" w:line="283" w:lineRule="auto"/>
        <w:tabs>
          <w:tab w:leader="none" w:pos="1051"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Directly to Swing Line Lender</w:t>
      </w:r>
      <w:r>
        <w:rPr>
          <w:rFonts w:ascii="Times New Roman" w:cs="Times New Roman" w:eastAsia="Times New Roman" w:hAnsi="Times New Roman"/>
          <w:sz w:val="21"/>
          <w:szCs w:val="21"/>
          <w:color w:val="auto"/>
        </w:rPr>
        <w:t>. The Company shall make all payments of principal and interest in respect of the Swing Line Loans directly to the Swing Line Lender.</w:t>
      </w:r>
    </w:p>
    <w:p>
      <w:pPr>
        <w:spacing w:after="0" w:line="13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2.05 Prepayments. </w:t>
      </w:r>
      <w:r>
        <w:rPr>
          <w:rFonts w:ascii="Times New Roman" w:cs="Times New Roman" w:eastAsia="Times New Roman" w:hAnsi="Times New Roman"/>
          <w:sz w:val="21"/>
          <w:szCs w:val="21"/>
          <w:color w:val="auto"/>
        </w:rPr>
        <w:t>(a) Each Borrower may, upon notice from the Company to the Administrative Agent, which notice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given in writing via electronic mail or other means of electronic transmission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prepayment of Eurocurrency Rate Loans,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23" w:name="page124"/>
    <w:bookmarkEnd w:id="123"/>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such notice shall be given by delivery of a Notice of Loan Prepayment), at any time or from time to time voluntarily prepay Committed Loans and Term Loans in whole or in part without premium or penalty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any such notice must delivered to the Administrative Agent not later than 2:00 p.m. (A) three Business Days prior to any date of prepayment of Eurocurrency Rate Loans and (B) on the date of prepayment of Base Rate Loans; (ii) any prepayment of Eurocurrency Rate Loans shall be in a principal amount of $1,000,000 or a whole multiple of $100,000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Committed Loans to be prepaid and, if Eurocurrency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Company, the applicable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each such prepayment shall be paid to the Lenders in accordance with their respective Applicable Percentages in respect of each of the relevant Facilities. Each prepayment of Term Loans pursuant to this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shall be applied to the principal repayment installments thereof as the Borrowers may direct.</w:t>
      </w:r>
    </w:p>
    <w:p>
      <w:pPr>
        <w:spacing w:after="0" w:line="166" w:lineRule="exact"/>
        <w:rPr>
          <w:sz w:val="20"/>
          <w:szCs w:val="20"/>
          <w:color w:val="auto"/>
        </w:rPr>
      </w:pPr>
    </w:p>
    <w:p>
      <w:pPr>
        <w:jc w:val="both"/>
        <w:ind w:firstLine="624"/>
        <w:spacing w:after="0" w:line="251" w:lineRule="auto"/>
        <w:tabs>
          <w:tab w:leader="none" w:pos="108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notice must be received by the Swing Line Lender and the Administrative Agent not later than 1:00 p.m. on the date of the prepayment, and (ii) any such prepayment shall be in a minimum principal amount of $100,000.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177" w:lineRule="exact"/>
        <w:rPr>
          <w:rFonts w:ascii="Times New Roman" w:cs="Times New Roman" w:eastAsia="Times New Roman" w:hAnsi="Times New Roman"/>
          <w:sz w:val="21"/>
          <w:szCs w:val="21"/>
          <w:color w:val="auto"/>
        </w:rPr>
      </w:pPr>
    </w:p>
    <w:p>
      <w:pPr>
        <w:jc w:val="both"/>
        <w:ind w:firstLine="624"/>
        <w:spacing w:after="0" w:line="253" w:lineRule="auto"/>
        <w:tabs>
          <w:tab w:leader="none" w:pos="10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Total (USD) Outstandings exceed an amount equal to the Aggregate (USD) Commitments then in effect, the Borrowers shall prepay Loans in an aggregate amount sufficient to reduce such Outstanding Amount as of such date of payment to an amount not to exceed the Aggregate (USD) Commitments then in effect. Notwithstanding the foregoing, Cash Collateralization shall not cure or eliminate the Company’s obligation to prepay Loans in an amount necessary such that Total (USD) Outstandings would not exceed the Aggregate (USD) Commitments.</w:t>
      </w:r>
    </w:p>
    <w:p>
      <w:pPr>
        <w:spacing w:after="0" w:line="174" w:lineRule="exact"/>
        <w:rPr>
          <w:rFonts w:ascii="Times New Roman" w:cs="Times New Roman" w:eastAsia="Times New Roman" w:hAnsi="Times New Roman"/>
          <w:sz w:val="21"/>
          <w:szCs w:val="21"/>
          <w:color w:val="auto"/>
        </w:rPr>
      </w:pPr>
    </w:p>
    <w:p>
      <w:pPr>
        <w:ind w:firstLine="624"/>
        <w:spacing w:after="0" w:line="283" w:lineRule="auto"/>
        <w:tabs>
          <w:tab w:leader="none" w:pos="120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for any reason the Outstanding Amount of all Committed (MC) Loans at any time exceeds the Aggregate (MC) Commitments at such time, the Borrowers shall prepay Committed (MC) Loans in an aggregate amount equal to such excess.</w:t>
      </w:r>
    </w:p>
    <w:p>
      <w:pPr>
        <w:spacing w:after="0" w:line="141" w:lineRule="exact"/>
        <w:rPr>
          <w:rFonts w:ascii="Times New Roman" w:cs="Times New Roman" w:eastAsia="Times New Roman" w:hAnsi="Times New Roman"/>
          <w:sz w:val="21"/>
          <w:szCs w:val="21"/>
          <w:color w:val="auto"/>
        </w:rPr>
      </w:pPr>
    </w:p>
    <w:p>
      <w:pPr>
        <w:jc w:val="both"/>
        <w:ind w:firstLine="624"/>
        <w:spacing w:after="0" w:line="263" w:lineRule="auto"/>
        <w:tabs>
          <w:tab w:leader="none" w:pos="108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and on each occasion that any Net Cash Proceeds are received by or on behalf of the Company or any of its Restricted Subsidiaries in respect of any Prepayment Event, the Borrowers shall within five (5) Business Days following receipt thereof prepay Term Loans in an aggregate amount equal to such Net Cash Proceeds;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if the Net Cash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24" w:name="page125"/>
    <w:bookmarkEnd w:id="124"/>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Proceeds received by the Company and its Restricted Subsidiaries in connection with any individual Prepayment Event do not exceed $5,000,000, the Borrowers shall not be required to make any prepayment pursuant to this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 xml:space="preserve"> in respect of such Prepayment Event, (ii) without regard to the amount of Net Cash Proceeds received in connection with any individual Prepayment Event, the Borrowers shall not be required to make any prepayment pursuant to this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 xml:space="preserve"> unless the aggregate Net Cash Proceeds received by the Company and its Restricted Subsidiaries during such fiscal year which have not been applied to prepay the Term Loans exceed $25,000,000 (it being understood that the Borrowers’ prepayment requirement thereafter shall be limited to the Net Cash Proceeds in excess of that $25,000,000 limit), (iii) unless an Event of Default shall have occurred and be continuing, at the election of the Company, all or any portion of such Net Cash Proceeds may, in lieu of being applied to prepay the Term Loans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2.05(e)</w:t>
      </w:r>
      <w:r>
        <w:rPr>
          <w:rFonts w:ascii="Times New Roman" w:cs="Times New Roman" w:eastAsia="Times New Roman" w:hAnsi="Times New Roman"/>
          <w:sz w:val="21"/>
          <w:szCs w:val="21"/>
          <w:color w:val="auto"/>
        </w:rPr>
        <w:t>, be reinvested by the Company or such Restricted Subsidiary in assets useful in the operations of the Company or its Restricted Subsidiaries or applied to the repair or replacement of the property or asset in respect of which such Net Cash Proceeds were received so long as within 365 days (or 635 days, so long as during such initial 365-day period the Company or such Restricted Subsidiary has entered into a binding agreement to make such reinvestment, repair or replacement) after the receipt of such Net Cash Proceeds, such reinvestment, repair or replacement shall have been completed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Net Cash Proceeds not subject to such definitive agreement at the end of such initial 365-day period or so applied to reinvestment, repair or replacement at the end of such 635-day period (or such initial 365-day period if a binding agreement to make such reinvestment, repair or replacement has not been made during such initial 365-day period) shall be applied within five (5) Business Days following the end of such period to the prepayment of the Term Loans as set forth in this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 xml:space="preserve">) and (iv) the Company shall not be required to make any prepayment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2.05(e)</w:t>
      </w:r>
      <w:r>
        <w:rPr>
          <w:rFonts w:ascii="Times New Roman" w:cs="Times New Roman" w:eastAsia="Times New Roman" w:hAnsi="Times New Roman"/>
          <w:sz w:val="21"/>
          <w:szCs w:val="21"/>
          <w:color w:val="auto"/>
        </w:rPr>
        <w:t xml:space="preserve"> in respect of the Disposition of assets by a Foreign Subsidiary if the Company would suffer material adverse tax consequences (as determined in good faith by the Company) as a result of upstreaming cash to make any such prepayment. Notwithstanding the foregoing, if an Event of Default shall occur and be continuing after the Company or a Restricted Subsidiary has entered into a binding agreement to make any such reinvestment, repair or replacement within the initial 365-day period described above, then the Company or such Restricted Subsidiary shall be permitted to complete such reinvestment, repair or replacement within 30 days following such Event of Default, after which any Net Cash Proceeds not so applied to reinvestment, repair or replacement at the end of such 30-day period shall be applied within five (5) Business Days following the end of such period to the prepayment of the Term Loans as set forth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2.05(e)</w:t>
      </w:r>
      <w:r>
        <w:rPr>
          <w:rFonts w:ascii="Times New Roman" w:cs="Times New Roman" w:eastAsia="Times New Roman" w:hAnsi="Times New Roman"/>
          <w:sz w:val="21"/>
          <w:szCs w:val="21"/>
          <w:color w:val="auto"/>
        </w:rPr>
        <w:t xml:space="preserve">. Each prepayment of Term Loans pursuant to this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 xml:space="preserve"> shall be applied to the principal repayment installments thereof on a pro-rata basis.</w:t>
      </w:r>
    </w:p>
    <w:p>
      <w:pPr>
        <w:spacing w:after="0" w:line="176"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2.06</w:t>
      </w:r>
      <w:r>
        <w:rPr>
          <w:sz w:val="20"/>
          <w:szCs w:val="20"/>
          <w:color w:val="auto"/>
        </w:rPr>
        <w:tab/>
      </w:r>
      <w:r>
        <w:rPr>
          <w:rFonts w:ascii="Times New Roman" w:cs="Times New Roman" w:eastAsia="Times New Roman" w:hAnsi="Times New Roman"/>
          <w:sz w:val="20"/>
          <w:szCs w:val="20"/>
          <w:b w:val="1"/>
          <w:bCs w:val="1"/>
          <w:color w:val="auto"/>
        </w:rPr>
        <w:t>Termination or Reduction of Commitments.</w:t>
      </w:r>
    </w:p>
    <w:p>
      <w:pPr>
        <w:spacing w:after="0" w:line="228" w:lineRule="exact"/>
        <w:rPr>
          <w:sz w:val="20"/>
          <w:szCs w:val="20"/>
          <w:color w:val="auto"/>
        </w:rPr>
      </w:pPr>
    </w:p>
    <w:p>
      <w:pPr>
        <w:jc w:val="both"/>
        <w:ind w:firstLine="624"/>
        <w:spacing w:after="0" w:line="263" w:lineRule="auto"/>
        <w:tabs>
          <w:tab w:leader="none" w:pos="1073"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The Company may, upon notice to the Administrative Agent, terminate the Aggregate (USD) Commitments, the Aggregate (MC) Commitments, the Alternative Currency Letter of Credit Sublimit, the Letter of Credit Sublimit or the Swing Line Sublimit, or from time to time permanently reduce the Aggregate (USD) Commitments, the Aggregate (MC) Commitments, the Alternative Currency Letter of Credit Sublimit, the Letter of Credit Sublimit or the Swing Line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12:00 noon three Business Days prior to the date of termination or reduction,</w:t>
      </w:r>
    </w:p>
    <w:p>
      <w:pPr>
        <w:spacing w:after="0" w:line="2" w:lineRule="exact"/>
        <w:rPr>
          <w:rFonts w:ascii="Times New Roman" w:cs="Times New Roman" w:eastAsia="Times New Roman" w:hAnsi="Times New Roman"/>
          <w:sz w:val="20"/>
          <w:szCs w:val="20"/>
          <w:color w:val="auto"/>
        </w:rPr>
      </w:pPr>
    </w:p>
    <w:p>
      <w:pPr>
        <w:ind w:left="300" w:hanging="297"/>
        <w:spacing w:after="0"/>
        <w:tabs>
          <w:tab w:leader="none" w:pos="30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partial reduction shall be in an aggregate amount of $1,000,000 or any whole multiple of $100,000</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25" w:name="page126"/>
    <w:bookmarkEnd w:id="125"/>
    <w:p>
      <w:pPr>
        <w:jc w:val="both"/>
        <w:spacing w:after="0" w:line="267" w:lineRule="auto"/>
        <w:rPr>
          <w:sz w:val="20"/>
          <w:szCs w:val="20"/>
          <w:color w:val="auto"/>
        </w:rPr>
      </w:pPr>
      <w:r>
        <w:rPr>
          <w:rFonts w:ascii="Times New Roman" w:cs="Times New Roman" w:eastAsia="Times New Roman" w:hAnsi="Times New Roman"/>
          <w:sz w:val="20"/>
          <w:szCs w:val="20"/>
          <w:color w:val="auto"/>
        </w:rPr>
        <w:t>in excess thereof and (iii) the Company shall not terminate or reduce (A) the Aggregate (USD) Commitments if, after giving effect thereto and to any concurrent prepayments hereunder, the Total (USD) Outstandings would exceed the Aggregate (USD) Commitments,</w:t>
      </w:r>
    </w:p>
    <w:p>
      <w:pPr>
        <w:spacing w:after="0" w:line="1" w:lineRule="exact"/>
        <w:rPr>
          <w:sz w:val="20"/>
          <w:szCs w:val="20"/>
          <w:color w:val="auto"/>
        </w:rPr>
      </w:pPr>
    </w:p>
    <w:p>
      <w:pPr>
        <w:jc w:val="both"/>
        <w:ind w:firstLine="3"/>
        <w:spacing w:after="0" w:line="244" w:lineRule="auto"/>
        <w:tabs>
          <w:tab w:leader="none" w:pos="372"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(MC) Commitments if, after giving effect thereto and to any concurrent prepayments hereunder, the aggregate Outstanding Amount of all Committed (MC) Loans would exceed the Aggregate (MC) Commitments, (C) </w:t>
      </w:r>
      <w:r>
        <w:rPr>
          <w:rFonts w:ascii="Times New Roman" w:cs="Times New Roman" w:eastAsia="Times New Roman" w:hAnsi="Times New Roman"/>
          <w:sz w:val="21"/>
          <w:szCs w:val="21"/>
          <w:color w:val="191919"/>
        </w:rPr>
        <w:t>the Alternative Currency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91919"/>
        </w:rPr>
        <w:t xml:space="preserve">Letter of </w:t>
      </w:r>
      <w:r>
        <w:rPr>
          <w:rFonts w:ascii="Times New Roman" w:cs="Times New Roman" w:eastAsia="Times New Roman" w:hAnsi="Times New Roman"/>
          <w:sz w:val="21"/>
          <w:szCs w:val="21"/>
          <w:color w:val="000000"/>
        </w:rPr>
        <w:t>Credit Sublimit if, after giving effect thereto, the Outstanding Amount of L/C Obligations with respect to Letters of Credit and</w:t>
      </w:r>
      <w:r>
        <w:rPr>
          <w:rFonts w:ascii="Times New Roman" w:cs="Times New Roman" w:eastAsia="Times New Roman" w:hAnsi="Times New Roman"/>
          <w:sz w:val="21"/>
          <w:szCs w:val="21"/>
          <w:color w:val="191919"/>
        </w:rPr>
        <w:t xml:space="preserve"> </w:t>
      </w:r>
      <w:r>
        <w:rPr>
          <w:rFonts w:ascii="Times New Roman" w:cs="Times New Roman" w:eastAsia="Times New Roman" w:hAnsi="Times New Roman"/>
          <w:sz w:val="21"/>
          <w:szCs w:val="21"/>
          <w:color w:val="000000"/>
        </w:rPr>
        <w:t xml:space="preserve">Bankers’ Acceptances denominated in an Alternative Currency not fully Cash Collateralized hereunder would exceed the Alternative Currency Letter of Credit Sublimit, (D) </w:t>
      </w:r>
      <w:r>
        <w:rPr>
          <w:rFonts w:ascii="Times New Roman" w:cs="Times New Roman" w:eastAsia="Times New Roman" w:hAnsi="Times New Roman"/>
          <w:sz w:val="21"/>
          <w:szCs w:val="21"/>
          <w:color w:val="191919"/>
        </w:rPr>
        <w:t>the Letter of Credit Sublimit if, after giving effect thereto, the Outstanding Amount of L/C</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191919"/>
        </w:rPr>
        <w:t xml:space="preserve">Obligations with respect to Letters of Credit and Bankers’ Acceptances not fully Cash Collateralized hereunder would exceed the Letter of Credit Sublimit </w:t>
      </w:r>
      <w:r>
        <w:rPr>
          <w:rFonts w:ascii="Times New Roman" w:cs="Times New Roman" w:eastAsia="Times New Roman" w:hAnsi="Times New Roman"/>
          <w:sz w:val="21"/>
          <w:szCs w:val="21"/>
          <w:color w:val="000000"/>
        </w:rPr>
        <w:t>or (E)</w:t>
      </w:r>
      <w:r>
        <w:rPr>
          <w:rFonts w:ascii="Times New Roman" w:cs="Times New Roman" w:eastAsia="Times New Roman" w:hAnsi="Times New Roman"/>
          <w:sz w:val="21"/>
          <w:szCs w:val="21"/>
          <w:color w:val="191919"/>
        </w:rPr>
        <w:t xml:space="preserve"> the Swing Line Sublimit if, after giving effect thereto, the Outstanding Amount of Swing Line Loans would exceed the Swing Line Sublimit.</w:t>
      </w:r>
    </w:p>
    <w:p>
      <w:pPr>
        <w:spacing w:after="0" w:line="184" w:lineRule="exact"/>
        <w:rPr>
          <w:rFonts w:ascii="Times New Roman" w:cs="Times New Roman" w:eastAsia="Times New Roman" w:hAnsi="Times New Roman"/>
          <w:sz w:val="21"/>
          <w:szCs w:val="21"/>
          <w:color w:val="auto"/>
        </w:rPr>
      </w:pPr>
    </w:p>
    <w:p>
      <w:pPr>
        <w:jc w:val="both"/>
        <w:ind w:firstLine="624"/>
        <w:spacing w:after="0" w:line="249" w:lineRule="auto"/>
        <w:tabs>
          <w:tab w:leader="none" w:pos="1098"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 of Commitment Reductions; Payment of Fees</w:t>
      </w:r>
      <w:r>
        <w:rPr>
          <w:rFonts w:ascii="Times New Roman" w:cs="Times New Roman" w:eastAsia="Times New Roman" w:hAnsi="Times New Roman"/>
          <w:sz w:val="21"/>
          <w:szCs w:val="21"/>
          <w:color w:val="auto"/>
        </w:rPr>
        <w:t xml:space="preserve">. The Administrative Agent will promptly notify the Lenders of any such notice of termination or reduction of the Aggregate (USD) Commitments, the Aggregate (MC) Commitments, the Alternative Currency Letter of Credit Sublimit, the Letter of Credit Sublimit or the Swing Line Sublimit under this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Any reduction of the Aggregate (USD) Commitments shall be applied to the USD Commitment of each Lender according to its Applicable (USD) Percentage. Any reduction of the Aggregate (MC) Commitments shall be applied to the MC Commitment of each Lender according to its Applicable Percentage with respect to the Committed (MC) Facility. All fees in respect of the applicable Facility accrued until the effective date of any termination of the Aggregate (USD) Commitments or Aggregate (MC) Commitments, as the case may be, shall be paid on the effective date of such termination.</w:t>
      </w:r>
    </w:p>
    <w:p>
      <w:pPr>
        <w:spacing w:after="0" w:line="175" w:lineRule="exact"/>
        <w:rPr>
          <w:sz w:val="20"/>
          <w:szCs w:val="20"/>
          <w:color w:val="auto"/>
        </w:rPr>
      </w:pPr>
    </w:p>
    <w:p>
      <w:pPr>
        <w:ind w:firstLine="620"/>
        <w:spacing w:after="0" w:line="313" w:lineRule="auto"/>
        <w:rPr>
          <w:sz w:val="20"/>
          <w:szCs w:val="20"/>
          <w:color w:val="auto"/>
        </w:rPr>
      </w:pPr>
      <w:r>
        <w:rPr>
          <w:rFonts w:ascii="Times New Roman" w:cs="Times New Roman" w:eastAsia="Times New Roman" w:hAnsi="Times New Roman"/>
          <w:sz w:val="20"/>
          <w:szCs w:val="20"/>
          <w:b w:val="1"/>
          <w:bCs w:val="1"/>
          <w:color w:val="auto"/>
        </w:rPr>
        <w:t xml:space="preserve">2.07 Repayment of Loans. </w:t>
      </w:r>
      <w:r>
        <w:rPr>
          <w:rFonts w:ascii="Times New Roman" w:cs="Times New Roman" w:eastAsia="Times New Roman" w:hAnsi="Times New Roman"/>
          <w:sz w:val="20"/>
          <w:szCs w:val="20"/>
          <w:color w:val="auto"/>
        </w:rPr>
        <w:t>(a) Each Borrower shall repay to the Committed (USD) Lenders on the Maturity Date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Committed (USD) Facility the aggregate principal amount of Committed (USD) Loans made to such Borrower outstanding on such date.</w:t>
      </w:r>
    </w:p>
    <w:p>
      <w:pPr>
        <w:spacing w:after="0" w:line="115" w:lineRule="exact"/>
        <w:rPr>
          <w:sz w:val="20"/>
          <w:szCs w:val="20"/>
          <w:color w:val="auto"/>
        </w:rPr>
      </w:pPr>
    </w:p>
    <w:p>
      <w:pPr>
        <w:ind w:firstLine="624"/>
        <w:spacing w:after="0" w:line="270" w:lineRule="auto"/>
        <w:tabs>
          <w:tab w:leader="none" w:pos="116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shall repay to the Committed (MC) Lenders on the Maturity Date for the Committed (MC) Facility the aggregate principal amount of Committed (MC) Loans made to such Borrower outstanding on such date.</w:t>
      </w:r>
    </w:p>
    <w:p>
      <w:pPr>
        <w:spacing w:after="0" w:line="154" w:lineRule="exact"/>
        <w:rPr>
          <w:rFonts w:ascii="Times New Roman" w:cs="Times New Roman" w:eastAsia="Times New Roman" w:hAnsi="Times New Roman"/>
          <w:sz w:val="21"/>
          <w:szCs w:val="21"/>
          <w:color w:val="auto"/>
        </w:rPr>
      </w:pPr>
    </w:p>
    <w:p>
      <w:pPr>
        <w:ind w:firstLine="624"/>
        <w:spacing w:after="0" w:line="270" w:lineRule="auto"/>
        <w:tabs>
          <w:tab w:leader="none" w:pos="107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repay each Swing Line Loan on the earlier to occur of (i) the date ten Business Days after such Loan is made and (ii) the Maturity Date for the Committed (USD) Facility.</w:t>
      </w:r>
    </w:p>
    <w:p>
      <w:pPr>
        <w:spacing w:after="0" w:line="154" w:lineRule="exact"/>
        <w:rPr>
          <w:rFonts w:ascii="Times New Roman" w:cs="Times New Roman" w:eastAsia="Times New Roman" w:hAnsi="Times New Roman"/>
          <w:sz w:val="21"/>
          <w:szCs w:val="21"/>
          <w:color w:val="auto"/>
        </w:rPr>
      </w:pPr>
    </w:p>
    <w:p>
      <w:pPr>
        <w:jc w:val="both"/>
        <w:ind w:firstLine="624"/>
        <w:spacing w:after="0" w:line="250" w:lineRule="auto"/>
        <w:tabs>
          <w:tab w:leader="none" w:pos="116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Borrower shall repay to the Term Loan Lenders the aggregate principal amount of all Term Loans as set forth on </w:t>
      </w:r>
      <w:r>
        <w:rPr>
          <w:rFonts w:ascii="Times New Roman" w:cs="Times New Roman" w:eastAsia="Times New Roman" w:hAnsi="Times New Roman"/>
          <w:sz w:val="21"/>
          <w:szCs w:val="21"/>
          <w:u w:val="single" w:color="auto"/>
          <w:color w:val="auto"/>
        </w:rPr>
        <w:t>Annex III</w:t>
      </w:r>
      <w:r>
        <w:rPr>
          <w:rFonts w:ascii="Times New Roman" w:cs="Times New Roman" w:eastAsia="Times New Roman" w:hAnsi="Times New Roman"/>
          <w:sz w:val="21"/>
          <w:szCs w:val="21"/>
          <w:color w:val="auto"/>
        </w:rPr>
        <w:t xml:space="preserve"> (which principal amounts shall be reduced as a result of the application of prepayments in accordance with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final principal repayment installment of the Term Loans shall be repaid on the Maturity Date for the Term Loan Facility and in any event shall be in an amount equal to the aggregate principal amount of Term Loans made to the Borrowers that remain outstanding on such date.</w:t>
      </w:r>
    </w:p>
    <w:p>
      <w:pPr>
        <w:spacing w:after="0" w:line="172" w:lineRule="exact"/>
        <w:rPr>
          <w:sz w:val="20"/>
          <w:szCs w:val="20"/>
          <w:color w:val="auto"/>
        </w:rPr>
      </w:pPr>
    </w:p>
    <w:p>
      <w:pPr>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2.08 Interest. </w:t>
      </w:r>
      <w:r>
        <w:rPr>
          <w:rFonts w:ascii="Times New Roman" w:cs="Times New Roman" w:eastAsia="Times New Roman" w:hAnsi="Times New Roman"/>
          <w:sz w:val="21"/>
          <w:szCs w:val="21"/>
          <w:color w:val="auto"/>
        </w:rPr>
        <w:t>(a) Subject to the provisions of subsection (b) below, (i) each Eurocurrency Rate Loan shall bear interest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outstanding principal amount thereof for each Interest Period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26" w:name="page127"/>
    <w:bookmarkEnd w:id="126"/>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at a rate per annum equal to the Eurocurrency Rate for such Interest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 (ii)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 and (iii)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w:t>
      </w:r>
    </w:p>
    <w:p>
      <w:pPr>
        <w:spacing w:after="0" w:line="174" w:lineRule="exact"/>
        <w:rPr>
          <w:sz w:val="20"/>
          <w:szCs w:val="20"/>
          <w:color w:val="auto"/>
        </w:rPr>
      </w:pPr>
    </w:p>
    <w:p>
      <w:pPr>
        <w:jc w:val="both"/>
        <w:ind w:firstLine="624"/>
        <w:spacing w:after="0" w:line="257" w:lineRule="auto"/>
        <w:tabs>
          <w:tab w:leader="none" w:pos="1092"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If any amount of principal of any Loan is not paid when due (without regard to any applicable grace periods), whether at stated maturity, by acceleration or otherwise, such overdue amount shall thereafter bear interest at a fluctuating interest rate per annum at all times equal to the Default Rate to the fullest extent permitted by applicable Laws.</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29"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overdue amount shall thereafter bear interest at a fluctuating interest rate per annum at all times equal to the Default Rate to the fullest extent permitted by applicable Laws.</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35"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occurrence and during the continuation of any Event of Default under </w:t>
      </w:r>
      <w:r>
        <w:rPr>
          <w:rFonts w:ascii="Times New Roman" w:cs="Times New Roman" w:eastAsia="Times New Roman" w:hAnsi="Times New Roman"/>
          <w:sz w:val="21"/>
          <w:szCs w:val="21"/>
          <w:u w:val="single" w:color="auto"/>
          <w:color w:val="auto"/>
        </w:rPr>
        <w:t>Section 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and upon the request of the Required Lenders while any Event of Default under </w:t>
      </w:r>
      <w:r>
        <w:rPr>
          <w:rFonts w:ascii="Times New Roman" w:cs="Times New Roman" w:eastAsia="Times New Roman" w:hAnsi="Times New Roman"/>
          <w:sz w:val="21"/>
          <w:szCs w:val="21"/>
          <w:u w:val="single" w:color="auto"/>
          <w:color w:val="auto"/>
        </w:rPr>
        <w:t>Section 8.01(b)</w:t>
      </w:r>
      <w:r>
        <w:rPr>
          <w:rFonts w:ascii="Times New Roman" w:cs="Times New Roman" w:eastAsia="Times New Roman" w:hAnsi="Times New Roman"/>
          <w:sz w:val="21"/>
          <w:szCs w:val="21"/>
          <w:color w:val="auto"/>
        </w:rPr>
        <w:t xml:space="preserve"> exists as a result of a failure to comply with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the Borrowers shall pay interest on the principal amount of all outstanding Obligations hereunder at a fluctuating interest rate per annum at all times equal to the Default Rate to the fullest extent permitted by applicable Laws.</w:t>
      </w:r>
    </w:p>
    <w:p>
      <w:pPr>
        <w:spacing w:after="0" w:line="167" w:lineRule="exact"/>
        <w:rPr>
          <w:rFonts w:ascii="Times New Roman" w:cs="Times New Roman" w:eastAsia="Times New Roman" w:hAnsi="Times New Roman"/>
          <w:sz w:val="21"/>
          <w:szCs w:val="21"/>
          <w:color w:val="auto"/>
        </w:rPr>
      </w:pPr>
    </w:p>
    <w:p>
      <w:pPr>
        <w:ind w:left="620" w:firstLine="624"/>
        <w:spacing w:after="0" w:line="283" w:lineRule="auto"/>
        <w:tabs>
          <w:tab w:leader="none" w:pos="1749"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Accrued and unpaid interest on past due amounts (including interest on past due interest) shall be due and payable upon demand.</w:t>
      </w:r>
    </w:p>
    <w:p>
      <w:pPr>
        <w:spacing w:after="0" w:line="141" w:lineRule="exact"/>
        <w:rPr>
          <w:rFonts w:ascii="Times New Roman" w:cs="Times New Roman" w:eastAsia="Times New Roman" w:hAnsi="Times New Roman"/>
          <w:sz w:val="21"/>
          <w:szCs w:val="21"/>
          <w:color w:val="auto"/>
        </w:rPr>
      </w:pPr>
    </w:p>
    <w:p>
      <w:pPr>
        <w:jc w:val="both"/>
        <w:ind w:firstLine="624"/>
        <w:spacing w:after="0" w:line="263" w:lineRule="auto"/>
        <w:tabs>
          <w:tab w:leader="none" w:pos="103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62" w:lineRule="exact"/>
        <w:rPr>
          <w:rFonts w:ascii="Times New Roman" w:cs="Times New Roman" w:eastAsia="Times New Roman" w:hAnsi="Times New Roman"/>
          <w:sz w:val="21"/>
          <w:szCs w:val="21"/>
          <w:color w:val="auto"/>
        </w:rPr>
      </w:pPr>
    </w:p>
    <w:p>
      <w:pPr>
        <w:jc w:val="both"/>
        <w:ind w:firstLine="624"/>
        <w:spacing w:after="0" w:line="251" w:lineRule="auto"/>
        <w:tabs>
          <w:tab w:leader="none" w:pos="1033"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7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2.09</w:t>
      </w:r>
      <w:r>
        <w:rPr>
          <w:sz w:val="20"/>
          <w:szCs w:val="20"/>
          <w:color w:val="auto"/>
        </w:rPr>
        <w:tab/>
      </w:r>
      <w:r>
        <w:rPr>
          <w:rFonts w:ascii="Times New Roman" w:cs="Times New Roman" w:eastAsia="Times New Roman" w:hAnsi="Times New Roman"/>
          <w:sz w:val="20"/>
          <w:szCs w:val="20"/>
          <w:b w:val="1"/>
          <w:bCs w:val="1"/>
          <w:color w:val="auto"/>
        </w:rPr>
        <w:t xml:space="preserve">Fees. </w:t>
      </w:r>
      <w:r>
        <w:rPr>
          <w:rFonts w:ascii="Times New Roman" w:cs="Times New Roman" w:eastAsia="Times New Roman" w:hAnsi="Times New Roman"/>
          <w:sz w:val="20"/>
          <w:szCs w:val="20"/>
          <w:color w:val="auto"/>
        </w:rPr>
        <w:t>In addition to certain fees described in subsections (i), (j) and (k)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ind w:firstLine="624"/>
        <w:spacing w:after="0" w:line="283" w:lineRule="auto"/>
        <w:tabs>
          <w:tab w:leader="none" w:pos="1035"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Commitment Fee</w:t>
      </w:r>
      <w:r>
        <w:rPr>
          <w:rFonts w:ascii="Times New Roman" w:cs="Times New Roman" w:eastAsia="Times New Roman" w:hAnsi="Times New Roman"/>
          <w:sz w:val="21"/>
          <w:szCs w:val="21"/>
          <w:color w:val="auto"/>
        </w:rPr>
        <w:t>. (i) The Company shall pay to the Administrative Agent for the account of each Committed (USD) Lender in accordance with its Applicable (USD) Percentage, a</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27" w:name="page128"/>
    <w:bookmarkEnd w:id="127"/>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commitment fee in Dollars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actual daily amount by which the Aggregate (USD) Commitments exceed the sum of (i) the Outstanding Amount of Committed (USD) Loans and (ii) the Outstanding Amount of L/C Obligations, subject to adjustment as provided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The commitment fee shall accrue at all times during the Availability Period with respect to the Committed (USD) Facility, including at any time during which one or more of the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 first such date to occur after the Closing Date, and on the last day of such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the avoidance of doubt, the Outstanding Amount of Swing Line Loans will not be considered when calculating the commitment fee above.</w:t>
      </w:r>
    </w:p>
    <w:p>
      <w:pPr>
        <w:spacing w:after="0" w:line="165" w:lineRule="exact"/>
        <w:rPr>
          <w:sz w:val="20"/>
          <w:szCs w:val="20"/>
          <w:color w:val="auto"/>
        </w:rPr>
      </w:pPr>
    </w:p>
    <w:p>
      <w:pPr>
        <w:jc w:val="both"/>
        <w:ind w:left="620" w:firstLine="624"/>
        <w:spacing w:after="0" w:line="248" w:lineRule="auto"/>
        <w:tabs>
          <w:tab w:leader="none" w:pos="1691"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pay to the Administrative Agent for the account of each Committed (MC) Lender in accordance with its Applicable Percentage in respect of the Committed (MC) Facility, a commitment fee in Dollars equal to the Applicable Rate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the actual daily amount by which the Aggregate (MC) Commitments exceed the Outstanding Amount of Committed (MC) Loans, subject to adjustment as provided in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The commitment fee shall accrue at all times during the Availability Period with respect to the Committed (MC) Facility, including at any time during which one or more of the conditions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is not met, and shall be due and payable quarterly in arrears on the last Business Day of each March, June, September and December, commencing with the first such date to occur after the Closing Date, and on the last day of such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79" w:lineRule="exact"/>
        <w:rPr>
          <w:rFonts w:ascii="Times New Roman" w:cs="Times New Roman" w:eastAsia="Times New Roman" w:hAnsi="Times New Roman"/>
          <w:sz w:val="21"/>
          <w:szCs w:val="21"/>
          <w:color w:val="auto"/>
        </w:rPr>
      </w:pPr>
    </w:p>
    <w:p>
      <w:pPr>
        <w:jc w:val="both"/>
        <w:ind w:firstLine="624"/>
        <w:spacing w:after="0" w:line="263" w:lineRule="auto"/>
        <w:tabs>
          <w:tab w:leader="none" w:pos="105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Fees</w:t>
      </w:r>
      <w:r>
        <w:rPr>
          <w:rFonts w:ascii="Times New Roman" w:cs="Times New Roman" w:eastAsia="Times New Roman" w:hAnsi="Times New Roman"/>
          <w:sz w:val="21"/>
          <w:szCs w:val="21"/>
          <w:color w:val="auto"/>
        </w:rPr>
        <w:t>. (i) The Company shall pay to the Arrangers and the Administrative Agent for their own respective accounts, in Dollars, fees in the amounts and at the times specified in the applicable Fee Letter. Such fees shall be fully earned when paid and shall not be refundable for any reason whatsoever.</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19"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63"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2.10 Computation of Interest and Fees; Retroactive Adjustments of Applicable Rate. </w:t>
      </w:r>
      <w:r>
        <w:rPr>
          <w:rFonts w:ascii="Times New Roman" w:cs="Times New Roman" w:eastAsia="Times New Roman" w:hAnsi="Times New Roman"/>
          <w:sz w:val="21"/>
          <w:szCs w:val="21"/>
          <w:color w:val="auto"/>
        </w:rPr>
        <w:t>(a) All computations of interest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Base Rate Loans (including Base Rate Loans determined by reference to the Eurocurrency Rate) shall be made on the basis of a year of 365 or 366 days, as the case may be, and actual days elapsed. Other than as provided under </w:t>
      </w:r>
      <w:r>
        <w:rPr>
          <w:rFonts w:ascii="Times New Roman" w:cs="Times New Roman" w:eastAsia="Times New Roman" w:hAnsi="Times New Roman"/>
          <w:sz w:val="21"/>
          <w:szCs w:val="21"/>
          <w:u w:val="single" w:color="auto"/>
          <w:color w:val="auto"/>
        </w:rPr>
        <w:t>Section 2.08(d)</w:t>
      </w:r>
      <w:r>
        <w:rPr>
          <w:rFonts w:ascii="Times New Roman" w:cs="Times New Roman" w:eastAsia="Times New Roman" w:hAnsi="Times New Roman"/>
          <w:sz w:val="21"/>
          <w:szCs w:val="21"/>
          <w:color w:val="auto"/>
        </w:rPr>
        <w:t xml:space="preserve">,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Loan that is repaid on the same day on which it is made shall, subject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28" w:name="page129"/>
    <w:bookmarkEnd w:id="128"/>
    <w:p>
      <w:pPr>
        <w:spacing w:after="0" w:line="270" w:lineRule="auto"/>
        <w:rPr>
          <w:sz w:val="20"/>
          <w:szCs w:val="20"/>
          <w:color w:val="auto"/>
        </w:rPr>
      </w:pPr>
      <w:r>
        <w:rPr>
          <w:rFonts w:ascii="Times New Roman" w:cs="Times New Roman" w:eastAsia="Times New Roman" w:hAnsi="Times New Roman"/>
          <w:sz w:val="21"/>
          <w:szCs w:val="21"/>
          <w:u w:val="single" w:color="auto"/>
          <w:color w:val="auto"/>
        </w:rPr>
        <w:t>Section 2.12(a)</w:t>
      </w:r>
      <w:r>
        <w:rPr>
          <w:rFonts w:ascii="Times New Roman" w:cs="Times New Roman" w:eastAsia="Times New Roman" w:hAnsi="Times New Roman"/>
          <w:sz w:val="21"/>
          <w:szCs w:val="21"/>
          <w:color w:val="auto"/>
        </w:rPr>
        <w:t>, bear interest for one day. Each determination by the Administrative Agent of an interest rate or fee hereunder shall be conclusive and binding for all purposes, absent manifest error.</w:t>
      </w:r>
    </w:p>
    <w:p>
      <w:pPr>
        <w:spacing w:after="0" w:line="154" w:lineRule="exact"/>
        <w:rPr>
          <w:sz w:val="20"/>
          <w:szCs w:val="20"/>
          <w:color w:val="auto"/>
        </w:rPr>
      </w:pPr>
    </w:p>
    <w:p>
      <w:pPr>
        <w:jc w:val="both"/>
        <w:ind w:firstLine="624"/>
        <w:spacing w:after="0" w:line="247" w:lineRule="auto"/>
        <w:tabs>
          <w:tab w:leader="none" w:pos="107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as a result of any restatement of or other adjustment to the financial statements of the Company or for any other reason, the Company or the Lenders determine that (i) the Consolidated Leverage Ratio as calculated by the Company as of any applicable date was inaccurate and (ii) a proper calculation of the Consolidated Leverage Ratio would have resulted in higher pricing for such period, each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Times New Roman" w:cs="Times New Roman" w:eastAsia="Times New Roman" w:hAnsi="Times New Roman"/>
          <w:sz w:val="21"/>
          <w:szCs w:val="21"/>
          <w:u w:val="single" w:color="auto"/>
          <w:color w:val="auto"/>
        </w:rPr>
        <w:t>Section 2.03(d)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2.03(j)</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2.08(b)</w:t>
      </w:r>
      <w:r>
        <w:rPr>
          <w:rFonts w:ascii="Times New Roman" w:cs="Times New Roman" w:eastAsia="Times New Roman" w:hAnsi="Times New Roman"/>
          <w:sz w:val="21"/>
          <w:szCs w:val="21"/>
          <w:color w:val="auto"/>
        </w:rPr>
        <w:t xml:space="preserve"> or under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The Borrowers’ obligations under this paragraph shall survive the termination of the Aggregate Commitments and the repayment of all other Obligations hereunder.</w:t>
      </w:r>
    </w:p>
    <w:p>
      <w:pPr>
        <w:spacing w:after="0" w:line="182"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2.11 Evidence of Debt. </w:t>
      </w:r>
      <w:r>
        <w:rPr>
          <w:rFonts w:ascii="Times New Roman" w:cs="Times New Roman" w:eastAsia="Times New Roman" w:hAnsi="Times New Roman"/>
          <w:sz w:val="21"/>
          <w:szCs w:val="21"/>
          <w:color w:val="auto"/>
        </w:rPr>
        <w:t>(a) The Credit Extensions made by each Lender shall be evidenced by one or more accounts or records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maintained by such Lender in the ordinary course of business. The Administrative Agent shall maintain the Register in accordance with </w:t>
      </w:r>
      <w:r>
        <w:rPr>
          <w:rFonts w:ascii="Times New Roman" w:cs="Times New Roman" w:eastAsia="Times New Roman" w:hAnsi="Times New Roman"/>
          <w:sz w:val="21"/>
          <w:szCs w:val="21"/>
          <w:u w:val="single" w:color="auto"/>
          <w:color w:val="auto"/>
        </w:rPr>
        <w:t>Section 10.06(c)</w:t>
      </w:r>
      <w:r>
        <w:rPr>
          <w:rFonts w:ascii="Times New Roman" w:cs="Times New Roman" w:eastAsia="Times New Roman" w:hAnsi="Times New Roman"/>
          <w:sz w:val="21"/>
          <w:szCs w:val="21"/>
          <w:color w:val="auto"/>
        </w:rPr>
        <w:t>. The accounts or records maintained by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Register in respect of such matters, the Register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83" w:lineRule="exact"/>
        <w:rPr>
          <w:sz w:val="20"/>
          <w:szCs w:val="20"/>
          <w:color w:val="auto"/>
        </w:rPr>
      </w:pPr>
    </w:p>
    <w:p>
      <w:pPr>
        <w:jc w:val="both"/>
        <w:ind w:firstLine="624"/>
        <w:spacing w:after="0" w:line="253" w:lineRule="auto"/>
        <w:tabs>
          <w:tab w:leader="none" w:pos="103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Bankers’ Acceptances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2.12 Payments Generally; Administrative Agent’s Clawback. </w:t>
      </w: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All payments to be made by the Borrowers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29" w:name="page130"/>
    <w:bookmarkEnd w:id="129"/>
    <w:p>
      <w:pPr>
        <w:jc w:val="both"/>
        <w:spacing w:after="0" w:line="245" w:lineRule="auto"/>
        <w:rPr>
          <w:sz w:val="20"/>
          <w:szCs w:val="20"/>
          <w:color w:val="auto"/>
        </w:rPr>
      </w:pPr>
      <w:r>
        <w:rPr>
          <w:rFonts w:ascii="Times New Roman" w:cs="Times New Roman" w:eastAsia="Times New Roman" w:hAnsi="Times New Roman"/>
          <w:sz w:val="21"/>
          <w:szCs w:val="21"/>
          <w:color w:val="auto"/>
        </w:rPr>
        <w:t>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Committed (MC)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(upon reasonable notice) that any payments due under this Agreement be made in the United States. If, for any reason, any Borrower is prohibited by any Law from making any required payment hereunder in an Alternative Currency, such Borrower shall make such payment in Dollars in the Dollar Equivalent of such Alternative Currency payment amount.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90" w:lineRule="exact"/>
        <w:rPr>
          <w:sz w:val="20"/>
          <w:szCs w:val="20"/>
          <w:color w:val="auto"/>
        </w:rPr>
      </w:pPr>
    </w:p>
    <w:p>
      <w:pPr>
        <w:jc w:val="both"/>
        <w:ind w:firstLine="624"/>
        <w:spacing w:after="0" w:line="246" w:lineRule="auto"/>
        <w:tabs>
          <w:tab w:leader="none" w:pos="103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Funding by Lenders; Presumption by Administrative Agent</w:t>
      </w:r>
      <w:r>
        <w:rPr>
          <w:rFonts w:ascii="Times New Roman" w:cs="Times New Roman" w:eastAsia="Times New Roman" w:hAnsi="Times New Roman"/>
          <w:sz w:val="21"/>
          <w:szCs w:val="21"/>
          <w:color w:val="auto"/>
        </w:rPr>
        <w:t xml:space="preserve">. Unless the Administrative Agent shall have received notice from a Lender prior to the proposed date of any Borrowing of Eurocurrency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the date such amount is made available to such Borrower to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30" w:name="page131"/>
    <w:bookmarkEnd w:id="130"/>
    <w:p>
      <w:pPr>
        <w:jc w:val="both"/>
        <w:ind w:left="620" w:firstLine="624"/>
        <w:spacing w:after="0" w:line="247" w:lineRule="auto"/>
        <w:tabs>
          <w:tab w:leader="none" w:pos="1867"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by Borrowers; Presumptions by Administrative Agent</w:t>
      </w:r>
      <w:r>
        <w:rPr>
          <w:rFonts w:ascii="Times New Roman" w:cs="Times New Roman" w:eastAsia="Times New Roman" w:hAnsi="Times New Roman"/>
          <w:sz w:val="21"/>
          <w:szCs w:val="21"/>
          <w:color w:val="auto"/>
        </w:rPr>
        <w:t>. Unless the Administrative Agent shall have received notice from a Borrower prior to the time at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applicable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the date such amount is distributed to it to the date of payment to the Administrative Agent, at the Overnight Rate.</w:t>
      </w:r>
    </w:p>
    <w:p>
      <w:pPr>
        <w:spacing w:after="0" w:line="179"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21"/>
          <w:szCs w:val="21"/>
          <w:color w:val="auto"/>
        </w:rPr>
        <w:t>A notice of the Administrative Agent to any Lender or Borrower with respect to any amount owing under this subsection (b) shall be conclusive, absent manifest error.</w:t>
      </w:r>
    </w:p>
    <w:p>
      <w:pPr>
        <w:spacing w:after="0" w:line="154" w:lineRule="exact"/>
        <w:rPr>
          <w:sz w:val="20"/>
          <w:szCs w:val="20"/>
          <w:color w:val="auto"/>
        </w:rPr>
      </w:pPr>
    </w:p>
    <w:p>
      <w:pPr>
        <w:jc w:val="both"/>
        <w:ind w:firstLine="624"/>
        <w:spacing w:after="0" w:line="253" w:lineRule="auto"/>
        <w:tabs>
          <w:tab w:leader="none" w:pos="1035"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Satisfy Conditions Precedent</w:t>
      </w:r>
      <w:r>
        <w:rPr>
          <w:rFonts w:ascii="Times New Roman" w:cs="Times New Roman" w:eastAsia="Times New Roman" w:hAnsi="Times New Roman"/>
          <w:sz w:val="21"/>
          <w:szCs w:val="21"/>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are not satisfied or waived in accordance with the terms hereof, the Administrative Agent shall promptly (if possible, on the same day) return such funds (in like funds as received from such Lender) to such Lender, without interest.</w:t>
      </w:r>
    </w:p>
    <w:p>
      <w:pPr>
        <w:spacing w:after="0" w:line="174" w:lineRule="exact"/>
        <w:rPr>
          <w:rFonts w:ascii="Times New Roman" w:cs="Times New Roman" w:eastAsia="Times New Roman" w:hAnsi="Times New Roman"/>
          <w:sz w:val="21"/>
          <w:szCs w:val="21"/>
          <w:color w:val="auto"/>
        </w:rPr>
      </w:pPr>
    </w:p>
    <w:p>
      <w:pPr>
        <w:jc w:val="both"/>
        <w:ind w:firstLine="624"/>
        <w:spacing w:after="0" w:line="251" w:lineRule="auto"/>
        <w:tabs>
          <w:tab w:leader="none" w:pos="104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of Lenders Several</w:t>
      </w:r>
      <w:r>
        <w:rPr>
          <w:rFonts w:ascii="Times New Roman" w:cs="Times New Roman" w:eastAsia="Times New Roman" w:hAnsi="Times New Roman"/>
          <w:sz w:val="21"/>
          <w:szCs w:val="21"/>
          <w:color w:val="auto"/>
        </w:rPr>
        <w:t xml:space="preserve">. The obligations of the Lenders hereunder to make Loans, to fund participations in Letters of Credit, Swing Line Loans and Bankers’ Acceptances and to make payments pursuant to </w:t>
      </w:r>
      <w:r>
        <w:rPr>
          <w:rFonts w:ascii="Times New Roman" w:cs="Times New Roman" w:eastAsia="Times New Roman" w:hAnsi="Times New Roman"/>
          <w:sz w:val="21"/>
          <w:szCs w:val="21"/>
          <w:u w:val="single" w:color="auto"/>
          <w:color w:val="auto"/>
        </w:rPr>
        <w:t>Section 10.04(c)</w:t>
      </w:r>
      <w:r>
        <w:rPr>
          <w:rFonts w:ascii="Times New Roman" w:cs="Times New Roman" w:eastAsia="Times New Roman" w:hAnsi="Times New Roman"/>
          <w:sz w:val="21"/>
          <w:szCs w:val="21"/>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1"/>
          <w:szCs w:val="21"/>
          <w:u w:val="single" w:color="auto"/>
          <w:color w:val="auto"/>
        </w:rPr>
        <w:t>Section 10.04(c)</w:t>
      </w:r>
      <w:r>
        <w:rPr>
          <w:rFonts w:ascii="Times New Roman" w:cs="Times New Roman" w:eastAsia="Times New Roman" w:hAnsi="Times New Roman"/>
          <w:sz w:val="21"/>
          <w:szCs w:val="21"/>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10.04(c)</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jc w:val="both"/>
        <w:ind w:firstLine="624"/>
        <w:spacing w:after="0" w:line="263" w:lineRule="auto"/>
        <w:tabs>
          <w:tab w:leader="none" w:pos="1073"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Funding Source</w:t>
      </w:r>
      <w:r>
        <w:rPr>
          <w:rFonts w:ascii="Times New Roman" w:cs="Times New Roman" w:eastAsia="Times New Roman" w:hAnsi="Times New Roman"/>
          <w:sz w:val="21"/>
          <w:szCs w:val="21"/>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8"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2.13 Sharing of Payments by Lenders. </w:t>
      </w:r>
      <w:r>
        <w:rPr>
          <w:rFonts w:ascii="Times New Roman" w:cs="Times New Roman" w:eastAsia="Times New Roman" w:hAnsi="Times New Roman"/>
          <w:sz w:val="20"/>
          <w:szCs w:val="20"/>
          <w:color w:val="auto"/>
        </w:rPr>
        <w:t>If any Lender shall, by exercising any right of setoff or counterclaim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31" w:name="page132"/>
    <w:bookmarkEnd w:id="131"/>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79" w:lineRule="exact"/>
        <w:rPr>
          <w:sz w:val="20"/>
          <w:szCs w:val="20"/>
          <w:color w:val="auto"/>
        </w:rPr>
      </w:pPr>
    </w:p>
    <w:p>
      <w:pPr>
        <w:jc w:val="both"/>
        <w:ind w:left="620" w:firstLine="624"/>
        <w:spacing w:after="0" w:line="263" w:lineRule="auto"/>
        <w:tabs>
          <w:tab w:leader="none" w:pos="1633"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51" w:lineRule="auto"/>
        <w:tabs>
          <w:tab w:leader="none" w:pos="1665"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Section shall not be construed to apply to (x) any payment made by a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or (z) any payment obtained by a Lender as consideration for the assignment of or sale of a participation in any of its Loans or subparticipations in L/C Obligations or Swing Line Loans to any assignee or participant, other than an assignment to the Company or any Subsidiary thereof (as to which the provisions of this Section shall apply).</w:t>
      </w:r>
    </w:p>
    <w:p>
      <w:pPr>
        <w:spacing w:after="0" w:line="17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6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2.14</w:t>
      </w:r>
      <w:r>
        <w:rPr>
          <w:sz w:val="20"/>
          <w:szCs w:val="20"/>
          <w:color w:val="auto"/>
        </w:rPr>
        <w:tab/>
      </w:r>
      <w:r>
        <w:rPr>
          <w:rFonts w:ascii="Times New Roman" w:cs="Times New Roman" w:eastAsia="Times New Roman" w:hAnsi="Times New Roman"/>
          <w:sz w:val="20"/>
          <w:szCs w:val="20"/>
          <w:b w:val="1"/>
          <w:bCs w:val="1"/>
          <w:color w:val="auto"/>
        </w:rPr>
        <w:t>Company as Borrowing Agent; Joint and Several Liability.</w:t>
      </w:r>
    </w:p>
    <w:p>
      <w:pPr>
        <w:spacing w:after="0" w:line="228" w:lineRule="exact"/>
        <w:rPr>
          <w:sz w:val="20"/>
          <w:szCs w:val="20"/>
          <w:color w:val="auto"/>
        </w:rPr>
      </w:pPr>
    </w:p>
    <w:p>
      <w:pPr>
        <w:jc w:val="both"/>
        <w:ind w:firstLine="624"/>
        <w:spacing w:after="0" w:line="248" w:lineRule="auto"/>
        <w:tabs>
          <w:tab w:leader="none" w:pos="1073"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Because the operations and business activities of the Borrowers are highly integrated and interdependent, at any particular time it is in the mutual best interest of the Administrative Agent, the Lenders and the Borrowers for the Company, through one or more of its Responsible Officers, to deliver all Requests for Credit Extension and all other such notices, and to take all other action of a Responsible Officer in this Agreement or in any other Loan Document, whether on behalf of the Company or any other Borrower, and to determine which of the Borrowers will directly receive the proceeds of a Loan. Each of the Borrowers hereby directs the Administrative Agent to disburse the proceeds of each Loan as directed by the Company through a Responsible Officer, and such distribution will, in all circumstances, be deemed to be made to the Borrower to which such proceeds are directed. Each Borrower hereby irrevocably designates, appoints, authorizes and directs the Company (including each Responsible Officer of the Company) to act on behalf of such Borrower for the purposes set forth in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and to act on behalf of such Borrower for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32" w:name="page133"/>
    <w:bookmarkEnd w:id="132"/>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purposes of giving notice to the Administrative Agent of requests for Borrowings, conversions, continuations and for otherwise giving and receiving notices and certifications under this Agreement or any other Loan Document and otherwise for taking all other action contemplated to be taken by the Company (including each Responsible Officer of the Company) hereunder or under any other Loan Document. Each Borrower further appoints the Company as its agent for any service of process. The Administrative Agent is entitled to rely and act on the instructions of the Company, by and through any Responsible Officer, on behalf of each Borrower. Without limiting the provisions of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each Borrower covenants and agrees to assume liability for and to protect, indemnify and hold harmless the Administrative Agent, the Lenders, the L/C Issuer and the Swing Line Lender from any and all liabilities, obligations, damages, penalties, claims, causes of action, costs, charges and expenses (including reasonable attorneys’ fees), which may be incurred by, imposed or asserted against the Administrative Agent, any Lender, the L/C Issuer or the Swing Line Lender, howsoever arising or incurred because of, out of or in connection with the disbursements of Loans and Credit Extensions in accordance with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the liability of the Borrowers pursuant to this indemnity shall not extend to any liability, obligation, damage, penalty, claim, cause of action, cost, charge or expense of any Person (i) determined by a court of competent jurisdiction by a final and nonappealable judgment to have resulted from the gross negligence or willful misconduct of the Administrative Agent, any Lender, the L/C Issuer or the Swing Line Lender, (ii) result from a claim brought by any Borrower or any other Loan Party against any Lender, the L/C Issuer or the Swing Line Lender for breach in bad faith of such Person’s obligations hereunder or under any other Loan Document, if such Borrower or such other Loan Party has obtained a final and nonappealable judgment in its favor on such claim as determined by a court of competent jurisdiction or (iii) attributable to any Taxes, other than Taxes that represent a liability, obligation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damage, penalty, claim, cause of action, cost, charge or expense arising from a non-Tax claim;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reimbursement of fees, charges and disbursements of counsel shall be limited to one counsel and one local counsel and one applicable regulatory counsel and local counsel in each relevant jurisdiction for the Persons indemnified pursuant to this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The Company shall maintain detailed accounting and records of all disbursements and payments made to each Borrower with respect to proceeds of Loans. Not in any way in limitation of any other provisions set forth herein, such books and records may be reviewed and copied by the Administrative Agent at the Company’s expense at reasonable intervals and upon reasonable notice given by the Administrative Agent to the Company.</w:t>
      </w:r>
    </w:p>
    <w:p>
      <w:pPr>
        <w:spacing w:after="0" w:line="189" w:lineRule="exact"/>
        <w:rPr>
          <w:sz w:val="20"/>
          <w:szCs w:val="20"/>
          <w:color w:val="auto"/>
        </w:rPr>
      </w:pPr>
    </w:p>
    <w:p>
      <w:pPr>
        <w:jc w:val="both"/>
        <w:ind w:firstLine="624"/>
        <w:spacing w:after="0" w:line="263" w:lineRule="auto"/>
        <w:tabs>
          <w:tab w:leader="none" w:pos="1085"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shall be jointly and severally liable for all Obligations. For the avoidance of doubt, each of the Borrowers agrees and understands that it shall be jointly and severally liable for the Obligations as described in the preceding sentence, without regard to the identity of the Borrower in whose name any Loan is made or other Obligation is incurred.</w:t>
      </w:r>
    </w:p>
    <w:p>
      <w:pPr>
        <w:spacing w:after="0" w:line="162" w:lineRule="exact"/>
        <w:rPr>
          <w:rFonts w:ascii="Times New Roman" w:cs="Times New Roman" w:eastAsia="Times New Roman" w:hAnsi="Times New Roman"/>
          <w:sz w:val="21"/>
          <w:szCs w:val="21"/>
          <w:color w:val="auto"/>
        </w:rPr>
      </w:pPr>
    </w:p>
    <w:p>
      <w:pPr>
        <w:jc w:val="both"/>
        <w:ind w:firstLine="624"/>
        <w:spacing w:after="0" w:line="263" w:lineRule="auto"/>
        <w:tabs>
          <w:tab w:leader="none" w:pos="1073"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is the intention of the parties that with respect to each Borrower, its obligations under </w:t>
      </w:r>
      <w:r>
        <w:rPr>
          <w:rFonts w:ascii="Times New Roman" w:cs="Times New Roman" w:eastAsia="Times New Roman" w:hAnsi="Times New Roman"/>
          <w:sz w:val="21"/>
          <w:szCs w:val="21"/>
          <w:u w:val="single" w:color="auto"/>
          <w:color w:val="auto"/>
        </w:rPr>
        <w:t>Section 2.14(b)</w:t>
      </w:r>
      <w:r>
        <w:rPr>
          <w:rFonts w:ascii="Times New Roman" w:cs="Times New Roman" w:eastAsia="Times New Roman" w:hAnsi="Times New Roman"/>
          <w:sz w:val="21"/>
          <w:szCs w:val="21"/>
          <w:color w:val="auto"/>
        </w:rPr>
        <w:t xml:space="preserve"> shall be absolute, unconditional and irrevocable irrespective of, and each Borrower hereby expressly waives, to the extent permitted by law, any defense to its Obligations under this Agreement and all the other Loan Documents to which it is a party by reason of:</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62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lack of legality, validity or enforceability of this Agreement, of any of the Notes, of any other Loan Document, or of any other agreement or instrument creating, providing security for, or otherwise relating to any of the Obligations (the Loan Documents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33" w:name="page134"/>
    <w:bookmarkEnd w:id="133"/>
    <w:p>
      <w:pPr>
        <w:ind w:left="620"/>
        <w:spacing w:after="0"/>
        <w:rPr>
          <w:sz w:val="20"/>
          <w:szCs w:val="20"/>
          <w:color w:val="auto"/>
        </w:rPr>
      </w:pPr>
      <w:r>
        <w:rPr>
          <w:rFonts w:ascii="Times New Roman" w:cs="Times New Roman" w:eastAsia="Times New Roman" w:hAnsi="Times New Roman"/>
          <w:sz w:val="21"/>
          <w:szCs w:val="21"/>
          <w:color w:val="auto"/>
        </w:rPr>
        <w:t>and all such other agreements and instruments being collectively referred to as the “</w:t>
      </w:r>
      <w:r>
        <w:rPr>
          <w:rFonts w:ascii="Times New Roman" w:cs="Times New Roman" w:eastAsia="Times New Roman" w:hAnsi="Times New Roman"/>
          <w:sz w:val="21"/>
          <w:szCs w:val="21"/>
          <w:u w:val="single" w:color="auto"/>
          <w:color w:val="auto"/>
        </w:rPr>
        <w:t>Related Agreements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left="620" w:firstLine="624"/>
        <w:spacing w:after="0" w:line="283" w:lineRule="auto"/>
        <w:tabs>
          <w:tab w:leader="none" w:pos="1742"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taken under any of the Related Agreements, any exercise of any right or power therein conferred, any failure or omission to enforce any right conferred thereby, or any waiver of any covenant or condition therein provided;</w:t>
      </w:r>
    </w:p>
    <w:p>
      <w:pPr>
        <w:spacing w:after="0" w:line="141" w:lineRule="exact"/>
        <w:rPr>
          <w:rFonts w:ascii="Times New Roman" w:cs="Times New Roman" w:eastAsia="Times New Roman" w:hAnsi="Times New Roman"/>
          <w:sz w:val="21"/>
          <w:szCs w:val="21"/>
          <w:color w:val="auto"/>
        </w:rPr>
      </w:pPr>
    </w:p>
    <w:p>
      <w:pPr>
        <w:ind w:left="620" w:firstLine="624"/>
        <w:spacing w:after="0" w:line="283" w:lineRule="auto"/>
        <w:tabs>
          <w:tab w:leader="none" w:pos="1722"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acceleration of the maturity of any of the Obligations (whether of such Borrower or of any other Borrower) or of any other obligations or liabilities of any Person under any of the Related Agreements;</w:t>
      </w:r>
    </w:p>
    <w:p>
      <w:pPr>
        <w:spacing w:after="0" w:line="141"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801"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release, exchange, non-perfection, lapse in perfection, disposal, deterioration in value, or impairment of any security for any of the Obligations (whether of such Borrower or of any other Borrower) or for any other obligations or liabilities of any Person under any of the Related Agreements;</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57"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dissolution of any Borrower or any Subsidiary Guarantor or any other party to a Related Agreement, or the combination or consolidation of any Borrower or any Subsidiary Guarantor or any other party to a Related Agreement into or with another entity or any transfer or disposition of any assets of any Borrower or any Subsidiary Guarantor or any other party to a Related Agreement;</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82" w:lineRule="auto"/>
        <w:tabs>
          <w:tab w:leader="none" w:pos="173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extension (including extensions of time for payment), renewal, amendment, restructuring or restatement of, any acceptance of late or partial payments under, or any change in the amount of any borrowings or any credit facilities available under, this Agreement, any of the Notes or any other Loan Document or any other Related Agreement, in whole or in part;</w:t>
      </w:r>
    </w:p>
    <w:p>
      <w:pPr>
        <w:spacing w:after="0" w:line="145" w:lineRule="exact"/>
        <w:rPr>
          <w:rFonts w:ascii="Times New Roman" w:cs="Times New Roman" w:eastAsia="Times New Roman" w:hAnsi="Times New Roman"/>
          <w:sz w:val="20"/>
          <w:szCs w:val="20"/>
          <w:color w:val="auto"/>
        </w:rPr>
      </w:pPr>
    </w:p>
    <w:p>
      <w:pPr>
        <w:ind w:left="620" w:firstLine="624"/>
        <w:spacing w:after="0" w:line="283" w:lineRule="auto"/>
        <w:tabs>
          <w:tab w:leader="none" w:pos="1768"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addition, modification, termination, reduction or impairment of value, or release of any other guaranty (or security therefor) of any of the Obligations (whether of such Borrower or of any other Borrower);</w:t>
      </w:r>
    </w:p>
    <w:p>
      <w:pPr>
        <w:spacing w:after="0" w:line="141"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877"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waiver of, forbearance or indulgence under, or other consent to any change in or departure from any term or provision contained in this Agreement, any other Loan Document or any other Related Agreement, including without limitation any term pertaining to the payment or performance of any of the Obligations (whether of such Borrower or of any other Borrower) or any of the obligations or liabilities of any party to any other Related Agreement; or</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62"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circumstance whatsoever (with or without notice to or knowledge of any other Borrower) which may or might in any manner or to any extent vary the risks of such Borrower, or might otherwise constitute a legal or equitable defense available to, or discharge of, a surety or a guarantor, including any right to require or claim that resort be had to any Borrower or any other Loan Party or to any collateral in respect of the Obligations.</w:t>
      </w:r>
    </w:p>
    <w:p>
      <w:pPr>
        <w:spacing w:after="0" w:line="167" w:lineRule="exact"/>
        <w:rPr>
          <w:rFonts w:ascii="Times New Roman" w:cs="Times New Roman" w:eastAsia="Times New Roman" w:hAnsi="Times New Roman"/>
          <w:sz w:val="21"/>
          <w:szCs w:val="21"/>
          <w:color w:val="auto"/>
        </w:rPr>
      </w:pPr>
    </w:p>
    <w:p>
      <w:pPr>
        <w:jc w:val="both"/>
        <w:ind w:firstLine="624"/>
        <w:spacing w:after="0" w:line="263" w:lineRule="auto"/>
        <w:tabs>
          <w:tab w:leader="none" w:pos="1072"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hereby waives to the extent permitted by law notice of the following events or occurrences: (i) the Secured Parties’ heretofore, now or from time to time hereafter making Loans and otherwise loaning monies or giving or extending credit to or for the benefit of any other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34" w:name="page135"/>
    <w:bookmarkEnd w:id="134"/>
    <w:p>
      <w:pPr>
        <w:jc w:val="both"/>
        <w:spacing w:after="0" w:line="262" w:lineRule="auto"/>
        <w:rPr>
          <w:sz w:val="20"/>
          <w:szCs w:val="20"/>
          <w:color w:val="auto"/>
        </w:rPr>
      </w:pPr>
      <w:r>
        <w:rPr>
          <w:rFonts w:ascii="Times New Roman" w:cs="Times New Roman" w:eastAsia="Times New Roman" w:hAnsi="Times New Roman"/>
          <w:sz w:val="20"/>
          <w:szCs w:val="20"/>
          <w:color w:val="auto"/>
        </w:rPr>
        <w:t xml:space="preserve">Borrower or any other Loan Party, or otherwise entering into arrangements with any Loan Party giving rise to Obligations, whether pursuant to this Agreement or the Notes or any other Loan Document or Related Agreement or any amendments, modifications, or supplements thereto, or replacements or extensions thereof; (ii) presentment, demand, default, non-payment, partial payment and protest; and (iii) any other event, condition, or occurrence described in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Each Borrower agrees that each Secured Party may heretofore, now or at any time hereafter do any or all of the foregoing in such manner, upon such terms and at such times as each Secured Party, in its sole and absolute discretion, deems advisable, without in any way or respect impairing, affecting, reducing or releasing such Borrower from its Obligations, and each Borrower hereby consents to each and all of the foregoing events or occurrences.</w:t>
      </w:r>
    </w:p>
    <w:p>
      <w:pPr>
        <w:spacing w:after="0" w:line="168" w:lineRule="exact"/>
        <w:rPr>
          <w:sz w:val="20"/>
          <w:szCs w:val="20"/>
          <w:color w:val="auto"/>
        </w:rPr>
      </w:pPr>
    </w:p>
    <w:p>
      <w:pPr>
        <w:jc w:val="both"/>
        <w:ind w:firstLine="624"/>
        <w:spacing w:after="0" w:line="263" w:lineRule="auto"/>
        <w:tabs>
          <w:tab w:leader="none" w:pos="1047"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each Borrower under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are independent, and a separate action or actions may be brought and prosecuted against any Borrower whether action is brought against any other Borrower or whether any other Borrower is joined in any such action or actions; and each Borrower waives the benefit of any statute of limitations affecting its liability hereunder.</w:t>
      </w:r>
    </w:p>
    <w:p>
      <w:pPr>
        <w:spacing w:after="0" w:line="162" w:lineRule="exact"/>
        <w:rPr>
          <w:rFonts w:ascii="Times New Roman" w:cs="Times New Roman" w:eastAsia="Times New Roman" w:hAnsi="Times New Roman"/>
          <w:sz w:val="21"/>
          <w:szCs w:val="21"/>
          <w:color w:val="auto"/>
        </w:rPr>
      </w:pPr>
    </w:p>
    <w:p>
      <w:pPr>
        <w:jc w:val="both"/>
        <w:ind w:firstLine="624"/>
        <w:spacing w:after="0" w:line="253" w:lineRule="auto"/>
        <w:tabs>
          <w:tab w:leader="none" w:pos="999"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represents and warrants that the request for joint handling of the Loans and other Obligations made hereunder was made because (i) such Borrower expects to derive benefit, directly or indirectly, from such availability because the successful operation of the Borrowers is dependent on the continued successful performance of the functions of the group and (ii) the credit extended under this Agreement will enhance the overall financial strength and stability of the Borrowers’ consolidated group of companies.</w:t>
      </w:r>
    </w:p>
    <w:p>
      <w:pPr>
        <w:spacing w:after="0" w:line="174" w:lineRule="exact"/>
        <w:rPr>
          <w:rFonts w:ascii="Times New Roman" w:cs="Times New Roman" w:eastAsia="Times New Roman" w:hAnsi="Times New Roman"/>
          <w:sz w:val="21"/>
          <w:szCs w:val="21"/>
          <w:color w:val="auto"/>
        </w:rPr>
      </w:pPr>
    </w:p>
    <w:p>
      <w:pPr>
        <w:jc w:val="both"/>
        <w:ind w:firstLine="624"/>
        <w:spacing w:after="0" w:line="250" w:lineRule="auto"/>
        <w:tabs>
          <w:tab w:leader="none" w:pos="1098"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represents and warrants that (i) it has established adequate means of obtaining from other Borrowers on a continuing basis financial and other information pertaining to the business, operations and condition (financial and otherwise) of other Borrowers and their respective property, and (ii) it now is and hereafter will be completely familiar with the business, operations and condition (financial and otherwise) of other Borrowers, and their property. Each Borrower hereby waives and relinquishes any duty on the part of any Secured Party to disclose to such Borrower any matter, fact or thing relating to the business, operations or condition (financial or otherwise) of other Borrowers, or the property of other Borrowers, whether now or hereafter known by such Secured Party during the life of this Agreement.</w:t>
      </w:r>
    </w:p>
    <w:p>
      <w:pPr>
        <w:spacing w:after="0" w:line="177" w:lineRule="exact"/>
        <w:rPr>
          <w:rFonts w:ascii="Times New Roman" w:cs="Times New Roman" w:eastAsia="Times New Roman" w:hAnsi="Times New Roman"/>
          <w:sz w:val="21"/>
          <w:szCs w:val="21"/>
          <w:color w:val="auto"/>
        </w:rPr>
      </w:pPr>
    </w:p>
    <w:p>
      <w:pPr>
        <w:jc w:val="both"/>
        <w:ind w:firstLine="624"/>
        <w:spacing w:after="0" w:line="253" w:lineRule="auto"/>
        <w:tabs>
          <w:tab w:leader="none" w:pos="1033"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elsewhere contained herein or in any other Loan Document to which any Borrower is a party, each Borrower waives any right to assert against any Secured Party as a defense, counterclaim, set-off, recoupment or cross claim in respect of its Obligations, any defense (legal or equitable) or other claim which such Borrower may now or at any time hereafter have against any other Loan Party or any or all of the Secured Parties without waiving any additional defenses, set-offs, counterclaims or other claims otherwise available to such Borrower.</w:t>
      </w:r>
    </w:p>
    <w:p>
      <w:pPr>
        <w:spacing w:after="0" w:line="174" w:lineRule="exact"/>
        <w:rPr>
          <w:rFonts w:ascii="Times New Roman" w:cs="Times New Roman" w:eastAsia="Times New Roman" w:hAnsi="Times New Roman"/>
          <w:sz w:val="21"/>
          <w:szCs w:val="21"/>
          <w:color w:val="auto"/>
        </w:rPr>
      </w:pPr>
    </w:p>
    <w:p>
      <w:pPr>
        <w:jc w:val="both"/>
        <w:ind w:firstLine="624"/>
        <w:spacing w:after="0" w:line="257" w:lineRule="auto"/>
        <w:tabs>
          <w:tab w:leader="none" w:pos="105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hereby unconditionally subordinates all present and future debts, liabilities or obligations now or hereafter owing to such Borrower (i) of any other Borrower, to the payment in full of the Obligations, and (ii) of each other Person now or hereafter constituting a Loan Party, to the payment in full of the obligations of such Loan Party owing to any Secured Party and arising under the Loan Documents or any Secured Cash Management Agreement or Secured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35" w:name="page136"/>
    <w:bookmarkEnd w:id="135"/>
    <w:p>
      <w:pPr>
        <w:jc w:val="both"/>
        <w:spacing w:after="0" w:line="250" w:lineRule="auto"/>
        <w:rPr>
          <w:sz w:val="20"/>
          <w:szCs w:val="20"/>
          <w:color w:val="auto"/>
        </w:rPr>
      </w:pPr>
      <w:r>
        <w:rPr>
          <w:rFonts w:ascii="Times New Roman" w:cs="Times New Roman" w:eastAsia="Times New Roman" w:hAnsi="Times New Roman"/>
          <w:sz w:val="21"/>
          <w:szCs w:val="21"/>
          <w:color w:val="auto"/>
        </w:rPr>
        <w:t>Hedge Agreement. All amounts due under such subordinated debts, liabilities, or obligations shall, upon the occurrence and during the continuance of an Event of Default, be collected and, upon request by the Administrative Agent, paid over forthwith to the Administrative Agent for the benefit of the Secured Parties on account of the Obligations or such other obligations, as applicable, and, after such request and pending such payment, shall be held by such Borrower as agent and bailee of the Secured Parties separate and apart from all other funds, property and accounts of such Borrower.</w:t>
      </w:r>
    </w:p>
    <w:p>
      <w:pPr>
        <w:spacing w:after="0" w:line="172"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2.15</w:t>
      </w:r>
      <w:r>
        <w:rPr>
          <w:sz w:val="20"/>
          <w:szCs w:val="20"/>
          <w:color w:val="auto"/>
        </w:rPr>
        <w:tab/>
      </w:r>
      <w:r>
        <w:rPr>
          <w:rFonts w:ascii="Times New Roman" w:cs="Times New Roman" w:eastAsia="Times New Roman" w:hAnsi="Times New Roman"/>
          <w:sz w:val="20"/>
          <w:szCs w:val="20"/>
          <w:b w:val="1"/>
          <w:bCs w:val="1"/>
          <w:color w:val="auto"/>
        </w:rPr>
        <w:t>Incremental Increases.</w:t>
      </w:r>
    </w:p>
    <w:p>
      <w:pPr>
        <w:spacing w:after="0" w:line="228" w:lineRule="exact"/>
        <w:rPr>
          <w:sz w:val="20"/>
          <w:szCs w:val="20"/>
          <w:color w:val="auto"/>
        </w:rPr>
      </w:pPr>
    </w:p>
    <w:p>
      <w:pPr>
        <w:jc w:val="both"/>
        <w:ind w:firstLine="624"/>
        <w:spacing w:after="0" w:line="247" w:lineRule="auto"/>
        <w:tabs>
          <w:tab w:leader="none" w:pos="102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 for Incremental Increase</w:t>
      </w:r>
      <w:r>
        <w:rPr>
          <w:rFonts w:ascii="Times New Roman" w:cs="Times New Roman" w:eastAsia="Times New Roman" w:hAnsi="Times New Roman"/>
          <w:sz w:val="21"/>
          <w:szCs w:val="21"/>
          <w:color w:val="auto"/>
        </w:rPr>
        <w:t>. Upon notice to the Administrative Agent (which shall promptly notify the Lenders), at any time after the Closing Date, the Company may request (i) one or more increases in the USD Commitments (each, an “</w:t>
      </w:r>
      <w:r>
        <w:rPr>
          <w:rFonts w:ascii="Times New Roman" w:cs="Times New Roman" w:eastAsia="Times New Roman" w:hAnsi="Times New Roman"/>
          <w:sz w:val="21"/>
          <w:szCs w:val="21"/>
          <w:u w:val="single" w:color="auto"/>
          <w:color w:val="auto"/>
        </w:rPr>
        <w:t>Incremental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Committed (USD) Facility Increase</w:t>
      </w:r>
      <w:r>
        <w:rPr>
          <w:rFonts w:ascii="Times New Roman" w:cs="Times New Roman" w:eastAsia="Times New Roman" w:hAnsi="Times New Roman"/>
          <w:sz w:val="21"/>
          <w:szCs w:val="21"/>
          <w:color w:val="auto"/>
        </w:rPr>
        <w:t>”), (ii) one or more incremental term loan commitments (each, an “</w:t>
      </w:r>
      <w:r>
        <w:rPr>
          <w:rFonts w:ascii="Times New Roman" w:cs="Times New Roman" w:eastAsia="Times New Roman" w:hAnsi="Times New Roman"/>
          <w:sz w:val="21"/>
          <w:szCs w:val="21"/>
          <w:u w:val="single" w:color="auto"/>
          <w:color w:val="auto"/>
        </w:rPr>
        <w:t>Incremental Term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to make one or more additional term loans, including a borrowing of an additional term loan the principal amount of which will be added to the outstanding principal amount of the existing tranche of Term Loans with the latest scheduled maturity date (any such additional term loan, an “</w:t>
      </w:r>
      <w:r>
        <w:rPr>
          <w:rFonts w:ascii="Times New Roman" w:cs="Times New Roman" w:eastAsia="Times New Roman" w:hAnsi="Times New Roman"/>
          <w:sz w:val="21"/>
          <w:szCs w:val="21"/>
          <w:u w:val="single" w:color="auto"/>
          <w:color w:val="auto"/>
        </w:rPr>
        <w:t>Incremental Term Loan</w:t>
      </w:r>
      <w:r>
        <w:rPr>
          <w:rFonts w:ascii="Times New Roman" w:cs="Times New Roman" w:eastAsia="Times New Roman" w:hAnsi="Times New Roman"/>
          <w:sz w:val="21"/>
          <w:szCs w:val="21"/>
          <w:color w:val="auto"/>
        </w:rPr>
        <w:t>”) and/or (iii) one or more incremental revolving loan commitments under a new tranche of revolving loans (each, an “</w:t>
      </w:r>
      <w:r>
        <w:rPr>
          <w:rFonts w:ascii="Times New Roman" w:cs="Times New Roman" w:eastAsia="Times New Roman" w:hAnsi="Times New Roman"/>
          <w:sz w:val="21"/>
          <w:szCs w:val="21"/>
          <w:u w:val="single" w:color="auto"/>
          <w:color w:val="auto"/>
        </w:rPr>
        <w:t>Incremental Revolving Tranche</w:t>
      </w:r>
      <w:r>
        <w:rPr>
          <w:rFonts w:ascii="Times New Roman" w:cs="Times New Roman" w:eastAsia="Times New Roman" w:hAnsi="Times New Roman"/>
          <w:sz w:val="21"/>
          <w:szCs w:val="21"/>
          <w:color w:val="auto"/>
        </w:rPr>
        <w:t>” and, together with the Incremental Committed (USD) Facility Increases and the Incremental Term Loan Commitments and Incremental Term Loans, the “</w:t>
      </w:r>
      <w:r>
        <w:rPr>
          <w:rFonts w:ascii="Times New Roman" w:cs="Times New Roman" w:eastAsia="Times New Roman" w:hAnsi="Times New Roman"/>
          <w:sz w:val="21"/>
          <w:szCs w:val="21"/>
          <w:u w:val="single" w:color="auto"/>
          <w:color w:val="auto"/>
        </w:rPr>
        <w:t>Incremental Increases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the aggregate initial principal amount of any Incremental Increase shall not exceed the Incremental Facilities Limit (after giving effect to such Incremental Increase and any Incremental Equivalent Indebtedness incurred concurrently therewith), and (y) any Incremental Increase shall be in an aggregate amount of not less than $25,000,000 or any whole multiple of $5,000,000 in excess thereof or, if less, the entire remaining amount of the Incremental Facilities Limit.</w:t>
      </w:r>
    </w:p>
    <w:p>
      <w:pPr>
        <w:spacing w:after="0" w:line="183" w:lineRule="exact"/>
        <w:rPr>
          <w:rFonts w:ascii="Times New Roman" w:cs="Times New Roman" w:eastAsia="Times New Roman" w:hAnsi="Times New Roman"/>
          <w:sz w:val="21"/>
          <w:szCs w:val="21"/>
          <w:color w:val="auto"/>
        </w:rPr>
      </w:pPr>
    </w:p>
    <w:p>
      <w:pPr>
        <w:jc w:val="both"/>
        <w:ind w:firstLine="624"/>
        <w:spacing w:after="0" w:line="247" w:lineRule="auto"/>
        <w:tabs>
          <w:tab w:leader="none" w:pos="112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Ranking and Other Provisions</w:t>
      </w:r>
      <w:r>
        <w:rPr>
          <w:rFonts w:ascii="Times New Roman" w:cs="Times New Roman" w:eastAsia="Times New Roman" w:hAnsi="Times New Roman"/>
          <w:sz w:val="21"/>
          <w:szCs w:val="21"/>
          <w:color w:val="auto"/>
        </w:rPr>
        <w:t xml:space="preserve">. Each Incremental Term Loan or Incremental Revolving Tranche (i) shall rank either pari passu or junior in right of payment and security with respect to each of the Committed (USD) Facility, the Committed (MC) Facility and the Term Loan Facility (and any Incremental Term Loan or Incremental Revolving Tranche which is junior in right of payment and/or security shall have customary second lien, subordination, standstill and other provisions reasonably acceptable to the Administrative Agent), (ii) in the case of an Incremental Term Loan, shall not have a weighted average life to maturity shorter than the remaining weighted average life to maturity of the latest maturing Term Loans and shall require any mandatory prepayments thereof to be made on a pro rata basis (or less than pro rata basis) with all then existing Term Loans, (iii) shall not mature earlier than the latest Maturity Date, (iv) shall not contain additional or different covenants or financial covenants that are more restrictive than the covenants in the Loan Documents at the time of the creation of such Incremental Increase unless either such covenants benefit all of the Lenders or are otherwise consented to by the Required Lenders and, in the case of any Incremental Revolving Tranche, the Required (USD) Lenders (such consent not to be unreasonably withheld or delayed) and (v) except as set forth herein, shall have such terms and conditions (including pricing, rate floors, discounts, fees, premiums, call protection and prepayment provisions) as may be agreed by the Borrower and the applicable Incremental Lenders. Each Incremental Committed (USD) Facility Increase shall have the same terms (including maturity and pricing) as the Committed (USD) Facility;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upfront fees payable by the Borrowers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36" w:name="page137"/>
    <w:bookmarkEnd w:id="136"/>
    <w:p>
      <w:pPr>
        <w:spacing w:after="0" w:line="270" w:lineRule="auto"/>
        <w:rPr>
          <w:sz w:val="20"/>
          <w:szCs w:val="20"/>
          <w:color w:val="auto"/>
        </w:rPr>
      </w:pPr>
      <w:r>
        <w:rPr>
          <w:rFonts w:ascii="Times New Roman" w:cs="Times New Roman" w:eastAsia="Times New Roman" w:hAnsi="Times New Roman"/>
          <w:sz w:val="21"/>
          <w:szCs w:val="21"/>
          <w:color w:val="auto"/>
        </w:rPr>
        <w:t>to the Incremental Lenders with respect to any Incremental Committed (USD) Facility Increase may differ from those paid with respect to any existing USD Commitments.</w:t>
      </w:r>
    </w:p>
    <w:p>
      <w:pPr>
        <w:spacing w:after="0" w:line="154" w:lineRule="exact"/>
        <w:rPr>
          <w:sz w:val="20"/>
          <w:szCs w:val="20"/>
          <w:color w:val="auto"/>
        </w:rPr>
      </w:pPr>
    </w:p>
    <w:p>
      <w:pPr>
        <w:jc w:val="both"/>
        <w:ind w:firstLine="624"/>
        <w:spacing w:after="0" w:line="246" w:lineRule="auto"/>
        <w:tabs>
          <w:tab w:leader="none" w:pos="106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Lender Elections</w:t>
      </w:r>
      <w:r>
        <w:rPr>
          <w:rFonts w:ascii="Times New Roman" w:cs="Times New Roman" w:eastAsia="Times New Roman" w:hAnsi="Times New Roman"/>
          <w:sz w:val="21"/>
          <w:szCs w:val="21"/>
          <w:color w:val="auto"/>
        </w:rPr>
        <w:t>. Each notice from the Company pursuant to this Section shall set forth the requested amount and proposed terms of the Incremental Increase. Incremental Increases (or any portion thereof) may be provided by any existing Lender or by any other bank or financial institution that is an Eligible Assignee (each such existing Lender or other bank or other financial institution, an “</w:t>
      </w:r>
      <w:r>
        <w:rPr>
          <w:rFonts w:ascii="Times New Roman" w:cs="Times New Roman" w:eastAsia="Times New Roman" w:hAnsi="Times New Roman"/>
          <w:sz w:val="21"/>
          <w:szCs w:val="21"/>
          <w:u w:val="single" w:color="auto"/>
          <w:color w:val="auto"/>
        </w:rPr>
        <w:t>Incremental Lender</w:t>
      </w:r>
      <w:r>
        <w:rPr>
          <w:rFonts w:ascii="Times New Roman" w:cs="Times New Roman" w:eastAsia="Times New Roman" w:hAnsi="Times New Roman"/>
          <w:sz w:val="21"/>
          <w:szCs w:val="21"/>
          <w:color w:val="auto"/>
        </w:rPr>
        <w:t xml:space="preserve">”), in each case on terms permitted in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and otherwise on terms reasonably acceptable to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existing Lender approached to provide all or a portion of any Incremental Increase may elect or decline, in its sole discretion, to provide all or a portion of such Incremental Increase. At the time of the sending of such notice, the Company (in consultation with the Administrative Agent) shall specify the time period within which each proposed Incremental Lender is requested to respond (which shall in no event be less than ten Business Days from the date of delivery of such notice to such proposed Incremental Lenders (or such shorter period agreed to by the Administrative Agent)). Each proposed Incremental Lender shall notify the Administrative Agent within such time period whether or not it agrees to provide any portion of the Incremental Increase and, if so, whether by an amount equal to, greater than, or less than requested. Any Person not responding within such time period shall be deemed to have declined to provide any portion of such Incremental Increase;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within three (3) Business Days following the date of delivery of notice to a proposed Incremental Lender of a request to provide a portion of the Incremental Increase, such proposed Incremental Lender fails to notify the Administrative Agent that it requires additional time in order to obtain approvals necessary to provide a portion of the Incremental Increase, then such proposed Incremental Lender may be deemed by the Company and the Administrative Agent to have declined to provide a portion of the Incremental Increase. The Administrative Agent shall notify the Company and each Lender of the Lenders’ responses to each request made hereunder. Any Eligible Assignee invited to become a Lender pursuant to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shall do so pursuant to a joinder agreement in form and substance reasonably satisfactory to the Administrative Agent and its counsel.</w:t>
      </w:r>
    </w:p>
    <w:p>
      <w:pPr>
        <w:spacing w:after="0" w:line="180" w:lineRule="exact"/>
        <w:rPr>
          <w:rFonts w:ascii="Times New Roman" w:cs="Times New Roman" w:eastAsia="Times New Roman" w:hAnsi="Times New Roman"/>
          <w:sz w:val="21"/>
          <w:szCs w:val="21"/>
          <w:color w:val="auto"/>
        </w:rPr>
      </w:pPr>
    </w:p>
    <w:p>
      <w:pPr>
        <w:jc w:val="both"/>
        <w:ind w:firstLine="624"/>
        <w:spacing w:after="0" w:line="247" w:lineRule="auto"/>
        <w:tabs>
          <w:tab w:leader="none" w:pos="125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Incremental Amendment</w:t>
      </w:r>
      <w:r>
        <w:rPr>
          <w:rFonts w:ascii="Times New Roman" w:cs="Times New Roman" w:eastAsia="Times New Roman" w:hAnsi="Times New Roman"/>
          <w:sz w:val="21"/>
          <w:szCs w:val="21"/>
          <w:color w:val="auto"/>
        </w:rPr>
        <w:t>. Each Incremental Increase shall be effected pursuant to an amendment (an “</w:t>
      </w:r>
      <w:r>
        <w:rPr>
          <w:rFonts w:ascii="Times New Roman" w:cs="Times New Roman" w:eastAsia="Times New Roman" w:hAnsi="Times New Roman"/>
          <w:sz w:val="21"/>
          <w:szCs w:val="21"/>
          <w:u w:val="single" w:color="auto"/>
          <w:color w:val="auto"/>
        </w:rPr>
        <w:t>Incremental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xml:space="preserve">”) to this Agreement and, as appropriate, the other Loan Documents, executed by the Company, the other Loan Parties (unless waived by the Incremental Lenders party to such Incremental Amendment), the applicable Incremental Lenders and the Administrative Agent. An Incremental Amendment may, without the consent of any other Lenders, effect such technical amendments (including tranche voting rights) to any Loan Documents as may be necessary or appropriate, in the opinion of the Administrative Agent, to effect the provisions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Upon execution, the Administrative Agent shall provide a copy of any Incremental Amendment to all Lenders. No Incremental Increase shall increase the Alternative Currency Letter of Credit Sublimit, the Letter of Credit Sublimit or the Swing Line Sublimit without the written consent of the Required (USD) Lenders and the L/C Issuer or the Swing Line Lender, as applicable, except that, in connection with any Incremental Committed (USD) Facility Increase, the Letter of Credit Sublimit and/or the Swing Line Sublimit may be increased proportionally (or by a lesser amount) with the written consent of the L/C Issuer or the Swing Line Lender, as applicable, without the requirement of any consent from any other Lender.</w:t>
      </w:r>
    </w:p>
    <w:p>
      <w:pPr>
        <w:spacing w:after="0" w:line="186" w:lineRule="exact"/>
        <w:rPr>
          <w:rFonts w:ascii="Times New Roman" w:cs="Times New Roman" w:eastAsia="Times New Roman" w:hAnsi="Times New Roman"/>
          <w:sz w:val="21"/>
          <w:szCs w:val="21"/>
          <w:color w:val="auto"/>
        </w:rPr>
      </w:pPr>
    </w:p>
    <w:p>
      <w:pPr>
        <w:ind w:firstLine="624"/>
        <w:spacing w:after="0" w:line="283" w:lineRule="auto"/>
        <w:tabs>
          <w:tab w:leader="none" w:pos="1047"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Increase Effective Date and Allocations</w:t>
      </w:r>
      <w:r>
        <w:rPr>
          <w:rFonts w:ascii="Times New Roman" w:cs="Times New Roman" w:eastAsia="Times New Roman" w:hAnsi="Times New Roman"/>
          <w:sz w:val="21"/>
          <w:szCs w:val="21"/>
          <w:color w:val="auto"/>
        </w:rPr>
        <w:t>. The Administrative Agent and the Company shall determine the effective date (the “</w:t>
      </w:r>
      <w:r>
        <w:rPr>
          <w:rFonts w:ascii="Times New Roman" w:cs="Times New Roman" w:eastAsia="Times New Roman" w:hAnsi="Times New Roman"/>
          <w:sz w:val="21"/>
          <w:szCs w:val="21"/>
          <w:u w:val="single" w:color="auto"/>
          <w:color w:val="auto"/>
        </w:rPr>
        <w:t>Increase Effective Date</w:t>
      </w:r>
      <w:r>
        <w:rPr>
          <w:rFonts w:ascii="Times New Roman" w:cs="Times New Roman" w:eastAsia="Times New Roman" w:hAnsi="Times New Roman"/>
          <w:sz w:val="21"/>
          <w:szCs w:val="21"/>
          <w:color w:val="auto"/>
        </w:rPr>
        <w:t>”) and the final allocation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37" w:name="page138"/>
    <w:bookmarkEnd w:id="137"/>
    <w:p>
      <w:pPr>
        <w:spacing w:after="0" w:line="270" w:lineRule="auto"/>
        <w:rPr>
          <w:sz w:val="20"/>
          <w:szCs w:val="20"/>
          <w:color w:val="auto"/>
        </w:rPr>
      </w:pPr>
      <w:r>
        <w:rPr>
          <w:rFonts w:ascii="Times New Roman" w:cs="Times New Roman" w:eastAsia="Times New Roman" w:hAnsi="Times New Roman"/>
          <w:sz w:val="21"/>
          <w:szCs w:val="21"/>
          <w:color w:val="auto"/>
        </w:rPr>
        <w:t>of any Incremental Increase. The Administrative Agent shall promptly notify the Company and the Incremental Lenders of the final allocation of such Incremental Increase and the Increase Effective Date.</w:t>
      </w:r>
    </w:p>
    <w:p>
      <w:pPr>
        <w:spacing w:after="0" w:line="154" w:lineRule="exact"/>
        <w:rPr>
          <w:sz w:val="20"/>
          <w:szCs w:val="20"/>
          <w:color w:val="auto"/>
        </w:rPr>
      </w:pPr>
    </w:p>
    <w:p>
      <w:pPr>
        <w:jc w:val="both"/>
        <w:ind w:firstLine="624"/>
        <w:spacing w:after="0" w:line="263" w:lineRule="auto"/>
        <w:tabs>
          <w:tab w:leader="none" w:pos="1076"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Effectiveness of Incremental Increase</w:t>
      </w:r>
      <w:r>
        <w:rPr>
          <w:rFonts w:ascii="Times New Roman" w:cs="Times New Roman" w:eastAsia="Times New Roman" w:hAnsi="Times New Roman"/>
          <w:sz w:val="21"/>
          <w:szCs w:val="21"/>
          <w:color w:val="auto"/>
        </w:rPr>
        <w:t xml:space="preserve">. Any Incremental Increase shall become effective as of such Increase Effective Date and shall be subject to the following conditions precedent, which, in the case of an Incremental Term Loan incurred solely to finance a substantially concurrent Limited Condition Transaction, shall be subject to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color w:val="auto"/>
        </w:rPr>
      </w:pPr>
    </w:p>
    <w:p>
      <w:pPr>
        <w:ind w:left="620" w:firstLine="624"/>
        <w:spacing w:after="0" w:line="283" w:lineRule="auto"/>
        <w:tabs>
          <w:tab w:leader="none" w:pos="1853"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Incremental Amendment in form and substance reasonably acceptable to the Company, the Administrative Agent and the applicable Incremental Lenders shall have been delivered to the Administrative Agent;</w:t>
      </w:r>
    </w:p>
    <w:p>
      <w:pPr>
        <w:spacing w:after="0" w:line="141" w:lineRule="exact"/>
        <w:rPr>
          <w:rFonts w:ascii="Times New Roman" w:cs="Times New Roman" w:eastAsia="Times New Roman" w:hAnsi="Times New Roman"/>
          <w:sz w:val="21"/>
          <w:szCs w:val="21"/>
          <w:color w:val="auto"/>
        </w:rPr>
      </w:pPr>
    </w:p>
    <w:p>
      <w:pPr>
        <w:jc w:val="both"/>
        <w:ind w:left="620" w:firstLine="624"/>
        <w:spacing w:after="0" w:line="274" w:lineRule="auto"/>
        <w:tabs>
          <w:tab w:leader="none" w:pos="1665"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of the representations and warranties of each Borrower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of each Loan Party contained in each other Loan Document shall be true and correct in all material respects on and as of such Increase Effective Date, except that</w:t>
      </w:r>
    </w:p>
    <w:p>
      <w:pPr>
        <w:jc w:val="both"/>
        <w:ind w:left="620"/>
        <w:spacing w:after="0" w:line="2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(A) if a qualifier relating to materiality, Material Adverse Effect or a similar concept applies, such representation or warranty shall be true and correct in all respects, (B)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true and correct in all respects as of such earlier date) and (C) for purposes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the representations and warranties contained in </w:t>
      </w:r>
      <w:r>
        <w:rPr>
          <w:rFonts w:ascii="Times New Roman" w:cs="Times New Roman" w:eastAsia="Times New Roman" w:hAnsi="Times New Roman"/>
          <w:sz w:val="21"/>
          <w:szCs w:val="21"/>
          <w:u w:val="single" w:color="auto"/>
          <w:color w:val="auto"/>
        </w:rPr>
        <w:t>subsections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shall be deemed to refer to the most recent statements furnished pursuant to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respectively, of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0"/>
          <w:szCs w:val="20"/>
          <w:color w:val="auto"/>
        </w:rPr>
      </w:pPr>
    </w:p>
    <w:p>
      <w:pPr>
        <w:jc w:val="both"/>
        <w:ind w:left="620" w:firstLine="624"/>
        <w:spacing w:after="0" w:line="272" w:lineRule="auto"/>
        <w:tabs>
          <w:tab w:leader="none" w:pos="1735"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shall exist on such Increase Effective Date immediately prior to or after giving effect to such Incremental Increase or from the application of the proceeds thereof and, after giving effect to the incurrence of such additional Indebtedness and any transaction to be consummated using the proceeds of such additional Indebtedness and assuming that all commitments in respect of any proposed Incremental Increase are fully drawn at such time, the Company and its Restricted Subsidiaries shall be in compliance, calculated on a Pro Forma Basis pursuant to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with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color w:val="auto"/>
        </w:rPr>
      </w:pPr>
    </w:p>
    <w:p>
      <w:pPr>
        <w:jc w:val="both"/>
        <w:ind w:left="620" w:firstLine="624"/>
        <w:spacing w:after="0" w:line="265" w:lineRule="auto"/>
        <w:tabs>
          <w:tab w:leader="none" w:pos="1879"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the applicable Incremental Lenders, a certificate of each Loan Party signed by a Responsible Officer of such Loan Party certifying and attaching the resolutions adopted by the board of directors or other equivalent governing body of such Loan Party approving or consenting to the Incremental Amendment and the Incremental Increase provided thereby, and in the case of each Borrower, certifying as to the satisfaction of the conditions set forth in clauses</w:t>
      </w:r>
    </w:p>
    <w:p>
      <w:pPr>
        <w:spacing w:after="0" w:line="1" w:lineRule="exact"/>
        <w:rPr>
          <w:rFonts w:ascii="Times New Roman" w:cs="Times New Roman" w:eastAsia="Times New Roman" w:hAnsi="Times New Roman"/>
          <w:sz w:val="20"/>
          <w:szCs w:val="20"/>
          <w:color w:val="auto"/>
        </w:rPr>
      </w:pPr>
    </w:p>
    <w:p>
      <w:pPr>
        <w:ind w:left="920" w:hanging="296"/>
        <w:spacing w:after="0"/>
        <w:tabs>
          <w:tab w:leader="none" w:pos="92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and (iii) this </w:t>
      </w:r>
      <w:r>
        <w:rPr>
          <w:rFonts w:ascii="Times New Roman" w:cs="Times New Roman" w:eastAsia="Times New Roman" w:hAnsi="Times New Roman"/>
          <w:sz w:val="21"/>
          <w:szCs w:val="21"/>
          <w:u w:val="single" w:color="auto"/>
          <w:color w:val="auto"/>
        </w:rPr>
        <w:t>Section 2.15(f)</w:t>
      </w:r>
      <w:r>
        <w:rPr>
          <w:rFonts w:ascii="Times New Roman" w:cs="Times New Roman" w:eastAsia="Times New Roman" w:hAnsi="Times New Roman"/>
          <w:sz w:val="21"/>
          <w:szCs w:val="21"/>
          <w:color w:val="auto"/>
        </w:rPr>
        <w:t>, which shall be in form and substance reasonably satisfactory to the Administrative Agent;</w:t>
      </w:r>
    </w:p>
    <w:p>
      <w:pPr>
        <w:spacing w:after="0" w:line="188"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705"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requested by the applicable Incremental Lenders, a favorable opinion of counsel for the Loan Parties, addressed to the Administrative Agent and the Lenders (including the Incremental Lenders) and in form and substance reasonably satisfactory to the Administrative Agent; and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38" w:name="page139"/>
    <w:bookmarkEnd w:id="138"/>
    <w:p>
      <w:pPr>
        <w:jc w:val="both"/>
        <w:ind w:left="620" w:firstLine="624"/>
        <w:spacing w:after="0" w:line="253" w:lineRule="auto"/>
        <w:tabs>
          <w:tab w:leader="none" w:pos="1711"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Incremental Committed (USD) Facility Increase, the Borrowers shall have prepaid any Committed (USD) Loans outstanding on the Increase Effective Date (and any additional amounts required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to the extent necessary to keep the outstanding Committed (USD) Loans ratable with any revised Applicable (USD) Percentages arising from any nonratable increase in the USD Commitments under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(it being understood that the Borrowers may use advances from the Lenders having new or increased commitments for such prepayment).</w:t>
      </w:r>
    </w:p>
    <w:p>
      <w:pPr>
        <w:spacing w:after="0" w:line="174"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Conflicting Provisions</w:t>
      </w:r>
      <w:r>
        <w:rPr>
          <w:rFonts w:ascii="Times New Roman" w:cs="Times New Roman" w:eastAsia="Times New Roman" w:hAnsi="Times New Roman"/>
          <w:sz w:val="21"/>
          <w:szCs w:val="21"/>
          <w:color w:val="auto"/>
        </w:rPr>
        <w:t xml:space="preserve">. This Section shall supersede any provisions in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10.01</w:t>
      </w:r>
      <w:r>
        <w:rPr>
          <w:rFonts w:ascii="Times New Roman" w:cs="Times New Roman" w:eastAsia="Times New Roman" w:hAnsi="Times New Roman"/>
          <w:sz w:val="21"/>
          <w:szCs w:val="21"/>
          <w:color w:val="auto"/>
        </w:rPr>
        <w:t xml:space="preserve"> to the contrary.</w:t>
      </w:r>
    </w:p>
    <w:p>
      <w:pPr>
        <w:spacing w:after="0" w:line="220"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2.16</w:t>
      </w:r>
      <w:r>
        <w:rPr>
          <w:sz w:val="20"/>
          <w:szCs w:val="20"/>
          <w:color w:val="auto"/>
        </w:rPr>
        <w:tab/>
      </w:r>
      <w:r>
        <w:rPr>
          <w:rFonts w:ascii="Times New Roman" w:cs="Times New Roman" w:eastAsia="Times New Roman" w:hAnsi="Times New Roman"/>
          <w:sz w:val="20"/>
          <w:szCs w:val="20"/>
          <w:b w:val="1"/>
          <w:bCs w:val="1"/>
          <w:color w:val="auto"/>
        </w:rPr>
        <w:t>Cash Collateral.</w:t>
      </w:r>
    </w:p>
    <w:p>
      <w:pPr>
        <w:spacing w:after="0" w:line="228" w:lineRule="exact"/>
        <w:rPr>
          <w:sz w:val="20"/>
          <w:szCs w:val="20"/>
          <w:color w:val="auto"/>
        </w:rPr>
      </w:pPr>
    </w:p>
    <w:p>
      <w:pPr>
        <w:jc w:val="both"/>
        <w:ind w:firstLine="624"/>
        <w:spacing w:after="0" w:line="253" w:lineRule="auto"/>
        <w:tabs>
          <w:tab w:leader="none" w:pos="106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Credit Support Events</w:t>
      </w:r>
      <w:r>
        <w:rPr>
          <w:rFonts w:ascii="Times New Roman" w:cs="Times New Roman" w:eastAsia="Times New Roman" w:hAnsi="Times New Roman"/>
          <w:sz w:val="21"/>
          <w:szCs w:val="21"/>
          <w:color w:val="auto"/>
        </w:rPr>
        <w:t>. (i) Upon the request of the Administrative Agent or the L/C Issuer (A) if the L/C Issuer has honored any full or partial drawing request under any Letter of Credit or made any payment under any Bankers’ Acceptances and such drawing or payment has resulted in an L/C Borrowing, or (B) if, as of the Letter of Credit Expiration Date, any L/C Obligation for any reason remains outstanding, the Company shall, in each case, within one Business Day of receipt of such request, Cash Collateralize the then Outstanding Amount of all L/C Obligations.</w:t>
      </w:r>
    </w:p>
    <w:p>
      <w:pPr>
        <w:spacing w:after="0" w:line="174" w:lineRule="exact"/>
        <w:rPr>
          <w:rFonts w:ascii="Times New Roman" w:cs="Times New Roman" w:eastAsia="Times New Roman" w:hAnsi="Times New Roman"/>
          <w:sz w:val="21"/>
          <w:szCs w:val="21"/>
          <w:color w:val="auto"/>
        </w:rPr>
      </w:pPr>
    </w:p>
    <w:p>
      <w:pPr>
        <w:jc w:val="both"/>
        <w:ind w:left="620" w:firstLine="624"/>
        <w:spacing w:after="0" w:line="252" w:lineRule="auto"/>
        <w:tabs>
          <w:tab w:leader="none" w:pos="1688"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that there shall exist a Defaulting Lender, upon the request of the Administrative Agent or the L/C Issuer, the Company shall, within one Business Day of receipt of such request, deliver to the Administrative Agent Cash Collateral in an amount sufficient to cover all Fronting Exposure (only to the extent any Fronting Exposure exists after giving effect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2.17(a)(iv)</w:t>
      </w:r>
      <w:r>
        <w:rPr>
          <w:rFonts w:ascii="Times New Roman" w:cs="Times New Roman" w:eastAsia="Times New Roman" w:hAnsi="Times New Roman"/>
          <w:sz w:val="21"/>
          <w:szCs w:val="21"/>
          <w:color w:val="auto"/>
        </w:rPr>
        <w:t xml:space="preserve"> and any Cash Collateral provided by the Defaulting Lender).</w:t>
      </w:r>
    </w:p>
    <w:p>
      <w:pPr>
        <w:spacing w:after="0" w:line="174" w:lineRule="exact"/>
        <w:rPr>
          <w:sz w:val="20"/>
          <w:szCs w:val="20"/>
          <w:color w:val="auto"/>
        </w:rPr>
      </w:pPr>
    </w:p>
    <w:p>
      <w:pPr>
        <w:jc w:val="both"/>
        <w:ind w:left="640" w:firstLine="578"/>
        <w:spacing w:after="0" w:line="249" w:lineRule="auto"/>
        <w:tabs>
          <w:tab w:leader="none" w:pos="1790"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if the Administrative Agent notifies the Company at any time that the Outstanding Amount of all L/C Obligations with respect to Letters of Credit and Bankers’ Acceptances denominated in an Alternative Currency at such time exceeds 105% of the Alternative Currency Letter of Credit Sublimit then in effect, then, within two Business Days after receipt of such notice, the Company shall Cash Collateralize such L/C Obligations in an aggregate amount sufficient to reduce such Outstanding Amount as of such date of payment to an amount not to exceed 100% of the Alternative Currency Letter of Credit Sublimit then in effect.</w:t>
      </w:r>
    </w:p>
    <w:p>
      <w:pPr>
        <w:spacing w:after="0" w:line="176" w:lineRule="exact"/>
        <w:rPr>
          <w:rFonts w:ascii="Times New Roman" w:cs="Times New Roman" w:eastAsia="Times New Roman" w:hAnsi="Times New Roman"/>
          <w:sz w:val="21"/>
          <w:szCs w:val="21"/>
          <w:color w:val="auto"/>
        </w:rPr>
      </w:pPr>
    </w:p>
    <w:p>
      <w:pPr>
        <w:jc w:val="both"/>
        <w:ind w:firstLine="624"/>
        <w:spacing w:after="0" w:line="249" w:lineRule="auto"/>
        <w:tabs>
          <w:tab w:leader="none" w:pos="108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Security Interest</w:t>
      </w:r>
      <w:r>
        <w:rPr>
          <w:rFonts w:ascii="Times New Roman" w:cs="Times New Roman" w:eastAsia="Times New Roman" w:hAnsi="Times New Roman"/>
          <w:sz w:val="21"/>
          <w:szCs w:val="21"/>
          <w:color w:val="auto"/>
        </w:rPr>
        <w:t xml:space="preserve">. All Cash Collateral (other than credit support not constituting funds subject to deposit) shall be maintained in blocked deposit accounts at Bank of America. The cash (together with any interest accrued thereon) held in such cash collateral account may be invested, in the Administrative Agent’s reasonable discretion, in Cash Equivalents. The Company, and to the extent provided by any Lender, such Lender, hereby grants to (and subjects to the control of) the Administrative Agent, for the benefit of the Administrative Agent, the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1"/>
          <w:szCs w:val="21"/>
          <w:u w:val="single" w:color="auto"/>
          <w:color w:val="auto"/>
        </w:rPr>
        <w:t>Section 2.16(c)</w:t>
      </w:r>
      <w:r>
        <w:rPr>
          <w:rFonts w:ascii="Times New Roman" w:cs="Times New Roman" w:eastAsia="Times New Roman" w:hAnsi="Times New Roman"/>
          <w:sz w:val="21"/>
          <w:szCs w:val="21"/>
          <w:color w:val="auto"/>
        </w:rPr>
        <w:t>. If at any time the Administrative Agent determines that Cash Collateral is subject to any right or claim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39" w:name="page140"/>
    <w:bookmarkEnd w:id="139"/>
    <w:p>
      <w:pPr>
        <w:jc w:val="both"/>
        <w:spacing w:after="0" w:line="252" w:lineRule="auto"/>
        <w:rPr>
          <w:sz w:val="20"/>
          <w:szCs w:val="20"/>
          <w:color w:val="auto"/>
        </w:rPr>
      </w:pPr>
      <w:r>
        <w:rPr>
          <w:rFonts w:ascii="Times New Roman" w:cs="Times New Roman" w:eastAsia="Times New Roman" w:hAnsi="Times New Roman"/>
          <w:sz w:val="21"/>
          <w:szCs w:val="21"/>
          <w:color w:val="auto"/>
        </w:rPr>
        <w:t>any Person other than the Administrative Agent as herein provided, or that the total amount of such Cash Collateral is less than the applicable Fronting Exposure and other obligations secured thereby (including by reason of exchange rate fluctuations), the Company or the relevant Defaulting Lender will, promptly upon demand by the Administrative Agent, pay or provide to the Administrative Agent additional Cash Collateral in an amount sufficient to eliminate such deficiency.</w:t>
      </w:r>
    </w:p>
    <w:p>
      <w:pPr>
        <w:spacing w:after="0" w:line="174" w:lineRule="exact"/>
        <w:rPr>
          <w:sz w:val="20"/>
          <w:szCs w:val="20"/>
          <w:color w:val="auto"/>
        </w:rPr>
      </w:pPr>
    </w:p>
    <w:p>
      <w:pPr>
        <w:jc w:val="both"/>
        <w:ind w:firstLine="624"/>
        <w:spacing w:after="0" w:line="253" w:lineRule="auto"/>
        <w:tabs>
          <w:tab w:leader="none" w:pos="1073"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w:t>
      </w:r>
      <w:r>
        <w:rPr>
          <w:rFonts w:ascii="Times New Roman" w:cs="Times New Roman" w:eastAsia="Times New Roman" w:hAnsi="Times New Roman"/>
          <w:sz w:val="21"/>
          <w:szCs w:val="21"/>
          <w:color w:val="auto"/>
        </w:rPr>
        <w:t xml:space="preserve">. Notwithstanding anything to the contrary contained in this Agreement, Cash Collateral provided under any of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Sections 2.03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2.17</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8.02</w:t>
      </w:r>
      <w:r>
        <w:rPr>
          <w:rFonts w:ascii="Times New Roman" w:cs="Times New Roman" w:eastAsia="Times New Roman" w:hAnsi="Times New Roman"/>
          <w:sz w:val="21"/>
          <w:szCs w:val="21"/>
          <w:color w:val="auto"/>
        </w:rPr>
        <w:t xml:space="preserve"> in respect of Letters of Credit or Bankers’ Acceptances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74" w:lineRule="exact"/>
        <w:rPr>
          <w:rFonts w:ascii="Times New Roman" w:cs="Times New Roman" w:eastAsia="Times New Roman" w:hAnsi="Times New Roman"/>
          <w:sz w:val="21"/>
          <w:szCs w:val="21"/>
          <w:color w:val="auto"/>
        </w:rPr>
      </w:pPr>
    </w:p>
    <w:p>
      <w:pPr>
        <w:jc w:val="both"/>
        <w:ind w:firstLine="624"/>
        <w:spacing w:after="0" w:line="248" w:lineRule="auto"/>
        <w:tabs>
          <w:tab w:leader="none" w:pos="1175"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1"/>
          <w:szCs w:val="21"/>
          <w:u w:val="single" w:color="auto"/>
          <w:color w:val="auto"/>
        </w:rPr>
        <w:t>Section 10.06(b)(vi)</w:t>
      </w:r>
      <w:r>
        <w:rPr>
          <w:rFonts w:ascii="Times New Roman" w:cs="Times New Roman" w:eastAsia="Times New Roman" w:hAnsi="Times New Roman"/>
          <w:sz w:val="21"/>
          <w:szCs w:val="21"/>
          <w:color w:val="auto"/>
        </w:rPr>
        <w:t xml:space="preserve">)) or (ii) the Administrative Agent’s good faith determination that there exists excess Cash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(x) that Cash Collateral furnished by or on behalf of a Loan Party shall not be released during the continuance of a Default or Event of Default (and following application as provided in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may be otherwise applied in accordance with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(y) the Person providing Cash Collateral and the L/C Issuer may agree that Cash Collateral shall not be released but instead held to support future anticipated Fronting Exposure or other obligations and (z) that no release of Cash Collateral pursuant to this subsection (d) shall impair the Lien on such Cash Collateral arising under any Collateral Document.</w:t>
      </w:r>
    </w:p>
    <w:p>
      <w:pPr>
        <w:spacing w:after="0" w:line="179"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2.17</w:t>
      </w:r>
      <w:r>
        <w:rPr>
          <w:sz w:val="20"/>
          <w:szCs w:val="20"/>
          <w:color w:val="auto"/>
        </w:rPr>
        <w:tab/>
      </w:r>
      <w:r>
        <w:rPr>
          <w:rFonts w:ascii="Times New Roman" w:cs="Times New Roman" w:eastAsia="Times New Roman" w:hAnsi="Times New Roman"/>
          <w:sz w:val="20"/>
          <w:szCs w:val="20"/>
          <w:b w:val="1"/>
          <w:bCs w:val="1"/>
          <w:color w:val="auto"/>
        </w:rPr>
        <w:t>Defaulting Lenders.</w:t>
      </w:r>
    </w:p>
    <w:p>
      <w:pPr>
        <w:spacing w:after="0" w:line="228" w:lineRule="exact"/>
        <w:rPr>
          <w:sz w:val="20"/>
          <w:szCs w:val="20"/>
          <w:color w:val="auto"/>
        </w:rPr>
      </w:pPr>
    </w:p>
    <w:p>
      <w:pPr>
        <w:jc w:val="both"/>
        <w:ind w:firstLine="624"/>
        <w:spacing w:after="0" w:line="263" w:lineRule="auto"/>
        <w:tabs>
          <w:tab w:leader="none" w:pos="1099"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Notwithstanding anything to the contrary contained in this Agreement, if any Lender becomes a Defaulting Lender, then, without in any way limiting the Loan Parties’ rights against such Lender, until such time as that Lender is no longer a Defaulting Lender, to the extent permitted by applicable Law:</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736"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Waivers and Amendments</w:t>
      </w:r>
      <w:r>
        <w:rPr>
          <w:rFonts w:ascii="Times New Roman" w:cs="Times New Roman" w:eastAsia="Times New Roman" w:hAnsi="Times New Roman"/>
          <w:sz w:val="21"/>
          <w:szCs w:val="21"/>
          <w:color w:val="auto"/>
        </w:rPr>
        <w:t xml:space="preserve">. That Defaulting Lender’s right to approve or disapprove any amendment, waiver or consent with respect to this Agreement shall be restricted as set forth in the definition of “Required Lenders”, “Required (USD) Lenders”, “Required (MC) Lenders”, “Required Term Loan Lenders” and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69" w:lineRule="auto"/>
        <w:tabs>
          <w:tab w:leader="none" w:pos="1936"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that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the payment on a pro rata basis of any amounts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40" w:name="page141"/>
    <w:bookmarkEnd w:id="140"/>
    <w:p>
      <w:pPr>
        <w:jc w:val="both"/>
        <w:ind w:left="620"/>
        <w:spacing w:after="0" w:line="245" w:lineRule="auto"/>
        <w:rPr>
          <w:sz w:val="20"/>
          <w:szCs w:val="20"/>
          <w:color w:val="auto"/>
        </w:rPr>
      </w:pPr>
      <w:r>
        <w:rPr>
          <w:rFonts w:ascii="Times New Roman" w:cs="Times New Roman" w:eastAsia="Times New Roman" w:hAnsi="Times New Roman"/>
          <w:sz w:val="21"/>
          <w:szCs w:val="21"/>
          <w:color w:val="auto"/>
        </w:rPr>
        <w:t xml:space="preserve">owing by that Defaulting Lender to the L/C Issuer or Swing Line Lender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the L/C Issuer’s Fronting Exposure with respect to that Defaulting Lender in accordance with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the Company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the Administrative Agent and the Company, to be held in a non-interest bearing deposit account and released pro rata in order to (x) satisfy that Defaulting Lender’s potential future funding obligations with respect to Loans under this Agreement and (y) Cash Collateralize the L/C Issuer’s future Fronting Exposure with respect to that Defaulting Lender with respect to future Letters of Credit and Bankers’ Acceptances issued under this Agreement, in accordance with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the L/C Issuer or Swing Line Lender as a result of any judgment of a court of competent jurisdiction obtained by any Lender, the L/C Issuer or Swing Line Lender against that Defaulting Lender as a result of that Defaulting 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or Event of Default exists, to the payment of any amounts owing to the Company as a result of any judgment of a court of competent jurisdiction obtained by the Company against that Defaulting Lender as a result of that Defaulting Lender’s breach of its obligations under this Agreement;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to that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(x) such payment is a payment of the principal amount of any Loans or L/C Borrowings in respect of which that Defaulting Lender has not fully funded its appropriate share and (y) such Loans were made or the related Letters of Credit or Bankers’ Acceptances were issued at a time when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were satisfied or waived, such payment shall be applied solely to pay the Loans of, and L/C Obligations owed to, all Non-Defaulting Lenders under the applicable Facility on a pro rata basis (and ratably among all applicable Facilities computed in accordance with the Defaulting Lenders’ respective funding deficiencies) prior to being applied to the payment of any Loans of, or L/C Obligations owed to, such Defaulting Lender under the applicable Facility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21"/>
          <w:szCs w:val="21"/>
          <w:u w:val="single" w:color="auto"/>
          <w:color w:val="auto"/>
        </w:rPr>
        <w:t>Section 2.17(a)(iv)</w:t>
      </w:r>
      <w:r>
        <w:rPr>
          <w:rFonts w:ascii="Times New Roman" w:cs="Times New Roman" w:eastAsia="Times New Roman" w:hAnsi="Times New Roman"/>
          <w:sz w:val="21"/>
          <w:szCs w:val="21"/>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1"/>
          <w:szCs w:val="21"/>
          <w:u w:val="single" w:color="auto"/>
          <w:color w:val="auto"/>
        </w:rPr>
        <w:t>Section 2.17(a)(ii)</w:t>
      </w:r>
      <w:r>
        <w:rPr>
          <w:rFonts w:ascii="Times New Roman" w:cs="Times New Roman" w:eastAsia="Times New Roman" w:hAnsi="Times New Roman"/>
          <w:sz w:val="21"/>
          <w:szCs w:val="21"/>
          <w:color w:val="auto"/>
        </w:rPr>
        <w:t xml:space="preserve"> shall be deemed paid to and redirected by that Defaulting Lender, and each Lender irrevocably consents hereto.</w:t>
      </w:r>
    </w:p>
    <w:p>
      <w:pPr>
        <w:spacing w:after="0" w:line="185" w:lineRule="exact"/>
        <w:rPr>
          <w:sz w:val="20"/>
          <w:szCs w:val="20"/>
          <w:color w:val="auto"/>
        </w:rPr>
      </w:pPr>
    </w:p>
    <w:p>
      <w:pPr>
        <w:ind w:left="1720" w:hanging="476"/>
        <w:spacing w:after="0"/>
        <w:tabs>
          <w:tab w:leader="none" w:pos="172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Fees</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left="1240" w:firstLine="624"/>
        <w:spacing w:after="0" w:line="263" w:lineRule="auto"/>
        <w:tabs>
          <w:tab w:leader="none" w:pos="2384"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Defaulting Lender shall be entitled to receive any commitment fee pursuant to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62" w:lineRule="exact"/>
        <w:rPr>
          <w:rFonts w:ascii="Times New Roman" w:cs="Times New Roman" w:eastAsia="Times New Roman" w:hAnsi="Times New Roman"/>
          <w:sz w:val="21"/>
          <w:szCs w:val="21"/>
          <w:color w:val="auto"/>
        </w:rPr>
      </w:pPr>
    </w:p>
    <w:p>
      <w:pPr>
        <w:jc w:val="both"/>
        <w:ind w:left="1240" w:firstLine="624"/>
        <w:spacing w:after="0" w:line="263" w:lineRule="auto"/>
        <w:tabs>
          <w:tab w:leader="none" w:pos="2308"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Defaulting Lender which is a Committed (USD) Lender shall be entitled to receive Letter of Credit Fees and BA Fees for any period during which that Lender is a Defaulting Lender only to the extent allocable to its Applicable (USD) Percentage of the stated amount of Letters of Credit or Bankers’ Acceptances,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1" w:right="239" w:bottom="1440" w:gutter="0" w:footer="0" w:header="0"/>
        </w:sectPr>
      </w:pPr>
    </w:p>
    <w:bookmarkStart w:id="141" w:name="page142"/>
    <w:bookmarkEnd w:id="141"/>
    <w:p>
      <w:pPr>
        <w:ind w:left="1240"/>
        <w:spacing w:after="0"/>
        <w:rPr>
          <w:sz w:val="20"/>
          <w:szCs w:val="20"/>
          <w:color w:val="auto"/>
        </w:rPr>
      </w:pPr>
      <w:r>
        <w:rPr>
          <w:rFonts w:ascii="Times New Roman" w:cs="Times New Roman" w:eastAsia="Times New Roman" w:hAnsi="Times New Roman"/>
          <w:sz w:val="21"/>
          <w:szCs w:val="21"/>
          <w:color w:val="auto"/>
        </w:rPr>
        <w:t xml:space="preserve">as the case may be, for which it has provided Cash Collateral pursuant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left="1240" w:firstLine="624"/>
        <w:spacing w:after="0" w:line="250" w:lineRule="auto"/>
        <w:tabs>
          <w:tab w:leader="none" w:pos="2411" w:val="left"/>
        </w:tabs>
        <w:numPr>
          <w:ilvl w:val="2"/>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Letter of Credit Fee or BA Fee, as the case may be, not required to be paid to any Defaulting Lender pursuant to clause (B) above, the Company shall (x) pay to each Non-Defaulting Lender which is a Committed (USD) Lender that portion of any such Letter of Credit Fee or BA Fee, as the case may be, otherwise payable to such Defaulting Lender with respect to such Defaulting Lender’s participation in L/C Obligations that has been reallocated to such Non-Defaulting Lender pursuant to clause (iv) below, (y) pay to the applicable L/C Issuer the amount of any such fee otherwise payable to such Defaulting Lender to the extent allocable to such L/C Issuer’s Fronting Exposure to such Defaulting Lender, and (z) not be required to pay the remaining amount of any such fee.</w:t>
      </w:r>
    </w:p>
    <w:p>
      <w:pPr>
        <w:spacing w:after="0" w:line="177" w:lineRule="exact"/>
        <w:rPr>
          <w:rFonts w:ascii="Times New Roman" w:cs="Times New Roman" w:eastAsia="Times New Roman" w:hAnsi="Times New Roman"/>
          <w:sz w:val="21"/>
          <w:szCs w:val="21"/>
          <w:color w:val="auto"/>
        </w:rPr>
      </w:pPr>
    </w:p>
    <w:p>
      <w:pPr>
        <w:jc w:val="both"/>
        <w:ind w:left="620" w:firstLine="624"/>
        <w:spacing w:after="0" w:line="248" w:lineRule="auto"/>
        <w:tabs>
          <w:tab w:leader="none" w:pos="1814"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Reallocation of Applicable (USD) Percentages to Reduce Fronting Exposure</w:t>
      </w:r>
      <w:r>
        <w:rPr>
          <w:rFonts w:ascii="Times New Roman" w:cs="Times New Roman" w:eastAsia="Times New Roman" w:hAnsi="Times New Roman"/>
          <w:sz w:val="21"/>
          <w:szCs w:val="21"/>
          <w:color w:val="auto"/>
        </w:rPr>
        <w:t xml:space="preserve">. All or any part of that Defaulting Lender’s participation in L/C Obligations and Swing Line Loans shall be reallocated among the Non-Defaulting Lenders which are Committed (USD) Lenders in accordance with their respective Applicable (USD) Percentages (calculated without regard to such Defaulting Lender’s USD Commitment) but only to the extent that such reallocation does not cause the aggregate principal amount of any Non-Defaulting Lender’s Committed (USD) Loans plus such Non-Defaulting Lender’s participations in L/C Obligations and Swing Line Loans to exceed such Non-Defaulting Lender’s USD Commitment. Subject to </w:t>
      </w:r>
      <w:r>
        <w:rPr>
          <w:rFonts w:ascii="Times New Roman" w:cs="Times New Roman" w:eastAsia="Times New Roman" w:hAnsi="Times New Roman"/>
          <w:sz w:val="21"/>
          <w:szCs w:val="21"/>
          <w:u w:val="single" w:color="auto"/>
          <w:color w:val="auto"/>
        </w:rPr>
        <w:t>Section 10.22</w:t>
      </w:r>
      <w:r>
        <w:rPr>
          <w:rFonts w:ascii="Times New Roman" w:cs="Times New Roman" w:eastAsia="Times New Roman" w:hAnsi="Times New Roman"/>
          <w:sz w:val="21"/>
          <w:szCs w:val="21"/>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3"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666"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 Repayment of Swing Line Loans</w:t>
      </w:r>
      <w:r>
        <w:rPr>
          <w:rFonts w:ascii="Times New Roman" w:cs="Times New Roman" w:eastAsia="Times New Roman" w:hAnsi="Times New Roman"/>
          <w:sz w:val="21"/>
          <w:szCs w:val="21"/>
          <w:color w:val="auto"/>
        </w:rPr>
        <w:t xml:space="preserve">. If the reallocation described in </w:t>
      </w:r>
      <w:r>
        <w:rPr>
          <w:rFonts w:ascii="Times New Roman" w:cs="Times New Roman" w:eastAsia="Times New Roman" w:hAnsi="Times New Roman"/>
          <w:sz w:val="21"/>
          <w:szCs w:val="21"/>
          <w:u w:val="single" w:color="auto"/>
          <w:color w:val="auto"/>
        </w:rPr>
        <w:t>clause (a)(iv)</w:t>
      </w:r>
      <w:r>
        <w:rPr>
          <w:rFonts w:ascii="Times New Roman" w:cs="Times New Roman" w:eastAsia="Times New Roman" w:hAnsi="Times New Roman"/>
          <w:sz w:val="21"/>
          <w:szCs w:val="21"/>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jc w:val="both"/>
        <w:ind w:firstLine="624"/>
        <w:spacing w:after="0" w:line="248" w:lineRule="auto"/>
        <w:tabs>
          <w:tab w:leader="none" w:pos="1046"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Cure</w:t>
      </w:r>
      <w:r>
        <w:rPr>
          <w:rFonts w:ascii="Times New Roman" w:cs="Times New Roman" w:eastAsia="Times New Roman" w:hAnsi="Times New Roman"/>
          <w:sz w:val="21"/>
          <w:szCs w:val="21"/>
          <w:color w:val="auto"/>
        </w:rPr>
        <w:t xml:space="preserve">. If the Company, the Administrative Agent and, in the case that a Defaulting Lender is a Committed (USD) Lender, the Swing Line Lender and the L/C Issuer agree in writing in their sole discretion that a Lender under any Facility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under such Facility or take such other actions as the Administrative Agent may determine to be necessary to cause the Loans under such Facility and, in the case of the Committed (USD) Facility, the funded and unfunded participations in Letters of Credit, Bankers’ Acceptances and Swing Line Loans to be held on a pro rata basis by the Lenders under such Facility in accordance with their Applicable Percentages (without giving effect to </w:t>
      </w:r>
      <w:r>
        <w:rPr>
          <w:rFonts w:ascii="Times New Roman" w:cs="Times New Roman" w:eastAsia="Times New Roman" w:hAnsi="Times New Roman"/>
          <w:sz w:val="21"/>
          <w:szCs w:val="21"/>
          <w:u w:val="single" w:color="auto"/>
          <w:color w:val="auto"/>
        </w:rPr>
        <w:t>Section 2.17(a)(iv)</w:t>
      </w:r>
      <w:r>
        <w:rPr>
          <w:rFonts w:ascii="Times New Roman" w:cs="Times New Roman" w:eastAsia="Times New Roman" w:hAnsi="Times New Roman"/>
          <w:sz w:val="21"/>
          <w:szCs w:val="21"/>
          <w:color w:val="auto"/>
        </w:rPr>
        <w:t xml:space="preserve">), whereupon that Lender will cease to be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42" w:name="page143"/>
    <w:bookmarkEnd w:id="142"/>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or on behalf of the Company while that Lender was a Defaulting Lender;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7" w:lineRule="exact"/>
        <w:rPr>
          <w:sz w:val="20"/>
          <w:szCs w:val="20"/>
          <w:color w:val="auto"/>
        </w:rPr>
      </w:pPr>
    </w:p>
    <w:p>
      <w:pPr>
        <w:jc w:val="both"/>
        <w:ind w:firstLine="624"/>
        <w:spacing w:after="0" w:line="257" w:lineRule="auto"/>
        <w:tabs>
          <w:tab w:leader="none" w:pos="1086"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 Swing Line Loans/Letters of Credit</w:t>
      </w:r>
      <w:r>
        <w:rPr>
          <w:rFonts w:ascii="Times New Roman" w:cs="Times New Roman" w:eastAsia="Times New Roman" w:hAnsi="Times New Roman"/>
          <w:sz w:val="21"/>
          <w:szCs w:val="21"/>
          <w:color w:val="auto"/>
        </w:rPr>
        <w:t>. So long as any Committed (USD) Lender is a Defaulting Lender, (i) the Swing Line Lender shall not be required to fund any Swing Line Loans unless it is satisfied that it will have no Fronting Exposure after giving effect to such Swing Line Loan and (ii) the L/C Issuer shall not be required to issue, extend, increase, reinstate or renew any Letter of Credit unless it is satisfied that it will have no Fronting Exposure after giving effect thereto.</w:t>
      </w:r>
    </w:p>
    <w:p>
      <w:pPr>
        <w:spacing w:after="0" w:line="163" w:lineRule="exact"/>
        <w:rPr>
          <w:sz w:val="20"/>
          <w:szCs w:val="20"/>
          <w:color w:val="auto"/>
        </w:rPr>
      </w:pPr>
    </w:p>
    <w:p>
      <w:pPr>
        <w:ind w:left="800"/>
        <w:spacing w:after="0"/>
        <w:tabs>
          <w:tab w:leader="none" w:pos="1300" w:val="left"/>
        </w:tabs>
        <w:rPr>
          <w:sz w:val="20"/>
          <w:szCs w:val="20"/>
          <w:color w:val="auto"/>
        </w:rPr>
      </w:pPr>
      <w:r>
        <w:rPr>
          <w:rFonts w:ascii="Times New Roman" w:cs="Times New Roman" w:eastAsia="Times New Roman" w:hAnsi="Times New Roman"/>
          <w:sz w:val="21"/>
          <w:szCs w:val="21"/>
          <w:b w:val="1"/>
          <w:bCs w:val="1"/>
          <w:color w:val="auto"/>
        </w:rPr>
        <w:t>2.18</w:t>
      </w:r>
      <w:r>
        <w:rPr>
          <w:sz w:val="20"/>
          <w:szCs w:val="20"/>
          <w:color w:val="auto"/>
        </w:rPr>
        <w:tab/>
      </w:r>
      <w:r>
        <w:rPr>
          <w:rFonts w:ascii="Times New Roman" w:cs="Times New Roman" w:eastAsia="Times New Roman" w:hAnsi="Times New Roman"/>
          <w:sz w:val="20"/>
          <w:szCs w:val="20"/>
          <w:b w:val="1"/>
          <w:bCs w:val="1"/>
          <w:color w:val="auto"/>
        </w:rPr>
        <w:t>Extensions of Maturity Date.</w:t>
      </w:r>
    </w:p>
    <w:p>
      <w:pPr>
        <w:spacing w:after="0" w:line="228" w:lineRule="exact"/>
        <w:rPr>
          <w:sz w:val="20"/>
          <w:szCs w:val="20"/>
          <w:color w:val="auto"/>
        </w:rPr>
      </w:pPr>
    </w:p>
    <w:p>
      <w:pPr>
        <w:jc w:val="both"/>
        <w:ind w:firstLine="624"/>
        <w:spacing w:after="0" w:line="247" w:lineRule="auto"/>
        <w:tabs>
          <w:tab w:leader="none" w:pos="1099"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pursuant to one or more offers (each, an “</w:t>
      </w:r>
      <w:r>
        <w:rPr>
          <w:rFonts w:ascii="Times New Roman" w:cs="Times New Roman" w:eastAsia="Times New Roman" w:hAnsi="Times New Roman"/>
          <w:sz w:val="21"/>
          <w:szCs w:val="21"/>
          <w:u w:val="single" w:color="auto"/>
          <w:color w:val="auto"/>
        </w:rPr>
        <w:t>Extension Offer</w:t>
      </w:r>
      <w:r>
        <w:rPr>
          <w:rFonts w:ascii="Times New Roman" w:cs="Times New Roman" w:eastAsia="Times New Roman" w:hAnsi="Times New Roman"/>
          <w:sz w:val="21"/>
          <w:szCs w:val="21"/>
          <w:color w:val="auto"/>
        </w:rPr>
        <w:t>”) made from time to time by the Company to all Lenders of any tranche of MC Commitments or USD Commitments with a like maturity date, in each case on a pro rata basis (based on the aggregate outstanding principal amount of the respective tranche of MC Commitments or USD Commitments with a like maturity date, as the case may be) and on the same terms to each such Lender, each Borrower is hereby permitted to consummate from time to time transactions with individual Lenders that accept the terms contained in such Extension Offers to extend the maturity date of each such Lender’s MC Commitments or USD Commitments, as the case may be, of such tranche and otherwise modify the terms of such Commitments pursuant to the terms of the relevant Extension Offer (including, without limitation, by increasing the interest rate or fees payable in respect of such Commitments (and related outstandings)) (each, an “</w:t>
      </w:r>
      <w:r>
        <w:rPr>
          <w:rFonts w:ascii="Times New Roman" w:cs="Times New Roman" w:eastAsia="Times New Roman" w:hAnsi="Times New Roman"/>
          <w:sz w:val="21"/>
          <w:szCs w:val="21"/>
          <w:u w:val="single" w:color="auto"/>
          <w:color w:val="auto"/>
        </w:rPr>
        <w:t>Extension</w:t>
      </w:r>
      <w:r>
        <w:rPr>
          <w:rFonts w:ascii="Times New Roman" w:cs="Times New Roman" w:eastAsia="Times New Roman" w:hAnsi="Times New Roman"/>
          <w:sz w:val="21"/>
          <w:szCs w:val="21"/>
          <w:color w:val="auto"/>
        </w:rPr>
        <w:t>”, and each group of MC Commitments or USD Commitments, as applicable, in each case as so extended, as well as the original MC Commitments and the original USD Commitments (in each case not so extended), being a separate “tranche”; any Extended MC Commitments shall constitute a separate tranche of MC Commitments from the tranche of MC Commitments from which they were converted and any Extended USD Commitments shall constitute a separate tranche of USD Commitments from the tranche of USD Commitments from which they were converted), so long as the following terms are satisfied:</w:t>
      </w:r>
    </w:p>
    <w:p>
      <w:pPr>
        <w:spacing w:after="0" w:line="180" w:lineRule="exact"/>
        <w:rPr>
          <w:rFonts w:ascii="Times New Roman" w:cs="Times New Roman" w:eastAsia="Times New Roman" w:hAnsi="Times New Roman"/>
          <w:sz w:val="21"/>
          <w:szCs w:val="21"/>
          <w:color w:val="auto"/>
        </w:rPr>
      </w:pPr>
    </w:p>
    <w:p>
      <w:pPr>
        <w:ind w:left="620" w:firstLine="624"/>
        <w:spacing w:after="0" w:line="283" w:lineRule="auto"/>
        <w:tabs>
          <w:tab w:leader="none" w:pos="1672"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exists at the time the offering document in respect of an Extension Offer is delivered to the Lenders or immediately prior to the effectiveness of such Extension;</w:t>
      </w:r>
    </w:p>
    <w:p>
      <w:pPr>
        <w:spacing w:after="0" w:line="141" w:lineRule="exact"/>
        <w:rPr>
          <w:rFonts w:ascii="Times New Roman" w:cs="Times New Roman" w:eastAsia="Times New Roman" w:hAnsi="Times New Roman"/>
          <w:sz w:val="21"/>
          <w:szCs w:val="21"/>
          <w:color w:val="auto"/>
        </w:rPr>
      </w:pPr>
    </w:p>
    <w:p>
      <w:pPr>
        <w:jc w:val="both"/>
        <w:ind w:left="620" w:firstLine="624"/>
        <w:spacing w:after="0" w:line="250" w:lineRule="auto"/>
        <w:tabs>
          <w:tab w:leader="none" w:pos="1729"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to interest rates, fees and final maturity (which shall be determined by the Borrower and set forth in the relevant Extension Offer), the MC Commitment or USD Commitment, as the case may be, of any Lender that agrees to an Extension with respect to such Commitment (each, an “</w:t>
      </w:r>
      <w:r>
        <w:rPr>
          <w:rFonts w:ascii="Times New Roman" w:cs="Times New Roman" w:eastAsia="Times New Roman" w:hAnsi="Times New Roman"/>
          <w:sz w:val="21"/>
          <w:szCs w:val="21"/>
          <w:u w:val="single" w:color="auto"/>
          <w:color w:val="auto"/>
        </w:rPr>
        <w:t>Extending Lender</w:t>
      </w:r>
      <w:r>
        <w:rPr>
          <w:rFonts w:ascii="Times New Roman" w:cs="Times New Roman" w:eastAsia="Times New Roman" w:hAnsi="Times New Roman"/>
          <w:sz w:val="21"/>
          <w:szCs w:val="21"/>
          <w:color w:val="auto"/>
        </w:rPr>
        <w:t>”) extended pursuant to an Extension (each, an “</w:t>
      </w:r>
      <w:r>
        <w:rPr>
          <w:rFonts w:ascii="Times New Roman" w:cs="Times New Roman" w:eastAsia="Times New Roman" w:hAnsi="Times New Roman"/>
          <w:sz w:val="21"/>
          <w:szCs w:val="21"/>
          <w:u w:val="single" w:color="auto"/>
          <w:color w:val="auto"/>
        </w:rPr>
        <w:t>Extended MC Commitment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Extended USD Commitment</w:t>
      </w:r>
      <w:r>
        <w:rPr>
          <w:rFonts w:ascii="Times New Roman" w:cs="Times New Roman" w:eastAsia="Times New Roman" w:hAnsi="Times New Roman"/>
          <w:sz w:val="21"/>
          <w:szCs w:val="21"/>
          <w:color w:val="auto"/>
        </w:rPr>
        <w:t xml:space="preserve">”, as applicable), and the related outstandings, shall be a MC Commitment (or related outstandings, as the case may be) or a USD Commitment (or related outstandings, as the case may be), as applicable, with the same terms as the original MC Commitments (and related outstandings) or the original USD Commitments (and related outstandings),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43" w:name="page144"/>
    <w:bookmarkEnd w:id="143"/>
    <w:p>
      <w:pPr>
        <w:jc w:val="both"/>
        <w:ind w:left="1240" w:firstLine="624"/>
        <w:spacing w:after="0" w:line="251" w:lineRule="auto"/>
        <w:tabs>
          <w:tab w:leader="none" w:pos="2332" w:val="left"/>
        </w:tabs>
        <w:numPr>
          <w:ilvl w:val="2"/>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borrowing and repayment (except for (1) payments of interest and fees at different rates on Extended MC Commitments (and related outstandings) or Extended USD Commitments (and related outstandings), (2) repayments required upon the maturity date of the non-extending MC Commitments or USD Commitments and (3) repayment made in connection with a permanent repayment and termination of commitments) of Loans with respect to Extended MC Commitments or Extended USD Commitments after the applicable Extension date shall be made on a pro rata basis with all other MC Commitments or USD Commitments, as the case may be;</w:t>
      </w:r>
    </w:p>
    <w:p>
      <w:pPr>
        <w:spacing w:after="0" w:line="177" w:lineRule="exact"/>
        <w:rPr>
          <w:rFonts w:ascii="Times New Roman" w:cs="Times New Roman" w:eastAsia="Times New Roman" w:hAnsi="Times New Roman"/>
          <w:sz w:val="21"/>
          <w:szCs w:val="21"/>
          <w:color w:val="auto"/>
        </w:rPr>
      </w:pPr>
    </w:p>
    <w:p>
      <w:pPr>
        <w:ind w:left="1240" w:firstLine="624"/>
        <w:spacing w:after="0" w:line="283" w:lineRule="auto"/>
        <w:tabs>
          <w:tab w:leader="none" w:pos="2321" w:val="left"/>
        </w:tabs>
        <w:numPr>
          <w:ilvl w:val="2"/>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Swing Line Loans, Letters of Credit and Bankers’ Acceptances shall be participated on a pro rata basis by all Lenders with USD Commitments in accordance with their Applicable (USD) Percentages;</w:t>
      </w:r>
    </w:p>
    <w:p>
      <w:pPr>
        <w:spacing w:after="0" w:line="141" w:lineRule="exact"/>
        <w:rPr>
          <w:rFonts w:ascii="Times New Roman" w:cs="Times New Roman" w:eastAsia="Times New Roman" w:hAnsi="Times New Roman"/>
          <w:sz w:val="21"/>
          <w:szCs w:val="21"/>
          <w:color w:val="auto"/>
        </w:rPr>
      </w:pPr>
    </w:p>
    <w:p>
      <w:pPr>
        <w:jc w:val="both"/>
        <w:ind w:left="1240" w:firstLine="624"/>
        <w:spacing w:after="0" w:line="253" w:lineRule="auto"/>
        <w:tabs>
          <w:tab w:leader="none" w:pos="2437" w:val="left"/>
        </w:tabs>
        <w:numPr>
          <w:ilvl w:val="2"/>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permanent repayment of Loans with respect to, and termination of, Extended MC Commitments or Extended USD Commitments after the applicable Extension date shall be made on a pro rata basis with all other MC Commitments or USD Commitments, as the case may be, except that the Borrowers shall be permitted to permanently repay and terminate commitments of any such tranche on a better than a pro rata basis as compared to any other tranche with a later maturity date than such tranche; and</w:t>
      </w:r>
    </w:p>
    <w:p>
      <w:pPr>
        <w:spacing w:after="0" w:line="174" w:lineRule="exact"/>
        <w:rPr>
          <w:rFonts w:ascii="Times New Roman" w:cs="Times New Roman" w:eastAsia="Times New Roman" w:hAnsi="Times New Roman"/>
          <w:sz w:val="21"/>
          <w:szCs w:val="21"/>
          <w:color w:val="auto"/>
        </w:rPr>
      </w:pPr>
    </w:p>
    <w:p>
      <w:pPr>
        <w:jc w:val="both"/>
        <w:ind w:left="1240" w:firstLine="624"/>
        <w:spacing w:after="0" w:line="263" w:lineRule="auto"/>
        <w:tabs>
          <w:tab w:leader="none" w:pos="2319" w:val="left"/>
        </w:tabs>
        <w:numPr>
          <w:ilvl w:val="2"/>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assignments and participations of Extended MC Commitments or Extended USD Commitments and extended Loans related thereto shall be governed by the same assignment and participation provisions applicable to MC Commitments and Loans related thereto or USD Commitments and Loans related thereto, as applicable;</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49" w:lineRule="auto"/>
        <w:tabs>
          <w:tab w:leader="none" w:pos="180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aggregate principal amount of MC Commitments or USD Commitments, as the case may be, in respect of which Committed (MC) Lenders or Committed (USD) Lenders, as the case may be, shall have accepted the relevant Extension Offer shall exceed the maximum aggregate principal amount of MC Commitments or USD Commitments, as the case may be, offered to be extended by the Company pursuant to such Extension Offer, then the MC Commitments or USD Commitments, as the case may be, of such Committed (MC) Lenders or Committed (USD) Lenders, as the case may be, shall be extended ratably up to such maximum amount based on the respective principal amounts (but not to exceed actual holdings of record) with respect to which such Committed (MC) Lenders or Committed (USD) Lenders, as the case may be, have accepted such Extension Offer; and</w:t>
      </w:r>
    </w:p>
    <w:p>
      <w:pPr>
        <w:spacing w:after="0" w:line="179" w:lineRule="exact"/>
        <w:rPr>
          <w:rFonts w:ascii="Times New Roman" w:cs="Times New Roman" w:eastAsia="Times New Roman" w:hAnsi="Times New Roman"/>
          <w:sz w:val="21"/>
          <w:szCs w:val="21"/>
          <w:color w:val="auto"/>
        </w:rPr>
      </w:pPr>
    </w:p>
    <w:p>
      <w:pPr>
        <w:ind w:left="1720" w:hanging="476"/>
        <w:spacing w:after="0"/>
        <w:tabs>
          <w:tab w:leader="none" w:pos="172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documentation in respect of such Extension shall be consistent with the foregoing.</w:t>
      </w:r>
    </w:p>
    <w:p>
      <w:pPr>
        <w:spacing w:after="0" w:line="223" w:lineRule="exact"/>
        <w:rPr>
          <w:rFonts w:ascii="Times New Roman" w:cs="Times New Roman" w:eastAsia="Times New Roman" w:hAnsi="Times New Roman"/>
          <w:sz w:val="21"/>
          <w:szCs w:val="21"/>
          <w:color w:val="auto"/>
        </w:rPr>
      </w:pPr>
    </w:p>
    <w:p>
      <w:pPr>
        <w:jc w:val="both"/>
        <w:ind w:firstLine="624"/>
        <w:spacing w:after="0" w:line="263" w:lineRule="auto"/>
        <w:tabs>
          <w:tab w:leader="none" w:pos="1175"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all Extensions consummated by the Borrowers pursuant to this Section, (i) such Extensions shall not constitute prepayments for purposes of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(ii) unless otherwise agreed to by the Administrative Agent, each Extension Offer shall be in a minimum principal amount (to be specified in the relevant Extension Offer) for the applicable tranche to be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44" w:name="page145"/>
    <w:bookmarkEnd w:id="144"/>
    <w:p>
      <w:pPr>
        <w:jc w:val="both"/>
        <w:spacing w:after="0" w:line="249" w:lineRule="auto"/>
        <w:rPr>
          <w:sz w:val="20"/>
          <w:szCs w:val="20"/>
          <w:color w:val="auto"/>
        </w:rPr>
      </w:pPr>
      <w:r>
        <w:rPr>
          <w:rFonts w:ascii="Times New Roman" w:cs="Times New Roman" w:eastAsia="Times New Roman" w:hAnsi="Times New Roman"/>
          <w:sz w:val="21"/>
          <w:szCs w:val="21"/>
          <w:color w:val="auto"/>
        </w:rPr>
        <w:t>extended of (A) $30,000,000 with respect to MC Commitments and (B) $200,000,000 with respect to USD Commitments (in each case, or, if less, the remaining amount of such tranche). The Administrative Agent and the Lenders hereby consent to the transactions contemplated by this Section (including, for the avoidance of doubt, payment of any interest, fees or premium in respect of any Extended MC Commitments and/or Extended USD Commitments on the such terms as may be set forth in the relevant Extension Offer) and hereby waive the requirements of any provision of this Agreement or any other Loan Document that may otherwise prohibit any such Extension or any other transaction contemplated by this Section.</w:t>
      </w:r>
    </w:p>
    <w:p>
      <w:pPr>
        <w:spacing w:after="0" w:line="176" w:lineRule="exact"/>
        <w:rPr>
          <w:sz w:val="20"/>
          <w:szCs w:val="20"/>
          <w:color w:val="auto"/>
        </w:rPr>
      </w:pPr>
    </w:p>
    <w:p>
      <w:pPr>
        <w:jc w:val="both"/>
        <w:ind w:firstLine="624"/>
        <w:spacing w:after="0" w:line="246" w:lineRule="auto"/>
        <w:tabs>
          <w:tab w:leader="none" w:pos="1125"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consent of any Lender or the Administrative Agent shall be required to effectuate any Extension, other than (i) the consent of each Lender agreeing to such Extension with respect to one or more of its MC Commitments and/or USD Commitments (or a portion thereof) and (ii) with respect to any Extension of the USD Commitments, the consent of the L/C Issuer and the Swing Line Lender, which consent shall not be unreasonably withheld, delayed or conditioned. All Extended MC Commitments, Extended USD Commitments and all obligations in respect thereof shall be Obligations under this Agreement and the other Loan Documents that are secured by the Collateral on a pari passu basis with all other applicable Obligations under this Agreement and the other Loan Documents. The Lenders hereby irrevocably authorize the Administrative Agent to enter into amendments to this Agreement and the other Loan Documents with the Borrowers as may be necessary in order to establish new tranches or sub-tranches in respect of MC Commitments or USD Commitments so extended and such technical amendments as may be necessary or appropriate in the reasonable opinion of the Administrative Agent and the Borrowers in connection with the establishment of such new tranches or sub-tranches, in each case on terms consistent with this Section. In addition, if so provided in such amendment and with the consent of the L/C Issuer, participations in Letters of Credit and Bankers’ Acceptances expiring on or after the Maturity Date in respect of the Committed (USD) Facility shall be re-allocated from Lenders holding USD Commitments to Lenders holding Extended USD Commitments in accordance with the terms of such amendment;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participation interests shall, upon receipt thereof by the relevant Lenders holding USD Commitments, be deemed to be participation interests in respect of such USD Commitments and the terms of such participation interests (including, without limitation, the commission applicable thereto) shall be adjusted accordingly. Without limiting the foregoing, in connection with any Extension, to the extent reasonably determined by the Administrative Agent, the respective Loan Parties shall (at their expense) amend (and the Administrative Agent is hereby directed to amend) any Mortgage that has a maturity date prior to the then latest maturity date so that such maturity date is extended to the then latest maturity date hereunder (or such later date as may be advised by outside counsel to the Administrative Agent).</w:t>
      </w:r>
    </w:p>
    <w:p>
      <w:pPr>
        <w:spacing w:after="0" w:line="178" w:lineRule="exact"/>
        <w:rPr>
          <w:rFonts w:ascii="Times New Roman" w:cs="Times New Roman" w:eastAsia="Times New Roman" w:hAnsi="Times New Roman"/>
          <w:sz w:val="21"/>
          <w:szCs w:val="21"/>
          <w:color w:val="auto"/>
        </w:rPr>
      </w:pPr>
    </w:p>
    <w:p>
      <w:pPr>
        <w:jc w:val="both"/>
        <w:ind w:firstLine="624"/>
        <w:spacing w:after="0" w:line="250" w:lineRule="auto"/>
        <w:tabs>
          <w:tab w:leader="none" w:pos="1072"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Extension, the Company shall provide the Administrative Agent at least 20 Business Days (or such shorter period as may be agreed by the Administrative Agent) prior written notice thereof, and shall agree to such procedures (including, without limitation, regarding timing, rounding and other adjustments to ensure reasonable administrative management of the credit facilities hereunder after such Extension), if any, as may be established by, or acceptable to, the Administrative Agent, in each case acting reasonably to accomplish the purposes of this Section, and such reasonable increases in the annual administrative agency fee as the Administrative Agent shall reasonably request in order to fairly compensate the Administrative Agent for the additional administrative management of the credit facilities hereunder after such Extension.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TAXES, YIELD PROTECTION AND ILLEGALITY</w:t>
      </w:r>
    </w:p>
    <w:p>
      <w:pPr>
        <w:spacing w:after="0" w:line="22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3.01</w:t>
      </w:r>
      <w:r>
        <w:rPr>
          <w:sz w:val="20"/>
          <w:szCs w:val="20"/>
          <w:color w:val="auto"/>
        </w:rPr>
        <w:tab/>
      </w:r>
      <w:r>
        <w:rPr>
          <w:rFonts w:ascii="Times New Roman" w:cs="Times New Roman" w:eastAsia="Times New Roman" w:hAnsi="Times New Roman"/>
          <w:sz w:val="19"/>
          <w:szCs w:val="19"/>
          <w:b w:val="1"/>
          <w:bCs w:val="1"/>
          <w:color w:val="auto"/>
        </w:rPr>
        <w:t>Taxes.</w:t>
      </w:r>
    </w:p>
    <w:p>
      <w:pPr>
        <w:spacing w:after="0" w:line="228" w:lineRule="exact"/>
        <w:rPr>
          <w:sz w:val="20"/>
          <w:szCs w:val="20"/>
          <w:color w:val="auto"/>
        </w:rPr>
      </w:pPr>
    </w:p>
    <w:p>
      <w:pPr>
        <w:ind w:left="1020" w:hanging="396"/>
        <w:spacing w:after="0"/>
        <w:tabs>
          <w:tab w:leader="none" w:pos="102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Free of Taxes; Obligation to Withhold; Payments on Account of Taxes</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69" w:lineRule="auto"/>
        <w:tabs>
          <w:tab w:leader="none" w:pos="1659"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payments by or on account of any obligation of the respective Borrowers hereunder or under any other Loan Document shall to the extent permitted by applicable Laws be made free and clear of and without deduction or withholding for any Taxes. If, however, applicable Laws require any Borrower or the Administrative Agent to withhold or deduct any Tax, such Tax shall be withheld or deducted in accordance with such Laws as determined by the Company or the Administrative Agent, as the case may be, upon the basis of the information and documentation to be delivered pursuant to subsection (e) below.</w:t>
      </w:r>
    </w:p>
    <w:p>
      <w:pPr>
        <w:spacing w:after="0" w:line="158" w:lineRule="exact"/>
        <w:rPr>
          <w:rFonts w:ascii="Times New Roman" w:cs="Times New Roman" w:eastAsia="Times New Roman" w:hAnsi="Times New Roman"/>
          <w:sz w:val="20"/>
          <w:szCs w:val="20"/>
          <w:color w:val="auto"/>
        </w:rPr>
      </w:pPr>
    </w:p>
    <w:p>
      <w:pPr>
        <w:jc w:val="both"/>
        <w:ind w:left="620" w:firstLine="624"/>
        <w:spacing w:after="0" w:line="247" w:lineRule="auto"/>
        <w:tabs>
          <w:tab w:leader="none" w:pos="1807"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Borrower or the Administrative Agent shall be required by the Code to withhold or deduct any Taxes, including both United States Federal backup withholding and withholding Taxes, from any payment, then (A) the Administrative Agent (acting on its own behalf and on behalf of such Borrower) shall withhold or make such deductions as are determined by the Administrative Agent and the Company to be required based upon the information and documentation they have received pursuant to </w:t>
      </w:r>
      <w:r>
        <w:rPr>
          <w:rFonts w:ascii="Times New Roman" w:cs="Times New Roman" w:eastAsia="Times New Roman" w:hAnsi="Times New Roman"/>
          <w:sz w:val="21"/>
          <w:szCs w:val="21"/>
          <w:u w:val="single" w:color="auto"/>
          <w:color w:val="auto"/>
        </w:rPr>
        <w:t>subsection (e)</w:t>
      </w:r>
      <w:r>
        <w:rPr>
          <w:rFonts w:ascii="Times New Roman" w:cs="Times New Roman" w:eastAsia="Times New Roman" w:hAnsi="Times New Roman"/>
          <w:sz w:val="21"/>
          <w:szCs w:val="21"/>
          <w:color w:val="auto"/>
        </w:rPr>
        <w:t xml:space="preserve"> below, (B) the Administrative Agent (acting on its own behalf and on behalf of such Borrower) shall timely pay the full amount withheld or deducted to the relevant Governmental Authority in accordance with the Code, and (C) to the extent that the withholding or deduction is made on account of Indemnified Taxes or Other Taxes, the sum payable by such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the Administrative Agent, Lender or L/C Issuer, as the case may be, receives an amount equal to the sum it would have received had no such withholding or deduction in respect of Indemnified Taxes or Other Taxes been made.</w:t>
      </w:r>
    </w:p>
    <w:p>
      <w:pPr>
        <w:spacing w:after="0" w:line="186" w:lineRule="exact"/>
        <w:rPr>
          <w:rFonts w:ascii="Times New Roman" w:cs="Times New Roman" w:eastAsia="Times New Roman" w:hAnsi="Times New Roman"/>
          <w:sz w:val="21"/>
          <w:szCs w:val="21"/>
          <w:color w:val="auto"/>
        </w:rPr>
      </w:pPr>
    </w:p>
    <w:p>
      <w:pPr>
        <w:jc w:val="both"/>
        <w:ind w:left="620" w:firstLine="624"/>
        <w:spacing w:after="0" w:line="262" w:lineRule="auto"/>
        <w:tabs>
          <w:tab w:leader="none" w:pos="1722"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Borrower or the Administrative Agent shall be required by applicable Laws other than the Code to withhold or deduct any Taxes, including both United States Federal backup withholding and withholding Taxes, from any payment, then (A) such Borrower or the Administrative Agent, as required by such Laws shall withhold or make such deductions as are determined by the Administrative Agent and the Company to be required based upon the information and documentation they have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(B) such Borrower or the Administrative Agent, to the extent required by such Laws, shall timely pay the full amount withheld or deducted to the relevant Governmental Authority in accordance with the Code, and (C) to the extent that the withholding or deduction is made on account of Indemnified Taxes or Other Taxes, the sum payable by such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Administrative Agent, Lender or L/C</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846" w:right="239" w:bottom="1440" w:gutter="0" w:footer="0" w:header="0"/>
        </w:sectPr>
      </w:pPr>
    </w:p>
    <w:bookmarkStart w:id="146" w:name="page147"/>
    <w:bookmarkEnd w:id="146"/>
    <w:p>
      <w:pPr>
        <w:ind w:left="620"/>
        <w:spacing w:after="0" w:line="270" w:lineRule="auto"/>
        <w:rPr>
          <w:sz w:val="20"/>
          <w:szCs w:val="20"/>
          <w:color w:val="auto"/>
        </w:rPr>
      </w:pPr>
      <w:r>
        <w:rPr>
          <w:rFonts w:ascii="Times New Roman" w:cs="Times New Roman" w:eastAsia="Times New Roman" w:hAnsi="Times New Roman"/>
          <w:sz w:val="21"/>
          <w:szCs w:val="21"/>
          <w:color w:val="auto"/>
        </w:rPr>
        <w:t>Issuer, as the case may be, receives an amount equal to the sum it would have received had no such withholding or deduction in respect of Indemnified Taxes or Other Taxes been made.</w:t>
      </w:r>
    </w:p>
    <w:p>
      <w:pPr>
        <w:spacing w:after="0" w:line="154" w:lineRule="exact"/>
        <w:rPr>
          <w:sz w:val="20"/>
          <w:szCs w:val="20"/>
          <w:color w:val="auto"/>
        </w:rPr>
      </w:pPr>
    </w:p>
    <w:p>
      <w:pPr>
        <w:ind w:firstLine="624"/>
        <w:spacing w:after="0" w:line="283" w:lineRule="auto"/>
        <w:tabs>
          <w:tab w:leader="none" w:pos="1111"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Other Taxes by the Borrowers</w:t>
      </w:r>
      <w:r>
        <w:rPr>
          <w:rFonts w:ascii="Times New Roman" w:cs="Times New Roman" w:eastAsia="Times New Roman" w:hAnsi="Times New Roman"/>
          <w:sz w:val="21"/>
          <w:szCs w:val="21"/>
          <w:color w:val="auto"/>
        </w:rPr>
        <w:t>. Without limiting the provisions of subsection (a) above, each Borrower shall timely pay any Other Taxes to the relevant Governmental Authority in accordance with applicable Laws.</w:t>
      </w:r>
    </w:p>
    <w:p>
      <w:pPr>
        <w:spacing w:after="0" w:line="141" w:lineRule="exact"/>
        <w:rPr>
          <w:rFonts w:ascii="Times New Roman" w:cs="Times New Roman" w:eastAsia="Times New Roman" w:hAnsi="Times New Roman"/>
          <w:sz w:val="21"/>
          <w:szCs w:val="21"/>
          <w:color w:val="auto"/>
        </w:rPr>
      </w:pPr>
    </w:p>
    <w:p>
      <w:pPr>
        <w:ind w:left="1020" w:hanging="396"/>
        <w:spacing w:after="0"/>
        <w:tabs>
          <w:tab w:leader="none" w:pos="102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Indemnifications</w:t>
      </w:r>
      <w:r>
        <w:rPr>
          <w:rFonts w:ascii="Times New Roman" w:cs="Times New Roman" w:eastAsia="Times New Roman" w:hAnsi="Times New Roman"/>
          <w:sz w:val="21"/>
          <w:szCs w:val="21"/>
          <w:color w:val="auto"/>
        </w:rPr>
        <w:t>. Without limiting the provisions of subsection (a) or (b) above:</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50" w:lineRule="auto"/>
        <w:tabs>
          <w:tab w:leader="none" w:pos="1646"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Each Borrower shall, and does hereby, indemnify the Administrative Agent, each Lender and the L/C Issuer, and shall make payment in respect thereof within 30 days after demand therefor, for the full amount of any Indemnified Taxes or Other Taxes (including Indemnified Taxes or Other Taxes imposed or asserted on or attributable to amounts payable under this Section) withheld or deducted by such Borrower or the Administrative Agent or paid by the Administrative Agent, such Lender or the L/C Issuer, as the case may be, and any penalties, interest and reasonable out of pocket expenses arising therefrom or with respect thereto, whether or not such Indemnified Taxes or Other Taxes were correctly or legally imposed or asserted by the relevant Governmental Authority.</w:t>
      </w:r>
    </w:p>
    <w:p>
      <w:pPr>
        <w:spacing w:after="0" w:line="177" w:lineRule="exact"/>
        <w:rPr>
          <w:rFonts w:ascii="Times New Roman" w:cs="Times New Roman" w:eastAsia="Times New Roman" w:hAnsi="Times New Roman"/>
          <w:sz w:val="21"/>
          <w:szCs w:val="21"/>
          <w:color w:val="auto"/>
        </w:rPr>
      </w:pPr>
    </w:p>
    <w:p>
      <w:pPr>
        <w:jc w:val="both"/>
        <w:ind w:left="1240" w:firstLine="624"/>
        <w:spacing w:after="0" w:line="249" w:lineRule="auto"/>
        <w:tabs>
          <w:tab w:leader="none" w:pos="2334" w:val="left"/>
        </w:tabs>
        <w:numPr>
          <w:ilvl w:val="2"/>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shall also, and does hereby, indemnify the Administrative Agent, and shall make payment in respect thereof within 30 days after demand therefor, for any amount which a Lender or the L/C Issuer for any reason fails to pay indefeasibly to the Administrative Agent as required by clause (ii) of this subsection; provided, that no Borrower shall be required to indemnify the Administrative Agent for any amount attributable to the Administrative Agent’s gross negligence or willful misconduct. Upon receipt of such indemnity payment and upon the request of the Borrower that made the indemnity payment, the Administrative Agent hereby agrees to assign to such Borrower any rights for compensation against such defaulting Lender or L/C Issuer (other than the right of set off pursuant to the penultimate sentence of Section 3.01(c)(ii) below) with respect to the amount it has been indemnified by the Borrower.</w:t>
      </w:r>
    </w:p>
    <w:p>
      <w:pPr>
        <w:spacing w:after="0" w:line="179" w:lineRule="exact"/>
        <w:rPr>
          <w:rFonts w:ascii="Times New Roman" w:cs="Times New Roman" w:eastAsia="Times New Roman" w:hAnsi="Times New Roman"/>
          <w:sz w:val="21"/>
          <w:szCs w:val="21"/>
          <w:color w:val="auto"/>
        </w:rPr>
      </w:pPr>
    </w:p>
    <w:p>
      <w:pPr>
        <w:jc w:val="both"/>
        <w:ind w:left="1240" w:firstLine="624"/>
        <w:spacing w:after="0" w:line="257" w:lineRule="auto"/>
        <w:tabs>
          <w:tab w:leader="none" w:pos="2437" w:val="left"/>
        </w:tabs>
        <w:numPr>
          <w:ilvl w:val="2"/>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prepared in good faith as to the amount of any such payment or liability delivered to the Company on behalf of the relevant Borrower by a Lender or the L/C Issuer (with a copy to the Administrative Agent), or by the Administrative Agent on its own behalf or on behalf of a Lender or the L/C Issuer, shall be conclusive absent manifest error.</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50" w:lineRule="auto"/>
        <w:tabs>
          <w:tab w:leader="none" w:pos="1665"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provisions of subsection (a) or (b) above, each Lender and the L/C Issuer shall, and does hereby, indemnify each Borrower and the Administrative Agent, and shall make payment in respect thereof within 30 days after demand therefor, against any and all Taxes and any and all related losses, claims, liabilities, penalties, interest and expenses (including the fees, charges and disbursements of any counsel for any Borrower or the Administrative Agent) incurred by or asserted against any Borrower or the Administrative Agent by any Governmental Authority (A) as a result of the failure by such Lender or the L/C Issuer, as the case may be, to deliver, or as a result of the inaccuracy, inadequacy or deficiency of, any documentation required to be delivered by such Lender 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47" w:name="page148"/>
    <w:bookmarkEnd w:id="147"/>
    <w:p>
      <w:pPr>
        <w:jc w:val="both"/>
        <w:ind w:left="620"/>
        <w:spacing w:after="0" w:line="247" w:lineRule="auto"/>
        <w:rPr>
          <w:sz w:val="20"/>
          <w:szCs w:val="20"/>
          <w:color w:val="auto"/>
        </w:rPr>
      </w:pPr>
      <w:r>
        <w:rPr>
          <w:rFonts w:ascii="Times New Roman" w:cs="Times New Roman" w:eastAsia="Times New Roman" w:hAnsi="Times New Roman"/>
          <w:sz w:val="21"/>
          <w:szCs w:val="21"/>
          <w:color w:val="auto"/>
        </w:rPr>
        <w:t xml:space="preserve">the L/C Issuer, as the case may be, to such Borrower or the Administrative Agent pursuant to subsection (e), or (B) attributable to such Lender’s or L/C Issuer’s failure to comply with the provisions of </w:t>
      </w:r>
      <w:r>
        <w:rPr>
          <w:rFonts w:ascii="Times New Roman" w:cs="Times New Roman" w:eastAsia="Times New Roman" w:hAnsi="Times New Roman"/>
          <w:sz w:val="21"/>
          <w:szCs w:val="21"/>
          <w:u w:val="single" w:color="auto"/>
          <w:color w:val="auto"/>
        </w:rPr>
        <w:t>Section 10.06(d)</w:t>
      </w:r>
      <w:r>
        <w:rPr>
          <w:rFonts w:ascii="Times New Roman" w:cs="Times New Roman" w:eastAsia="Times New Roman" w:hAnsi="Times New Roman"/>
          <w:sz w:val="21"/>
          <w:szCs w:val="21"/>
          <w:color w:val="auto"/>
        </w:rPr>
        <w:t xml:space="preserve"> relating to the maintenance of a Participant Register.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 L/C Issuer, the termination of the Aggregate Commitments and the repayment, satisfaction or discharge of all other Obligations.</w:t>
      </w:r>
    </w:p>
    <w:p>
      <w:pPr>
        <w:spacing w:after="0" w:line="182" w:lineRule="exact"/>
        <w:rPr>
          <w:sz w:val="20"/>
          <w:szCs w:val="20"/>
          <w:color w:val="auto"/>
        </w:rPr>
      </w:pPr>
    </w:p>
    <w:p>
      <w:pPr>
        <w:jc w:val="both"/>
        <w:ind w:firstLine="624"/>
        <w:spacing w:after="0" w:line="266" w:lineRule="auto"/>
        <w:tabs>
          <w:tab w:leader="none" w:pos="105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Upon request by the Company on behalf of any Borrower or upon the request by the Administrative Agent, as the case may be, after any payment of Taxes by such Borrower or by the Administrative Agent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Company on behalf of such Borrower shall deliver to the Administrative Agent or the Administrative Agent shall deliver to the Company on behalf of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163" w:lineRule="exact"/>
        <w:rPr>
          <w:rFonts w:ascii="Times New Roman" w:cs="Times New Roman" w:eastAsia="Times New Roman" w:hAnsi="Times New Roman"/>
          <w:sz w:val="20"/>
          <w:szCs w:val="20"/>
          <w:color w:val="auto"/>
        </w:rPr>
      </w:pPr>
    </w:p>
    <w:p>
      <w:pPr>
        <w:ind w:left="1020" w:hanging="396"/>
        <w:spacing w:after="0"/>
        <w:tabs>
          <w:tab w:leader="none" w:pos="102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Lenders; Tax Documentation</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65" w:lineRule="auto"/>
        <w:tabs>
          <w:tab w:leader="none" w:pos="1659"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the L/C Issuer shall deliver to the Company and to the Administrative Agent, at the time or times prescribed by applicable Laws or when reasonably requested by the Company or the Administrative Agent, such properly completed and executed documentation prescribed by applicable Laws or by the taxing authorities of any jurisdiction and such other reasonably requested information as will permit the Company or the Administrative Agent, as the case may be, to determine</w:t>
      </w:r>
    </w:p>
    <w:p>
      <w:pPr>
        <w:spacing w:after="0" w:line="1" w:lineRule="exact"/>
        <w:rPr>
          <w:rFonts w:ascii="Times New Roman" w:cs="Times New Roman" w:eastAsia="Times New Roman" w:hAnsi="Times New Roman"/>
          <w:sz w:val="20"/>
          <w:szCs w:val="20"/>
          <w:color w:val="auto"/>
        </w:rPr>
      </w:pPr>
    </w:p>
    <w:p>
      <w:pPr>
        <w:jc w:val="both"/>
        <w:ind w:left="62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 whether or not payments made by the respective Borrowers hereunder or under any other Loan Document are subject to Taxes, (B) if applicable, the required rate of withholding or deduction, and (C) such Lender’s or the L/C Issuer’s entitlement to any available exemption from, or reduction of, applicable Taxes in respect of all payments to be made to such Lender or the L/C Issuer by the respective Borrowers pursuant to this Agreement or otherwise to establish such Lender’s or the L/C Issuer’s status for withholding Tax purposes in the applicable jurisdictions.</w:t>
      </w:r>
    </w:p>
    <w:p>
      <w:pPr>
        <w:spacing w:after="0" w:line="179" w:lineRule="exact"/>
        <w:rPr>
          <w:rFonts w:ascii="Times New Roman" w:cs="Times New Roman" w:eastAsia="Times New Roman" w:hAnsi="Times New Roman"/>
          <w:sz w:val="20"/>
          <w:szCs w:val="20"/>
          <w:color w:val="auto"/>
        </w:rPr>
      </w:pPr>
    </w:p>
    <w:p>
      <w:pPr>
        <w:ind w:left="1720" w:hanging="476"/>
        <w:spacing w:after="0"/>
        <w:tabs>
          <w:tab w:leader="none" w:pos="172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w:t>
      </w:r>
    </w:p>
    <w:p>
      <w:pPr>
        <w:spacing w:after="0" w:line="223" w:lineRule="exact"/>
        <w:rPr>
          <w:rFonts w:ascii="Times New Roman" w:cs="Times New Roman" w:eastAsia="Times New Roman" w:hAnsi="Times New Roman"/>
          <w:sz w:val="21"/>
          <w:szCs w:val="21"/>
          <w:color w:val="auto"/>
        </w:rPr>
      </w:pPr>
    </w:p>
    <w:p>
      <w:pPr>
        <w:jc w:val="both"/>
        <w:ind w:left="1240" w:firstLine="624"/>
        <w:spacing w:after="0" w:line="251" w:lineRule="auto"/>
        <w:tabs>
          <w:tab w:leader="none" w:pos="2332" w:val="left"/>
        </w:tabs>
        <w:numPr>
          <w:ilvl w:val="2"/>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and any Lender that is a “United States person” within the meaning of Section 7701(a)(30) of the Code shall deliver to the Company and the Administrative Agent (in such number of copies as shall be requested by the recipient), on or before the date it becomes a party to this Agreement, executed originals of Internal Revenue Service Form W-9, or any subsequent versions thereof or successors thereto, or such other documentation or information prescribed by applicable Laws or reasonably requested by the Company or the Administrative Agent as will enable such Borrower or the Administrative Agent, as the case may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48" w:name="page149"/>
    <w:bookmarkEnd w:id="148"/>
    <w:p>
      <w:pPr>
        <w:ind w:left="1240"/>
        <w:spacing w:after="0"/>
        <w:rPr>
          <w:sz w:val="20"/>
          <w:szCs w:val="20"/>
          <w:color w:val="auto"/>
        </w:rPr>
      </w:pPr>
      <w:r>
        <w:rPr>
          <w:rFonts w:ascii="Times New Roman" w:cs="Times New Roman" w:eastAsia="Times New Roman" w:hAnsi="Times New Roman"/>
          <w:sz w:val="21"/>
          <w:szCs w:val="21"/>
          <w:color w:val="auto"/>
        </w:rPr>
        <w:t>be, to determine whether or not such Lender is subject to backup withholding or information reporting requirements; and</w:t>
      </w:r>
    </w:p>
    <w:p>
      <w:pPr>
        <w:spacing w:after="0" w:line="211" w:lineRule="exact"/>
        <w:rPr>
          <w:sz w:val="20"/>
          <w:szCs w:val="20"/>
          <w:color w:val="auto"/>
        </w:rPr>
      </w:pPr>
    </w:p>
    <w:p>
      <w:pPr>
        <w:jc w:val="both"/>
        <w:ind w:left="1240" w:firstLine="624"/>
        <w:spacing w:after="0" w:line="251" w:lineRule="auto"/>
        <w:tabs>
          <w:tab w:leader="none" w:pos="245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Foreign Lender that is entitled under the Code or any applicable treaty to an exemption from or reduction of withholding Tax with respect to payments hereunder or under any other Loan Document shall deliver to the Company and the Administrative Agent (in such number of copies as shall be requested by the recipient) on or prior to the date on which such Foreign Lender becomes a Lender under this Agreement (and from time to time thereafter upon the request of the Company on behalf of any Borrower or the Administrative Agent, but only if such Foreign Lender is legally entitled to do so), whichever of the following is applicable:</w:t>
      </w:r>
    </w:p>
    <w:p>
      <w:pPr>
        <w:spacing w:after="0" w:line="177" w:lineRule="exact"/>
        <w:rPr>
          <w:rFonts w:ascii="Times New Roman" w:cs="Times New Roman" w:eastAsia="Times New Roman" w:hAnsi="Times New Roman"/>
          <w:sz w:val="21"/>
          <w:szCs w:val="21"/>
          <w:color w:val="auto"/>
        </w:rPr>
      </w:pPr>
    </w:p>
    <w:p>
      <w:pPr>
        <w:jc w:val="both"/>
        <w:ind w:left="1860" w:firstLine="637"/>
        <w:spacing w:after="0" w:line="257" w:lineRule="auto"/>
        <w:tabs>
          <w:tab w:leader="none" w:pos="2937"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originals of Internal Revenue Service Form W-8BEN-E (or W-8BEN, as applicable), or any subsequent versions thereof or successors thereto, claiming eligibility for benefits of an income tax treaty to which the United States is a party,</w:t>
      </w:r>
    </w:p>
    <w:p>
      <w:pPr>
        <w:spacing w:after="0" w:line="167" w:lineRule="exact"/>
        <w:rPr>
          <w:sz w:val="20"/>
          <w:szCs w:val="20"/>
          <w:color w:val="auto"/>
        </w:rPr>
      </w:pPr>
    </w:p>
    <w:p>
      <w:pPr>
        <w:ind w:left="1860" w:firstLine="624"/>
        <w:spacing w:after="0" w:line="270" w:lineRule="auto"/>
        <w:tabs>
          <w:tab w:leader="none" w:pos="2996"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originals of Internal Revenue Service Form W-8ECI, or any subsequent versions thereof or successors thereto,</w:t>
      </w:r>
    </w:p>
    <w:p>
      <w:pPr>
        <w:spacing w:after="0" w:line="154" w:lineRule="exact"/>
        <w:rPr>
          <w:sz w:val="20"/>
          <w:szCs w:val="20"/>
          <w:color w:val="auto"/>
        </w:rPr>
      </w:pPr>
    </w:p>
    <w:p>
      <w:pPr>
        <w:ind w:left="1860" w:firstLine="624"/>
        <w:spacing w:after="0" w:line="270" w:lineRule="auto"/>
        <w:tabs>
          <w:tab w:leader="none" w:pos="3037"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originals of Internal Revenue Service Form W-8IMY, or any subsequent versions thereof or successors thereto, and all required supporting documentation,</w:t>
      </w:r>
    </w:p>
    <w:p>
      <w:pPr>
        <w:spacing w:after="0" w:line="154" w:lineRule="exact"/>
        <w:rPr>
          <w:sz w:val="20"/>
          <w:szCs w:val="20"/>
          <w:color w:val="auto"/>
        </w:rPr>
      </w:pPr>
    </w:p>
    <w:p>
      <w:pPr>
        <w:jc w:val="both"/>
        <w:ind w:left="1860" w:firstLine="620"/>
        <w:spacing w:after="0" w:line="248" w:lineRule="auto"/>
        <w:rPr>
          <w:sz w:val="20"/>
          <w:szCs w:val="20"/>
          <w:color w:val="auto"/>
        </w:rPr>
      </w:pPr>
      <w:r>
        <w:rPr>
          <w:rFonts w:ascii="Times New Roman" w:cs="Times New Roman" w:eastAsia="Times New Roman" w:hAnsi="Times New Roman"/>
          <w:sz w:val="21"/>
          <w:szCs w:val="21"/>
          <w:color w:val="auto"/>
        </w:rPr>
        <w:t xml:space="preserve">(IV)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1"/>
          <w:szCs w:val="21"/>
          <w:u w:val="single" w:color="auto"/>
          <w:color w:val="auto"/>
        </w:rPr>
        <w:t>Exhibit F-1</w:t>
      </w:r>
      <w:r>
        <w:rPr>
          <w:rFonts w:ascii="Times New Roman" w:cs="Times New Roman" w:eastAsia="Times New Roman" w:hAnsi="Times New Roman"/>
          <w:sz w:val="21"/>
          <w:szCs w:val="21"/>
          <w:color w:val="auto"/>
        </w:rPr>
        <w:t xml:space="preserve"> to the effect that such Foreign Lender is not (A) a “bank” within the meaning of section 881(c)(3)(A) of the Code, (B) a “10 percent shareholder” of such Borrower within the meaning of section 881(c)(3)(B) of the Code, or (C) a “controlled foreign corporation” described in section 881(c)(3)(C) of the Code (a “</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and (y) executed originals of Internal Revenue Service Form W-8BEN-E (or W-8BEN, as applicable), or any subsequent versions thereof or successors thereto, or</w:t>
      </w:r>
    </w:p>
    <w:p>
      <w:pPr>
        <w:spacing w:after="0" w:line="178" w:lineRule="exact"/>
        <w:rPr>
          <w:sz w:val="20"/>
          <w:szCs w:val="20"/>
          <w:color w:val="auto"/>
        </w:rPr>
      </w:pPr>
    </w:p>
    <w:p>
      <w:pPr>
        <w:jc w:val="both"/>
        <w:ind w:left="1860" w:firstLine="624"/>
        <w:spacing w:after="0" w:line="247" w:lineRule="auto"/>
        <w:tabs>
          <w:tab w:leader="none" w:pos="3051"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191919"/>
        </w:rPr>
        <w:t>to the extent a Foreign Lender is not the beneficial owner with respect to an interest in any Loan, executed originals of Internal Revenue Service Form W-8IMY, accompanied by Internal Revenue Service Form W-8ECI, Internal Revenue Service Form W-8BEN</w:t>
      </w:r>
      <w:r>
        <w:rPr>
          <w:rFonts w:ascii="Times New Roman" w:cs="Times New Roman" w:eastAsia="Times New Roman" w:hAnsi="Times New Roman"/>
          <w:sz w:val="21"/>
          <w:szCs w:val="21"/>
          <w:color w:val="000000"/>
        </w:rPr>
        <w:t>-E (or W-8BEN, as applicable)</w:t>
      </w:r>
      <w:r>
        <w:rPr>
          <w:rFonts w:ascii="Times New Roman" w:cs="Times New Roman" w:eastAsia="Times New Roman" w:hAnsi="Times New Roman"/>
          <w:sz w:val="21"/>
          <w:szCs w:val="21"/>
          <w:color w:val="191919"/>
        </w:rPr>
        <w:t xml:space="preserve">, a U.S. Tax Compliance Certificate substantially in the form of </w:t>
      </w:r>
      <w:r>
        <w:rPr>
          <w:rFonts w:ascii="Times New Roman" w:cs="Times New Roman" w:eastAsia="Times New Roman" w:hAnsi="Times New Roman"/>
          <w:sz w:val="21"/>
          <w:szCs w:val="21"/>
          <w:u w:val="single" w:color="auto"/>
          <w:color w:val="191919"/>
        </w:rPr>
        <w:t>Exhibit F-2</w:t>
      </w:r>
      <w:r>
        <w:rPr>
          <w:rFonts w:ascii="Times New Roman" w:cs="Times New Roman" w:eastAsia="Times New Roman" w:hAnsi="Times New Roman"/>
          <w:sz w:val="21"/>
          <w:szCs w:val="21"/>
          <w:color w:val="191919"/>
        </w:rPr>
        <w:t xml:space="preserve"> or </w:t>
      </w:r>
      <w:r>
        <w:rPr>
          <w:rFonts w:ascii="Times New Roman" w:cs="Times New Roman" w:eastAsia="Times New Roman" w:hAnsi="Times New Roman"/>
          <w:sz w:val="21"/>
          <w:szCs w:val="21"/>
          <w:u w:val="single" w:color="auto"/>
          <w:color w:val="191919"/>
        </w:rPr>
        <w:t>Exhibit F-3</w:t>
      </w:r>
      <w:r>
        <w:rPr>
          <w:rFonts w:ascii="Times New Roman" w:cs="Times New Roman" w:eastAsia="Times New Roman" w:hAnsi="Times New Roman"/>
          <w:sz w:val="21"/>
          <w:szCs w:val="21"/>
          <w:color w:val="191919"/>
        </w:rPr>
        <w:t xml:space="preserve">, Internal Revenue Service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1"/>
          <w:szCs w:val="21"/>
          <w:u w:val="single" w:color="auto"/>
          <w:color w:val="191919"/>
        </w:rPr>
        <w:t>Exhibit F-4</w:t>
      </w:r>
      <w:r>
        <w:rPr>
          <w:rFonts w:ascii="Times New Roman" w:cs="Times New Roman" w:eastAsia="Times New Roman" w:hAnsi="Times New Roman"/>
          <w:sz w:val="21"/>
          <w:szCs w:val="21"/>
          <w:color w:val="191919"/>
        </w:rPr>
        <w:t xml:space="preserve"> on behalf of each such direct and indirect partner</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49" w:name="page150"/>
    <w:bookmarkEnd w:id="149"/>
    <w:p>
      <w:pPr>
        <w:jc w:val="both"/>
        <w:ind w:left="1240" w:firstLine="624"/>
        <w:spacing w:after="0" w:line="250" w:lineRule="auto"/>
        <w:tabs>
          <w:tab w:leader="none" w:pos="2450"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on behalf of any Borrower or the Administrative Agent) executed originals of any other form prescribed by applicable Laws as a basis for claiming exemption from or a reduction in United States Federal withholding tax together with such supplementary documentation as may be prescribed by applicable Laws to permit such Borrower or the Administrative Agent to determine the withholding or deduction required to be made.</w:t>
      </w:r>
    </w:p>
    <w:p>
      <w:pPr>
        <w:spacing w:after="0" w:line="177" w:lineRule="exact"/>
        <w:rPr>
          <w:rFonts w:ascii="Times New Roman" w:cs="Times New Roman" w:eastAsia="Times New Roman" w:hAnsi="Times New Roman"/>
          <w:sz w:val="21"/>
          <w:szCs w:val="21"/>
          <w:color w:val="auto"/>
        </w:rPr>
      </w:pPr>
    </w:p>
    <w:p>
      <w:pPr>
        <w:jc w:val="both"/>
        <w:ind w:left="620" w:firstLine="624"/>
        <w:spacing w:after="0" w:line="250" w:lineRule="auto"/>
        <w:tabs>
          <w:tab w:leader="none" w:pos="1753"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and each Lender shall promptly (A) notify the Company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any Borrower or the Administrative Agent make any withholding or deduction for Taxes from amounts payable to such Lender.</w:t>
      </w:r>
    </w:p>
    <w:p>
      <w:pPr>
        <w:spacing w:after="0" w:line="176" w:lineRule="exact"/>
        <w:rPr>
          <w:rFonts w:ascii="Times New Roman" w:cs="Times New Roman" w:eastAsia="Times New Roman" w:hAnsi="Times New Roman"/>
          <w:sz w:val="21"/>
          <w:szCs w:val="21"/>
          <w:color w:val="auto"/>
        </w:rPr>
      </w:pPr>
    </w:p>
    <w:p>
      <w:pPr>
        <w:jc w:val="both"/>
        <w:ind w:left="620" w:firstLine="624"/>
        <w:spacing w:after="0" w:line="260" w:lineRule="auto"/>
        <w:tabs>
          <w:tab w:leader="none" w:pos="174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made pursuant to this Agreement to any Lender, the L/C Issuer or any other recipient of any payment to be made by or on account of any obligation under this Agreement would be subject to U.S. Federal withholding Tax imposed by FATCA if such recipient were to fail to comply with the applicable reporting requirements of FATCA (including those contained in Section 1471(b) or 1472(b) of the Code, as applicable), each such Lender, the L/C Issuer or other recipient shall deliver to the Company and the Administrative Agent at the time or times prescribed by applicable Laws and at such time or times reasonably requested by the Company or the Administrative Agent such documentation prescribed by applicable Laws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recipient has complied with such recipient’s obligations under FATCA or to determine the amount to deduct and withhold from such payment. 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“Law” shall include FATCA, and, solely for purposes of this clause (iv), “FATCA” shall include any amendments made to FATCA after the date of this Agreement.</w:t>
      </w:r>
    </w:p>
    <w:p>
      <w:pPr>
        <w:spacing w:after="0" w:line="166" w:lineRule="exact"/>
        <w:rPr>
          <w:sz w:val="20"/>
          <w:szCs w:val="20"/>
          <w:color w:val="auto"/>
        </w:rPr>
      </w:pPr>
    </w:p>
    <w:p>
      <w:pPr>
        <w:jc w:val="both"/>
        <w:ind w:left="620" w:firstLine="620"/>
        <w:spacing w:after="0" w:line="252" w:lineRule="auto"/>
        <w:rPr>
          <w:sz w:val="20"/>
          <w:szCs w:val="20"/>
          <w:color w:val="auto"/>
        </w:rPr>
      </w:pPr>
      <w:r>
        <w:rPr>
          <w:rFonts w:ascii="Times New Roman" w:cs="Times New Roman" w:eastAsia="Times New Roman" w:hAnsi="Times New Roman"/>
          <w:sz w:val="21"/>
          <w:szCs w:val="21"/>
          <w:color w:val="auto"/>
        </w:rPr>
        <w:t>Each Lender, the L/C Issuer and any other recipient of any payment to be made by or on account of any obligation under this Agreement agrees that if any form or certification it previously delivered expires or becomes obsolete or inaccurate in any respect, it shall update and deliver to the Company and Administrative Agent such form or certification or promptly notify the Company and the Administrative Agent in writing of its legal inability to do so.</w:t>
      </w:r>
    </w:p>
    <w:p>
      <w:pPr>
        <w:spacing w:after="0" w:line="174" w:lineRule="exact"/>
        <w:rPr>
          <w:sz w:val="20"/>
          <w:szCs w:val="20"/>
          <w:color w:val="auto"/>
        </w:rPr>
      </w:pPr>
    </w:p>
    <w:p>
      <w:pPr>
        <w:jc w:val="both"/>
        <w:ind w:firstLine="624"/>
        <w:spacing w:after="0" w:line="263" w:lineRule="auto"/>
        <w:tabs>
          <w:tab w:leader="none" w:pos="1102"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Refunds</w:t>
      </w:r>
      <w:r>
        <w:rPr>
          <w:rFonts w:ascii="Times New Roman" w:cs="Times New Roman" w:eastAsia="Times New Roman" w:hAnsi="Times New Roman"/>
          <w:sz w:val="21"/>
          <w:szCs w:val="21"/>
          <w:color w:val="auto"/>
        </w:rPr>
        <w:t>.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50" w:name="page151"/>
    <w:bookmarkEnd w:id="150"/>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may be. If the Administrative Agent, any Lender or the L/C Issuer determines, in its sole discretion </w:t>
      </w:r>
      <w:r>
        <w:rPr>
          <w:rFonts w:ascii="Times New Roman" w:cs="Times New Roman" w:eastAsia="Times New Roman" w:hAnsi="Times New Roman"/>
          <w:sz w:val="21"/>
          <w:szCs w:val="21"/>
          <w:color w:val="191919"/>
        </w:rPr>
        <w:t>exercised in good faith</w:t>
      </w:r>
      <w:r>
        <w:rPr>
          <w:rFonts w:ascii="Times New Roman" w:cs="Times New Roman" w:eastAsia="Times New Roman" w:hAnsi="Times New Roman"/>
          <w:sz w:val="21"/>
          <w:szCs w:val="21"/>
          <w:color w:val="auto"/>
        </w:rPr>
        <w:t xml:space="preserve">, that it has received a refund of any Taxes or Other Taxes as to which it has been indemnified by any Borrower or with respect to which any Borrower has paid additional amounts pursuant to this Section, it shall pay to such Borrower an amount equal to such refund (but only to the extent of indemnity payments made, or additional amounts paid, by such Borrower under this Section with respect to the Taxes or Other Taxes giving rise to such refund), net of all out-of-pocket expenses incurred by the Administrative Agent, such Lender or the L/C Issuer, as the case may be, and without interest (other than any interest paid by the relevant Governmental Authority with respect to such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Borrower, upon the request of the Administrative Agent, such Lender or the L/C Issuer, agrees to repay the amount paid over to such Borrower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Notwithstanding anything to the contrary in this subsection, in no event will the Administrative Agent, any Lender or the L/C Issuer be required to pay any amount to any Borrower pursuant to this subsection the payment of which would place Administrative Agent, any Lender or the L/C Issuer in a less favorable net after-Tax position than such Person would have been in if the indemnification payments or additional amounts giving rise to such refund had never been paid. This subsection (f) shall not be construed to require the Administrative Agent, any Lender or the L/C Issuer to make available its Tax returns (or any other information relating to its Taxes that it deems confidential) to any Borrower or any other Person.</w:t>
      </w:r>
    </w:p>
    <w:p>
      <w:pPr>
        <w:spacing w:after="0" w:line="191" w:lineRule="exact"/>
        <w:rPr>
          <w:sz w:val="20"/>
          <w:szCs w:val="20"/>
          <w:color w:val="auto"/>
        </w:rPr>
      </w:pPr>
    </w:p>
    <w:p>
      <w:pPr>
        <w:jc w:val="both"/>
        <w:ind w:firstLine="624"/>
        <w:spacing w:after="0" w:line="263" w:lineRule="auto"/>
        <w:tabs>
          <w:tab w:leader="none" w:pos="1111"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of Section 3.01</w:t>
      </w:r>
      <w:r>
        <w:rPr>
          <w:rFonts w:ascii="Times New Roman" w:cs="Times New Roman" w:eastAsia="Times New Roman" w:hAnsi="Times New Roman"/>
          <w:sz w:val="21"/>
          <w:szCs w:val="21"/>
          <w:color w:val="auto"/>
        </w:rPr>
        <w:t xml:space="preserve">. The agreements in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shall survive the resignation and/or the replacement of the Administrative Agent, and any assignment of its rights by, or the replacement of a Lender or the L/C Issuer, the termination of the Aggregate Commitments, and the repayment, satisfaction or discharge of all other Obligations.</w:t>
      </w:r>
    </w:p>
    <w:p>
      <w:pPr>
        <w:spacing w:after="0" w:line="162" w:lineRule="exact"/>
        <w:rPr>
          <w:rFonts w:ascii="Times New Roman" w:cs="Times New Roman" w:eastAsia="Times New Roman" w:hAnsi="Times New Roman"/>
          <w:sz w:val="21"/>
          <w:szCs w:val="21"/>
          <w:color w:val="auto"/>
        </w:rPr>
      </w:pPr>
    </w:p>
    <w:p>
      <w:pPr>
        <w:jc w:val="both"/>
        <w:ind w:firstLine="624"/>
        <w:spacing w:after="0" w:line="263" w:lineRule="auto"/>
        <w:tabs>
          <w:tab w:leader="none" w:pos="1072"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FATCA Matters</w:t>
      </w:r>
      <w:r>
        <w:rPr>
          <w:rFonts w:ascii="Times New Roman" w:cs="Times New Roman" w:eastAsia="Times New Roman" w:hAnsi="Times New Roman"/>
          <w:sz w:val="21"/>
          <w:szCs w:val="21"/>
          <w:color w:val="auto"/>
        </w:rPr>
        <w:t>. For the avoidance of doubt, for purposes of determining withholding Taxes imposed under FATCA, the Administrative Agent shall treat (and the Lenders hereby authorize the Administrative Agent to treat) this Agreement as not qualifying as a “grandfathered obligation” within the meaning of Treasury Regulation Section 1.1471-2(b)(2)(i).</w:t>
      </w:r>
    </w:p>
    <w:p>
      <w:pPr>
        <w:spacing w:after="0" w:line="158"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3.02 Illegality. </w:t>
      </w:r>
      <w:r>
        <w:rPr>
          <w:rFonts w:ascii="Times New Roman" w:cs="Times New Roman" w:eastAsia="Times New Roman" w:hAnsi="Times New Roman"/>
          <w:sz w:val="21"/>
          <w:szCs w:val="21"/>
          <w:color w:val="auto"/>
        </w:rPr>
        <w:t>If any Lender reasonably determines that any Law has made it unlawful, or that any Governmental Authority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asserted that it is unlawful, for any Lender or its applicable Lending Office to perform any of its obligations hereunder or make, maintain or fund Loans or charge interest with respect to any Credit Extension, or to determine or charge interest rates based upon the Eurocurrency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issue, make, maintain, fund or charge interest with respect to any such Credit Extension or to make or continue Eurocurrency Rate Loans in the affected currency or currencies or, in the case of Eurocurrency Rate Loans in Dollars, to convert Base Rate Committed (USD)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51" w:name="page152"/>
    <w:bookmarkEnd w:id="151"/>
    <w:p>
      <w:pPr>
        <w:jc w:val="both"/>
        <w:spacing w:after="0" w:line="246" w:lineRule="auto"/>
        <w:rPr>
          <w:sz w:val="20"/>
          <w:szCs w:val="20"/>
          <w:color w:val="auto"/>
        </w:rPr>
      </w:pPr>
      <w:r>
        <w:rPr>
          <w:rFonts w:ascii="Times New Roman" w:cs="Times New Roman" w:eastAsia="Times New Roman" w:hAnsi="Times New Roman"/>
          <w:sz w:val="21"/>
          <w:szCs w:val="21"/>
          <w:color w:val="auto"/>
        </w:rPr>
        <w:t>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or, if applicable and such Loans are denominated in Dollars, convert all such Eurocurrency Rate Loans of such Lender to Base Rate Loans (the interest rate on which Base Rate Loans of such Lender shall, if necessary to avoid such illegality, be determined by the Administrative Agent without 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176"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3.03</w:t>
      </w:r>
      <w:r>
        <w:rPr>
          <w:sz w:val="20"/>
          <w:szCs w:val="20"/>
          <w:color w:val="auto"/>
        </w:rPr>
        <w:tab/>
      </w:r>
      <w:r>
        <w:rPr>
          <w:rFonts w:ascii="Times New Roman" w:cs="Times New Roman" w:eastAsia="Times New Roman" w:hAnsi="Times New Roman"/>
          <w:sz w:val="20"/>
          <w:szCs w:val="20"/>
          <w:b w:val="1"/>
          <w:bCs w:val="1"/>
          <w:color w:val="auto"/>
        </w:rPr>
        <w:t>Inability to Determine Rates.</w:t>
      </w:r>
    </w:p>
    <w:p>
      <w:pPr>
        <w:spacing w:after="0" w:line="228" w:lineRule="exact"/>
        <w:rPr>
          <w:sz w:val="20"/>
          <w:szCs w:val="20"/>
          <w:color w:val="auto"/>
        </w:rPr>
      </w:pPr>
    </w:p>
    <w:p>
      <w:pPr>
        <w:jc w:val="both"/>
        <w:ind w:firstLine="624"/>
        <w:spacing w:after="0" w:line="259" w:lineRule="auto"/>
        <w:tabs>
          <w:tab w:leader="none" w:pos="1215"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Eurocurrency Rate Loan or a conversion to or continuation thereof (i) the Administrative Agent reasonably determines that (A) deposits (whether in Dollars or an Alternative Currency) are not being offered to banks in the applicable offshore interbank market for such currency for the applicable amount and Interest Period of such Eurocurrency Rate Loan or (B) (x) adequate and reasonable means do not exist for determining the Eurocurrency Rate for any requested Interest Period with respect to a proposed Eurocurrency Rate Loan (whether denominated in Dollars or an Alternative Currency) or in connection with an existing or proposed Base Rate Loan and (y) the circumstances described in </w:t>
      </w:r>
      <w:r>
        <w:rPr>
          <w:rFonts w:ascii="Times New Roman" w:cs="Times New Roman" w:eastAsia="Times New Roman" w:hAnsi="Times New Roman"/>
          <w:sz w:val="20"/>
          <w:szCs w:val="20"/>
          <w:u w:val="single" w:color="auto"/>
          <w:color w:val="auto"/>
        </w:rPr>
        <w:t>Section 3.03(c)(i)</w:t>
      </w:r>
      <w:r>
        <w:rPr>
          <w:rFonts w:ascii="Times New Roman" w:cs="Times New Roman" w:eastAsia="Times New Roman" w:hAnsi="Times New Roman"/>
          <w:sz w:val="20"/>
          <w:szCs w:val="20"/>
          <w:color w:val="auto"/>
        </w:rPr>
        <w:t xml:space="preserve"> do not apply </w:t>
      </w:r>
      <w:r>
        <w:rPr>
          <w:rFonts w:ascii="Times New Roman" w:cs="Times New Roman" w:eastAsia="Times New Roman" w:hAnsi="Times New Roman"/>
          <w:sz w:val="20"/>
          <w:szCs w:val="20"/>
          <w:color w:val="191919"/>
        </w:rPr>
        <w:t>(in each case with respect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91919"/>
        </w:rPr>
        <w:t>to this clause (i), “</w:t>
      </w:r>
      <w:r>
        <w:rPr>
          <w:rFonts w:ascii="Times New Roman" w:cs="Times New Roman" w:eastAsia="Times New Roman" w:hAnsi="Times New Roman"/>
          <w:sz w:val="20"/>
          <w:szCs w:val="20"/>
          <w:u w:val="single" w:color="auto"/>
          <w:color w:val="191919"/>
        </w:rPr>
        <w:t>Impacted Loans</w:t>
      </w:r>
      <w:r>
        <w:rPr>
          <w:rFonts w:ascii="Times New Roman" w:cs="Times New Roman" w:eastAsia="Times New Roman" w:hAnsi="Times New Roman"/>
          <w:sz w:val="20"/>
          <w:szCs w:val="20"/>
          <w:color w:val="191919"/>
        </w:rPr>
        <w:t>”)</w:t>
      </w:r>
      <w:r>
        <w:rPr>
          <w:rFonts w:ascii="Times New Roman" w:cs="Times New Roman" w:eastAsia="Times New Roman" w:hAnsi="Times New Roman"/>
          <w:sz w:val="20"/>
          <w:szCs w:val="20"/>
          <w:color w:val="000000"/>
        </w:rPr>
        <w:t>, or (ii) the Administrative Agent or the Required (USD) Lenders, in the case of the Committed</w:t>
      </w:r>
      <w:r>
        <w:rPr>
          <w:rFonts w:ascii="Times New Roman" w:cs="Times New Roman" w:eastAsia="Times New Roman" w:hAnsi="Times New Roman"/>
          <w:sz w:val="20"/>
          <w:szCs w:val="20"/>
          <w:color w:val="191919"/>
        </w:rPr>
        <w:t xml:space="preserve"> </w:t>
      </w:r>
      <w:r>
        <w:rPr>
          <w:rFonts w:ascii="Times New Roman" w:cs="Times New Roman" w:eastAsia="Times New Roman" w:hAnsi="Times New Roman"/>
          <w:sz w:val="20"/>
          <w:szCs w:val="20"/>
          <w:color w:val="000000"/>
        </w:rPr>
        <w:t xml:space="preserve">(USD) Facility, the Required (MC) Lenders, in the case of the Committed (MC) Facility, or the Required Term Loan Lenders, in the case of the Term Loan Facility, reasonably determine that for any reason the Eurocurrency Rate for any requested Interest Period with respect to a proposed Eurocurrency Rate Loan does not adequately and fairly reflect the cost to such Lenders of funding such Eurocurrency Rate Loan, the Administrative Agent will promptly so notify the Company and each Lender. Thereafter, (x) the obligation of the Lenders under the appropriate Facility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Required (USD) Lenders, Required (MC) Lenders or Required Term Loan Lenders, as the case may be, described in </w:t>
      </w:r>
      <w:r>
        <w:rPr>
          <w:rFonts w:ascii="Times New Roman" w:cs="Times New Roman" w:eastAsia="Times New Roman" w:hAnsi="Times New Roman"/>
          <w:sz w:val="20"/>
          <w:szCs w:val="20"/>
          <w:u w:val="single" w:color="auto"/>
          <w:color w:val="000000"/>
        </w:rPr>
        <w:t>clause (ii)</w:t>
      </w:r>
      <w:r>
        <w:rPr>
          <w:rFonts w:ascii="Times New Roman" w:cs="Times New Roman" w:eastAsia="Times New Roman" w:hAnsi="Times New Roman"/>
          <w:sz w:val="20"/>
          <w:szCs w:val="20"/>
          <w:color w:val="000000"/>
        </w:rPr>
        <w:t xml:space="preserve"> of this </w:t>
      </w:r>
      <w:r>
        <w:rPr>
          <w:rFonts w:ascii="Times New Roman" w:cs="Times New Roman" w:eastAsia="Times New Roman" w:hAnsi="Times New Roman"/>
          <w:sz w:val="20"/>
          <w:szCs w:val="20"/>
          <w:u w:val="single" w:color="auto"/>
          <w:color w:val="000000"/>
        </w:rPr>
        <w:t>Section 3.03(a)</w:t>
      </w:r>
      <w:r>
        <w:rPr>
          <w:rFonts w:ascii="Times New Roman" w:cs="Times New Roman" w:eastAsia="Times New Roman" w:hAnsi="Times New Roman"/>
          <w:sz w:val="20"/>
          <w:szCs w:val="20"/>
          <w:color w:val="000000"/>
        </w:rPr>
        <w:t>, until the Administrative Agent upon instruction of the Required (USD) Lenders, Required (MC) Lenders or Required Term Loan Lenders, as the case may be) revokes such notice. Upon receipt of such notice, the Company may revoke any pending request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52" w:name="page153"/>
    <w:bookmarkEnd w:id="152"/>
    <w:p>
      <w:pPr>
        <w:jc w:val="both"/>
        <w:spacing w:after="0" w:line="276" w:lineRule="auto"/>
        <w:rPr>
          <w:sz w:val="20"/>
          <w:szCs w:val="20"/>
          <w:color w:val="auto"/>
        </w:rPr>
      </w:pPr>
      <w:r>
        <w:rPr>
          <w:rFonts w:ascii="Times New Roman" w:cs="Times New Roman" w:eastAsia="Times New Roman" w:hAnsi="Times New Roman"/>
          <w:sz w:val="20"/>
          <w:szCs w:val="20"/>
          <w:color w:val="auto"/>
        </w:rPr>
        <w:t>for a Borrowing of, conversion to or continuation of Eurocurrency Rate Loans in the affected currency or currencies (to the extent of the affected Eurocurrency Rate Loans or Interest Periods) under the appropriate Facility or, failing that, will be deemed to have converted such request into a request for a Borrowing of Base Rate Loans under the appropriate Facility in the amount specified therein.</w:t>
      </w:r>
    </w:p>
    <w:p>
      <w:pPr>
        <w:spacing w:after="0" w:line="150" w:lineRule="exact"/>
        <w:rPr>
          <w:sz w:val="20"/>
          <w:szCs w:val="20"/>
          <w:color w:val="auto"/>
        </w:rPr>
      </w:pPr>
    </w:p>
    <w:p>
      <w:pPr>
        <w:jc w:val="both"/>
        <w:ind w:firstLine="624"/>
        <w:spacing w:after="0" w:line="247" w:lineRule="auto"/>
        <w:tabs>
          <w:tab w:leader="none" w:pos="109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if the Administrative Agent has made the determination described in clause (i)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3.03(a)</w:t>
      </w:r>
      <w:r>
        <w:rPr>
          <w:rFonts w:ascii="Times New Roman" w:cs="Times New Roman" w:eastAsia="Times New Roman" w:hAnsi="Times New Roman"/>
          <w:sz w:val="21"/>
          <w:szCs w:val="21"/>
          <w:color w:val="auto"/>
        </w:rPr>
        <w:t xml:space="preserve">, the Administrative Agent, in consultation with the Borrowers and the affected Lenders,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3.03(a)</w:t>
      </w:r>
      <w:r>
        <w:rPr>
          <w:rFonts w:ascii="Times New Roman" w:cs="Times New Roman" w:eastAsia="Times New Roman" w:hAnsi="Times New Roman"/>
          <w:sz w:val="21"/>
          <w:szCs w:val="21"/>
          <w:color w:val="auto"/>
        </w:rPr>
        <w:t>, (ii) the Administrative Agent or the Required (USD) Lenders, in the case of the Committed (USD) Facility, the Required (MC) Lenders, in the case of the Committed (MC) Facility, or the Required Term Loan Lenders, in the case of the Term Loan Facility, notify the Administrative Agent and the Company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183" w:lineRule="exact"/>
        <w:rPr>
          <w:rFonts w:ascii="Times New Roman" w:cs="Times New Roman" w:eastAsia="Times New Roman" w:hAnsi="Times New Roman"/>
          <w:sz w:val="21"/>
          <w:szCs w:val="21"/>
          <w:color w:val="auto"/>
        </w:rPr>
      </w:pPr>
    </w:p>
    <w:p>
      <w:pPr>
        <w:jc w:val="both"/>
        <w:ind w:firstLine="624"/>
        <w:spacing w:after="0" w:line="257" w:lineRule="auto"/>
        <w:tabs>
          <w:tab w:leader="none" w:pos="1125"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or any other Loan Documents, if the Administrative Agent determines (which determination shall be conclusive absent manifest error), or the Borrowers or Required Lenders notify the Administrative Agent (with, in the case of the Required Lenders, a copy to the Company) that the Borrowers or Required Lenders (as applicable) have determined, that:</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711"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53" w:lineRule="auto"/>
        <w:tabs>
          <w:tab w:leader="none" w:pos="1665"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statement, there is no successor administrator that is satisfactory to the Administrative Agent, that will continue to provide LIBOR after such specific date (such specific date, the “</w:t>
      </w:r>
      <w:r>
        <w:rPr>
          <w:rFonts w:ascii="Times New Roman" w:cs="Times New Roman" w:eastAsia="Times New Roman" w:hAnsi="Times New Roman"/>
          <w:sz w:val="21"/>
          <w:szCs w:val="21"/>
          <w:u w:val="single" w:color="auto"/>
          <w:color w:val="auto"/>
        </w:rPr>
        <w:t>Scheduled Unavailability Date</w:t>
      </w:r>
      <w:r>
        <w:rPr>
          <w:rFonts w:ascii="Times New Roman" w:cs="Times New Roman" w:eastAsia="Times New Roman" w:hAnsi="Times New Roman"/>
          <w:sz w:val="21"/>
          <w:szCs w:val="21"/>
          <w:color w:val="auto"/>
        </w:rPr>
        <w:t>”); or</w:t>
      </w:r>
    </w:p>
    <w:p>
      <w:pPr>
        <w:spacing w:after="0" w:line="174" w:lineRule="exact"/>
        <w:rPr>
          <w:rFonts w:ascii="Times New Roman" w:cs="Times New Roman" w:eastAsia="Times New Roman" w:hAnsi="Times New Roman"/>
          <w:sz w:val="21"/>
          <w:szCs w:val="21"/>
          <w:color w:val="auto"/>
        </w:rPr>
      </w:pPr>
    </w:p>
    <w:p>
      <w:pPr>
        <w:ind w:left="620" w:firstLine="624"/>
        <w:spacing w:after="0" w:line="283" w:lineRule="auto"/>
        <w:tabs>
          <w:tab w:leader="none" w:pos="1735"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syndicated loans currently being executed, or that include language similar to that contained in this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are being executed or amended (as applicable) to incorporate or adopt a new benchmark interest rate to replace LIBOR,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53" w:name="page154"/>
    <w:bookmarkEnd w:id="153"/>
    <w:p>
      <w:pPr>
        <w:jc w:val="both"/>
        <w:spacing w:after="0" w:line="241" w:lineRule="auto"/>
        <w:rPr>
          <w:sz w:val="20"/>
          <w:szCs w:val="20"/>
          <w:color w:val="auto"/>
        </w:rPr>
      </w:pPr>
      <w:r>
        <w:rPr>
          <w:rFonts w:ascii="Times New Roman" w:cs="Times New Roman" w:eastAsia="Times New Roman" w:hAnsi="Times New Roman"/>
          <w:sz w:val="21"/>
          <w:szCs w:val="21"/>
          <w:color w:val="auto"/>
        </w:rPr>
        <w:t>then, reasonably promptly after such determination by the Administrative Agent or receipt by the Administrative Agent of such notice, as applicable, the Administrative Agent and the Borrowers may amend this Agreement to replace LIBOR with (x) solely to the extent applicable to Borrowings in Dollars, one or more SOFR-Based Rates or (y) another alternate benchmark rate, giving due consideration to any evolving or then existing convention for similar U.S. dollar denominated syndicated credit facilities for such alternative benchmarks and, in each case, including any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(the “</w:t>
      </w:r>
      <w:r>
        <w:rPr>
          <w:rFonts w:ascii="Times New Roman" w:cs="Times New Roman" w:eastAsia="Times New Roman" w:hAnsi="Times New Roman"/>
          <w:sz w:val="21"/>
          <w:szCs w:val="21"/>
          <w:u w:val="single" w:color="auto"/>
          <w:color w:val="auto"/>
        </w:rPr>
        <w:t>Adjustment</w:t>
      </w:r>
      <w:r>
        <w:rPr>
          <w:rFonts w:ascii="Times New Roman" w:cs="Times New Roman" w:eastAsia="Times New Roman" w:hAnsi="Times New Roman"/>
          <w:sz w:val="21"/>
          <w:szCs w:val="21"/>
          <w:color w:val="auto"/>
        </w:rPr>
        <w:t>;” and any such proposed rate, a “</w:t>
      </w:r>
      <w:r>
        <w:rPr>
          <w:rFonts w:ascii="Times New Roman" w:cs="Times New Roman" w:eastAsia="Times New Roman" w:hAnsi="Times New Roman"/>
          <w:sz w:val="21"/>
          <w:szCs w:val="21"/>
          <w:u w:val="single" w:color="auto"/>
          <w:color w:val="auto"/>
        </w:rPr>
        <w:t>LIBOR Successor Rate</w:t>
      </w:r>
      <w:r>
        <w:rPr>
          <w:rFonts w:ascii="Times New Roman" w:cs="Times New Roman" w:eastAsia="Times New Roman" w:hAnsi="Times New Roman"/>
          <w:sz w:val="21"/>
          <w:szCs w:val="21"/>
          <w:color w:val="auto"/>
        </w:rPr>
        <w:t>”), and any such amendment shall become effective at 5:00 p.m. 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Business Day after the Administrative Agent shall have posted such proposed amendment to all Lenders and the Borrowers unless, prior to such time, Lenders comprising the Required Lenders have delivered to the Administrative Agent written notice that such Required Lenders (A) in the case of an amendment to replace LIBOR with a rate described in clause (x), object to the Adjustment; or (B) in the case of an amendment to replace LIBOR with a rate described in clause (y), object to such amendment;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avoidance of doubt, in the case of clause (A), the Required Lenders shall not be entitled to object to any SOFR-Based Rate contained in any such amendment. Such LIBOR Successor Rate shall be applied in a manner consistent with market practice;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market practice is not administratively feasible for the Administrative Agent, such LIBOR Successor Rate shall be applied in a manner as otherwise reasonably determined by the Administrative Agent.</w:t>
      </w:r>
    </w:p>
    <w:p>
      <w:pPr>
        <w:spacing w:after="0" w:line="188"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If no LIBOR Successor Rate has been determined and the circumstances under clause (i) above exist or the Scheduled Unavailability Date has occurred (as applicable), the Administrative Agent will promptly so notify the Company and each Lender. Thereafter, (x) the obligation of the Lenders to make or maintain Eurocurrency Rate Loans shall be suspended, (to the extent of the affected Eurocurrency Rate Loans or Interest Periods), and (y) the Eurocurrency Rate component shall no longer be utilized in determining the Base Rate. Upon receipt of such notice, the Borrowers may revoke any pending request for a Borrowing of, conversion to or continuation of Eurocurrency Rate Loans (to the extent of the affected Eurocurrency Rate Loans or Interest Periods) or, failing that, will be deemed to have converted such request into a request for a Borrowing of Base Rate Loans (subject to the foregoing clause (y)) in the amount specified therein.</w:t>
      </w:r>
    </w:p>
    <w:p>
      <w:pPr>
        <w:spacing w:after="0" w:line="18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Notwithstanding anything else herein, any definition of LIBOR Successor Rate shall provide that in no event shall such LIBOR Successor Rate be less than zero for purposes of this Agreement.</w:t>
      </w:r>
    </w:p>
    <w:p>
      <w:pPr>
        <w:spacing w:after="0" w:line="154"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In connection with the implementation of a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For purposes hereof:</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54" w:name="page155"/>
    <w:bookmarkEnd w:id="154"/>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LIBOR Successor Rate Conforming Changes</w:t>
      </w:r>
      <w:r>
        <w:rPr>
          <w:rFonts w:ascii="Times New Roman" w:cs="Times New Roman" w:eastAsia="Times New Roman" w:hAnsi="Times New Roman"/>
          <w:sz w:val="21"/>
          <w:szCs w:val="21"/>
          <w:color w:val="auto"/>
        </w:rPr>
        <w:t>”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discretion of the Administrative Agent,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is reasonably necessary in connection with the administration of this Agreement).</w:t>
      </w:r>
    </w:p>
    <w:p>
      <w:pPr>
        <w:spacing w:after="0" w:line="182"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16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SOFR-Based Rate</w:t>
      </w:r>
      <w:r>
        <w:rPr>
          <w:rFonts w:ascii="Times New Roman" w:cs="Times New Roman" w:eastAsia="Times New Roman" w:hAnsi="Times New Roman"/>
          <w:sz w:val="21"/>
          <w:szCs w:val="21"/>
          <w:color w:val="auto"/>
        </w:rPr>
        <w:t>” means SOFR or Term SOFR.</w:t>
      </w:r>
    </w:p>
    <w:p>
      <w:pPr>
        <w:spacing w:after="0" w:line="211"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w:t>
      </w:r>
      <w:r>
        <w:rPr>
          <w:rFonts w:ascii="Times New Roman" w:cs="Times New Roman" w:eastAsia="Times New Roman" w:hAnsi="Times New Roman"/>
          <w:sz w:val="21"/>
          <w:szCs w:val="21"/>
          <w:color w:val="auto"/>
        </w:rPr>
        <w:t>”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170"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3.04</w:t>
      </w:r>
      <w:r>
        <w:rPr>
          <w:sz w:val="20"/>
          <w:szCs w:val="20"/>
          <w:color w:val="auto"/>
        </w:rPr>
        <w:tab/>
      </w:r>
      <w:r>
        <w:rPr>
          <w:rFonts w:ascii="Times New Roman" w:cs="Times New Roman" w:eastAsia="Times New Roman" w:hAnsi="Times New Roman"/>
          <w:sz w:val="20"/>
          <w:szCs w:val="20"/>
          <w:b w:val="1"/>
          <w:bCs w:val="1"/>
          <w:color w:val="auto"/>
        </w:rPr>
        <w:t>Increased Costs; Reserves on Eurocurrency Rate Loans.</w:t>
      </w:r>
    </w:p>
    <w:p>
      <w:pPr>
        <w:spacing w:after="0" w:line="228" w:lineRule="exact"/>
        <w:rPr>
          <w:sz w:val="20"/>
          <w:szCs w:val="20"/>
          <w:color w:val="auto"/>
        </w:rPr>
      </w:pPr>
    </w:p>
    <w:p>
      <w:pPr>
        <w:ind w:left="1020" w:hanging="396"/>
        <w:spacing w:after="0"/>
        <w:tabs>
          <w:tab w:leader="none" w:pos="102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Increased Costs Generally</w:t>
      </w:r>
      <w:r>
        <w:rPr>
          <w:rFonts w:ascii="Times New Roman" w:cs="Times New Roman" w:eastAsia="Times New Roman" w:hAnsi="Times New Roman"/>
          <w:sz w:val="21"/>
          <w:szCs w:val="21"/>
          <w:color w:val="auto"/>
        </w:rPr>
        <w:t>. If any Change in Law shall:</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762"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 w:cs="Times New Roman" w:eastAsia="Times New Roman" w:hAnsi="Times New Roman"/>
          <w:sz w:val="21"/>
          <w:szCs w:val="21"/>
          <w:u w:val="single" w:color="auto"/>
          <w:color w:val="auto"/>
        </w:rPr>
        <w:t>Section 3.04(e)</w:t>
      </w:r>
      <w:r>
        <w:rPr>
          <w:rFonts w:ascii="Times New Roman" w:cs="Times New Roman" w:eastAsia="Times New Roman" w:hAnsi="Times New Roman"/>
          <w:sz w:val="21"/>
          <w:szCs w:val="21"/>
          <w:color w:val="auto"/>
        </w:rPr>
        <w:t>) or the L/C Issuer;</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53" w:lineRule="auto"/>
        <w:tabs>
          <w:tab w:leader="none" w:pos="1665"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any Lender or the L/C Issuer to any Tax of any kind whatsoever with respect to this Agreement, any Letter of Credit, any Bankers’ Acceptance, any participation in a Letter of Credit or Bankers’ Acceptance or any Eurocurrency Rate Loan made by it, or change the basis of taxation of payments to such Lender or the L/C Issuer in respect thereof (except for (A) Indemnified Taxes, (B) Taxes described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of the definition of Excluded Taxes and (C) Connection Income Taxes); or</w:t>
      </w:r>
    </w:p>
    <w:p>
      <w:pPr>
        <w:spacing w:after="0" w:line="174" w:lineRule="exact"/>
        <w:rPr>
          <w:rFonts w:ascii="Times New Roman" w:cs="Times New Roman" w:eastAsia="Times New Roman" w:hAnsi="Times New Roman"/>
          <w:sz w:val="21"/>
          <w:szCs w:val="21"/>
          <w:color w:val="auto"/>
        </w:rPr>
      </w:pPr>
    </w:p>
    <w:p>
      <w:pPr>
        <w:ind w:left="620" w:firstLine="624"/>
        <w:spacing w:after="0" w:line="283" w:lineRule="auto"/>
        <w:tabs>
          <w:tab w:leader="none" w:pos="1735"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or the L/C Issuer or the London interbank market any other condition, cost or expense (other than any Tax) affecting this Agreement or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55" w:name="page156"/>
    <w:bookmarkEnd w:id="155"/>
    <w:p>
      <w:pPr>
        <w:ind w:left="620"/>
        <w:spacing w:after="0"/>
        <w:rPr>
          <w:sz w:val="20"/>
          <w:szCs w:val="20"/>
          <w:color w:val="auto"/>
        </w:rPr>
      </w:pPr>
      <w:r>
        <w:rPr>
          <w:rFonts w:ascii="Times New Roman" w:cs="Times New Roman" w:eastAsia="Times New Roman" w:hAnsi="Times New Roman"/>
          <w:sz w:val="21"/>
          <w:szCs w:val="21"/>
          <w:color w:val="auto"/>
        </w:rPr>
        <w:t>Eurocurrency Rate Loans made by such Lender or any Letter of Credit or Bankers’ Acceptance or participation therein;</w:t>
      </w:r>
    </w:p>
    <w:p>
      <w:pPr>
        <w:spacing w:after="0" w:line="21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of making, converting to, continuing or maintaining any Loan (or of maintaining its obligation to make any Loan), or to increase the cost to such Lender or the L/C Issuer of participating in, issuing or maintaining any Letter of Credit or Bankers’ Acceptance (or of maintaining its obligation to participate in or to issue any Letter of Credit or Bankers’ Acceptance), or to reduce the amount of any sum received or receivable by such Lender or the L/C Issuer hereunder (whether of principal, interest or any other amount) then, upon request of such Lender or the L/C Issuer, the Company will pay (or cause the applicable Borrower to pay) to such Lender or the L/C Issuer, as the case may be, such additional amount or amounts as will compensate such Lender or the L/C Issuer, as the case may be, for such additional costs incurred or reduction suffered.</w:t>
      </w:r>
    </w:p>
    <w:p>
      <w:pPr>
        <w:spacing w:after="0" w:line="178" w:lineRule="exact"/>
        <w:rPr>
          <w:sz w:val="20"/>
          <w:szCs w:val="20"/>
          <w:color w:val="auto"/>
        </w:rPr>
      </w:pPr>
    </w:p>
    <w:p>
      <w:pPr>
        <w:jc w:val="both"/>
        <w:ind w:firstLine="624"/>
        <w:spacing w:after="0" w:line="247" w:lineRule="auto"/>
        <w:tabs>
          <w:tab w:leader="none" w:pos="1046"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Requirements</w:t>
      </w:r>
      <w:r>
        <w:rPr>
          <w:rFonts w:ascii="Times New Roman" w:cs="Times New Roman" w:eastAsia="Times New Roman" w:hAnsi="Times New Roman"/>
          <w:sz w:val="21"/>
          <w:szCs w:val="21"/>
          <w:color w:val="auto"/>
        </w:rPr>
        <w:t>. If any Lender or the L/C Issuer reasonably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Bankers’ Acceptances or Swing Line Loans held by, such Lender, or the Letters of Credit or Bankers’ Acceptances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and liquidity), then from time to time the Company will pay (or cause the applicable Borrower to pay) to such Lender or the L/C Issuer, as the case may be, such additional amount or amounts as will compensate such Lender or the L/C Issuer or such Lender’s or the L/C Issuer’s holding company for any such reduction suffered.</w:t>
      </w:r>
    </w:p>
    <w:p>
      <w:pPr>
        <w:spacing w:after="0" w:line="186" w:lineRule="exact"/>
        <w:rPr>
          <w:rFonts w:ascii="Times New Roman" w:cs="Times New Roman" w:eastAsia="Times New Roman" w:hAnsi="Times New Roman"/>
          <w:sz w:val="21"/>
          <w:szCs w:val="21"/>
          <w:color w:val="auto"/>
        </w:rPr>
      </w:pPr>
    </w:p>
    <w:p>
      <w:pPr>
        <w:jc w:val="both"/>
        <w:ind w:firstLine="624"/>
        <w:spacing w:after="0" w:line="253" w:lineRule="auto"/>
        <w:tabs>
          <w:tab w:leader="none" w:pos="1035"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Certificates for Reimbursement</w:t>
      </w:r>
      <w:r>
        <w:rPr>
          <w:rFonts w:ascii="Times New Roman" w:cs="Times New Roman" w:eastAsia="Times New Roman" w:hAnsi="Times New Roman"/>
          <w:sz w:val="21"/>
          <w:szCs w:val="21"/>
          <w:color w:val="auto"/>
        </w:rPr>
        <w:t>. A certificate of a Lender or the L/C Issuer setting forth the amount or amounts necessary to compensate such Lender or the L/C Issuer or its holding company, as the case may be, as specified in subsection (a) or (b) of this Section and delivered to the Company shall be conclusive absent manifest error. The Company shall pay (or cause the applicable Borrower to pay) such Lender or the L/C Issuer, as the case may be, the amount shown as due on any such certificate within 10 Business Days after receipt thereof.</w:t>
      </w:r>
    </w:p>
    <w:p>
      <w:pPr>
        <w:spacing w:after="0" w:line="174" w:lineRule="exact"/>
        <w:rPr>
          <w:rFonts w:ascii="Times New Roman" w:cs="Times New Roman" w:eastAsia="Times New Roman" w:hAnsi="Times New Roman"/>
          <w:sz w:val="21"/>
          <w:szCs w:val="21"/>
          <w:color w:val="auto"/>
        </w:rPr>
      </w:pPr>
    </w:p>
    <w:p>
      <w:pPr>
        <w:jc w:val="both"/>
        <w:ind w:firstLine="624"/>
        <w:spacing w:after="0" w:line="265" w:lineRule="auto"/>
        <w:tabs>
          <w:tab w:leader="none" w:pos="109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Borrower shall be required to compensate a Lender or the L/C Issuer pursuant to the foregoing provisions of this Section for any increased costs incurred or reductions suffered more than six months prior to the date that such Lender or the L/C Issuer, as the case may be, notifies the Company of the Change in Law giving rise to such increased costs or reductions and of such Lender’s or the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56" w:name="page157"/>
    <w:bookmarkEnd w:id="156"/>
    <w:p>
      <w:pPr>
        <w:jc w:val="both"/>
        <w:ind w:firstLine="624"/>
        <w:spacing w:after="0" w:line="248" w:lineRule="auto"/>
        <w:tabs>
          <w:tab w:leader="none" w:pos="103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Reserve Requirements</w:t>
      </w:r>
      <w:r>
        <w:rPr>
          <w:rFonts w:ascii="Times New Roman" w:cs="Times New Roman" w:eastAsia="Times New Roman" w:hAnsi="Times New Roman"/>
          <w:sz w:val="21"/>
          <w:szCs w:val="21"/>
          <w:color w:val="auto"/>
        </w:rPr>
        <w:t xml:space="preserve">. The Company shall pay (or cause the applicable Borrower to pay) to each Lender, as long as such Lender shall be required to comply with any reserve ratio requirement or analogous requirement of any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reasonably determined by such Lender in good faith, which determination shall be conclusive, which shall be due and payable on each date on which interest is payable on such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the Company shall have received at least 10 Business Days’ prior notice (with a copy to the Administrative Agent) of such additional costs from such Lender. If a Lender fails to give notice 10 Business Days prior to the relevant Interest Payment Date, such additional costs shall be due and payable 10 Business Days from receipt of such notice.</w:t>
      </w:r>
    </w:p>
    <w:p>
      <w:pPr>
        <w:spacing w:after="0" w:line="183" w:lineRule="exact"/>
        <w:rPr>
          <w:rFonts w:ascii="Times New Roman" w:cs="Times New Roman" w:eastAsia="Times New Roman" w:hAnsi="Times New Roman"/>
          <w:sz w:val="21"/>
          <w:szCs w:val="21"/>
          <w:color w:val="auto"/>
        </w:rPr>
      </w:pPr>
    </w:p>
    <w:p>
      <w:pPr>
        <w:jc w:val="both"/>
        <w:ind w:firstLine="624"/>
        <w:spacing w:after="0" w:line="253" w:lineRule="auto"/>
        <w:tabs>
          <w:tab w:leader="none" w:pos="124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Limitations</w:t>
      </w:r>
      <w:r>
        <w:rPr>
          <w:rFonts w:ascii="Times New Roman" w:cs="Times New Roman" w:eastAsia="Times New Roman" w:hAnsi="Times New Roman"/>
          <w:sz w:val="21"/>
          <w:szCs w:val="21"/>
          <w:color w:val="auto"/>
        </w:rPr>
        <w:t xml:space="preserve">. Notwithstanding any other provision of this Section, no Lender or L/C Issuer shall demand compensation for any increased cost or reduction pursuant to this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if it shall not at the time be the general policy or practice of such Lender or L/C Issuer to demand such compensation from similarly situated customers under comparable provisions of similar agreements;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Section shall require any Lender or any L/C Issuer to disclose any confidential information related to similarly situated customers, comparable provisions of similar agreements or otherwise.</w:t>
      </w:r>
    </w:p>
    <w:p>
      <w:pPr>
        <w:spacing w:after="0" w:line="1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3.05 Compensation for Losses. </w:t>
      </w:r>
      <w:r>
        <w:rPr>
          <w:rFonts w:ascii="Times New Roman" w:cs="Times New Roman" w:eastAsia="Times New Roman" w:hAnsi="Times New Roman"/>
          <w:sz w:val="21"/>
          <w:szCs w:val="21"/>
          <w:color w:val="auto"/>
        </w:rPr>
        <w:t>Upon demand of any Lender (with a copy to the Administrative Agent) from time to time,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shall promptly compensate (or cause the applicable Borrower to compensate) such Lender for and hold such Lender harmless from any loss, cost or expense incurred by it as a result of:</w:t>
      </w:r>
    </w:p>
    <w:p>
      <w:pPr>
        <w:spacing w:after="0" w:line="160" w:lineRule="exact"/>
        <w:rPr>
          <w:sz w:val="20"/>
          <w:szCs w:val="20"/>
          <w:color w:val="auto"/>
        </w:rPr>
      </w:pPr>
    </w:p>
    <w:p>
      <w:pPr>
        <w:ind w:firstLine="624"/>
        <w:spacing w:after="0" w:line="283" w:lineRule="auto"/>
        <w:tabs>
          <w:tab w:leader="none" w:pos="1047"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41" w:lineRule="exact"/>
        <w:rPr>
          <w:rFonts w:ascii="Times New Roman" w:cs="Times New Roman" w:eastAsia="Times New Roman" w:hAnsi="Times New Roman"/>
          <w:sz w:val="21"/>
          <w:szCs w:val="21"/>
          <w:color w:val="auto"/>
        </w:rPr>
      </w:pPr>
    </w:p>
    <w:p>
      <w:pPr>
        <w:ind w:firstLine="624"/>
        <w:spacing w:after="0" w:line="309" w:lineRule="auto"/>
        <w:tabs>
          <w:tab w:leader="none" w:pos="104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(for a reason other than the failure of such Lender to make a Loan) to prepay, borrow, continue or convert any Loan other than a Base Rate Loan on the date or in the amount notified by the Company or the applicable Borrower;</w:t>
      </w:r>
    </w:p>
    <w:p>
      <w:pPr>
        <w:spacing w:after="0" w:line="118" w:lineRule="exact"/>
        <w:rPr>
          <w:rFonts w:ascii="Times New Roman" w:cs="Times New Roman" w:eastAsia="Times New Roman" w:hAnsi="Times New Roman"/>
          <w:sz w:val="20"/>
          <w:szCs w:val="20"/>
          <w:color w:val="auto"/>
        </w:rPr>
      </w:pPr>
    </w:p>
    <w:p>
      <w:pPr>
        <w:jc w:val="both"/>
        <w:ind w:firstLine="624"/>
        <w:spacing w:after="0" w:line="309" w:lineRule="auto"/>
        <w:tabs>
          <w:tab w:leader="none" w:pos="1022"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to make payment of any Loan or drawing under any Letter of Credit or Bankers’ Acceptance (or interest due thereon) denominated in an Alternative Currency on its scheduled due date or any payment thereof in a different currency; or</w:t>
      </w:r>
    </w:p>
    <w:p>
      <w:pPr>
        <w:spacing w:after="0" w:line="118" w:lineRule="exact"/>
        <w:rPr>
          <w:rFonts w:ascii="Times New Roman" w:cs="Times New Roman" w:eastAsia="Times New Roman" w:hAnsi="Times New Roman"/>
          <w:sz w:val="20"/>
          <w:szCs w:val="20"/>
          <w:color w:val="auto"/>
        </w:rPr>
      </w:pPr>
    </w:p>
    <w:p>
      <w:pPr>
        <w:ind w:firstLine="624"/>
        <w:spacing w:after="0" w:line="283" w:lineRule="auto"/>
        <w:tabs>
          <w:tab w:leader="none" w:pos="107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assignment of a Eurocurrency Rate Loan on a day other than the last day of the Interest Period therefor as a result of a request by the Company pursuant to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Company shall also pay (or cause the applicable Borrower to pay) any customary administrative fees charged by such Lender in connection with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6" w:right="239" w:bottom="1440" w:gutter="0" w:footer="0" w:header="0"/>
        </w:sectPr>
      </w:pPr>
    </w:p>
    <w:bookmarkStart w:id="157" w:name="page158"/>
    <w:bookmarkEnd w:id="157"/>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For purposes of calculating amounts payable by the Company (or the applicable Borrower) to the Lenders under this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each Lender shall be deemed to have funded each Eurocurrency Rate Loan made by it at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70"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3.06</w:t>
      </w:r>
      <w:r>
        <w:rPr>
          <w:sz w:val="20"/>
          <w:szCs w:val="20"/>
          <w:color w:val="auto"/>
        </w:rPr>
        <w:tab/>
      </w:r>
      <w:r>
        <w:rPr>
          <w:rFonts w:ascii="Times New Roman" w:cs="Times New Roman" w:eastAsia="Times New Roman" w:hAnsi="Times New Roman"/>
          <w:sz w:val="20"/>
          <w:szCs w:val="20"/>
          <w:b w:val="1"/>
          <w:bCs w:val="1"/>
          <w:color w:val="auto"/>
        </w:rPr>
        <w:t>Mitigation Obligations; Replacement of Lenders.</w:t>
      </w:r>
    </w:p>
    <w:p>
      <w:pPr>
        <w:spacing w:after="0" w:line="228" w:lineRule="exact"/>
        <w:rPr>
          <w:sz w:val="20"/>
          <w:szCs w:val="20"/>
          <w:color w:val="auto"/>
        </w:rPr>
      </w:pPr>
    </w:p>
    <w:p>
      <w:pPr>
        <w:jc w:val="both"/>
        <w:ind w:firstLine="624"/>
        <w:spacing w:after="0" w:line="261" w:lineRule="auto"/>
        <w:tabs>
          <w:tab w:leader="none" w:pos="112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Each Lender may make any Credit Extension to any Borrower through any Lending Office, provided that the exercise of this option shall not affect the obligation of the Borrowers to repay the Credit Extension in accordance with the terms of this Agreement.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any Borrower is required to pay any additional amount to any Lender, the L/C Issuer or any Governmental Authority for the account of any Lender or the L/C Issuer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at the request of the Company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The Company hereby agrees to pay (or cause the applicable Borrower to pay) all reasonable costs and expenses incurred by any Lender or the L/C Issuer in connection with any such designation or assignment.</w:t>
      </w:r>
    </w:p>
    <w:p>
      <w:pPr>
        <w:spacing w:after="0" w:line="164" w:lineRule="exact"/>
        <w:rPr>
          <w:rFonts w:ascii="Times New Roman" w:cs="Times New Roman" w:eastAsia="Times New Roman" w:hAnsi="Times New Roman"/>
          <w:sz w:val="20"/>
          <w:szCs w:val="20"/>
          <w:color w:val="auto"/>
        </w:rPr>
      </w:pPr>
    </w:p>
    <w:p>
      <w:pPr>
        <w:jc w:val="both"/>
        <w:ind w:firstLine="624"/>
        <w:spacing w:after="0" w:line="257" w:lineRule="auto"/>
        <w:tabs>
          <w:tab w:leader="none" w:pos="1046"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of Lenders</w:t>
      </w:r>
      <w:r>
        <w:rPr>
          <w:rFonts w:ascii="Times New Roman" w:cs="Times New Roman" w:eastAsia="Times New Roman" w:hAnsi="Times New Roman"/>
          <w:sz w:val="21"/>
          <w:szCs w:val="21"/>
          <w:color w:val="auto"/>
        </w:rPr>
        <w:t xml:space="preserve">. If any Lender requests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if any Borrower is required to pay any additional amount to any Lender or any Governmental Authority for the account of any Lender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and, in each case, such Lender has declined or is unable to designate a different lending office in accordance with </w:t>
      </w:r>
      <w:r>
        <w:rPr>
          <w:rFonts w:ascii="Times New Roman" w:cs="Times New Roman" w:eastAsia="Times New Roman" w:hAnsi="Times New Roman"/>
          <w:sz w:val="21"/>
          <w:szCs w:val="21"/>
          <w:u w:val="single" w:color="auto"/>
          <w:color w:val="auto"/>
        </w:rPr>
        <w:t>Section 3.06(a)</w:t>
      </w:r>
      <w:r>
        <w:rPr>
          <w:rFonts w:ascii="Times New Roman" w:cs="Times New Roman" w:eastAsia="Times New Roman" w:hAnsi="Times New Roman"/>
          <w:sz w:val="21"/>
          <w:szCs w:val="21"/>
          <w:color w:val="auto"/>
        </w:rPr>
        <w:t xml:space="preserve">, the Company may replace such Lender in accordance with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3.07 Survival. </w:t>
      </w:r>
      <w:r>
        <w:rPr>
          <w:rFonts w:ascii="Times New Roman" w:cs="Times New Roman" w:eastAsia="Times New Roman" w:hAnsi="Times New Roman"/>
          <w:sz w:val="21"/>
          <w:szCs w:val="21"/>
          <w:color w:val="auto"/>
        </w:rPr>
        <w:t>All of the Borrowers’ obligations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survive termination of the Aggregate Commitments,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repayment of all other Obligations hereunder and resignation of the Administrative Agent.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CONDITIONS PRECEDENT TO CREDIT EXTENSIONS</w:t>
      </w:r>
    </w:p>
    <w:p>
      <w:pPr>
        <w:spacing w:after="0" w:line="223" w:lineRule="exact"/>
        <w:rPr>
          <w:sz w:val="20"/>
          <w:szCs w:val="20"/>
          <w:color w:val="auto"/>
        </w:rPr>
      </w:pPr>
    </w:p>
    <w:p>
      <w:pPr>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4.01 Conditions of Initial Credit Extension. </w:t>
      </w:r>
      <w:r>
        <w:rPr>
          <w:rFonts w:ascii="Times New Roman" w:cs="Times New Roman" w:eastAsia="Times New Roman" w:hAnsi="Times New Roman"/>
          <w:sz w:val="21"/>
          <w:szCs w:val="21"/>
          <w:color w:val="auto"/>
        </w:rPr>
        <w:t>The obligation of the L/C Issuer and each Lender to make its initial Credit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Extension hereunder is subject to satisfaction of the following conditions precedent:</w:t>
      </w:r>
    </w:p>
    <w:p>
      <w:pPr>
        <w:spacing w:after="0" w:line="137" w:lineRule="exact"/>
        <w:rPr>
          <w:sz w:val="20"/>
          <w:szCs w:val="20"/>
          <w:color w:val="auto"/>
        </w:rPr>
      </w:pPr>
    </w:p>
    <w:p>
      <w:pPr>
        <w:jc w:val="both"/>
        <w:ind w:firstLine="624"/>
        <w:spacing w:after="0" w:line="263" w:lineRule="auto"/>
        <w:tabs>
          <w:tab w:leader="none" w:pos="1125"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Agent’s receipt of the following, each of which shall be originals or facsimiles or electronic copies (including “PDF” and “TIFF” files) (followed promptly by originals) unless otherwise specified, each properly executed by a Responsible Officer of the signing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1"/>
          <w:szCs w:val="21"/>
          <w:color w:val="auto"/>
        </w:rPr>
        <w:t>Loan Party, each dated the Closing Date (or, in the case of certificates of governmental officials, a recent date before the Closing 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each in form and substance reasonably satisfactory to the Administrative Agent and each of the Lenders:</w:t>
      </w:r>
    </w:p>
    <w:p>
      <w:pPr>
        <w:spacing w:after="0" w:line="189" w:lineRule="exact"/>
        <w:rPr>
          <w:sz w:val="20"/>
          <w:szCs w:val="20"/>
          <w:color w:val="auto"/>
        </w:rPr>
      </w:pPr>
    </w:p>
    <w:p>
      <w:pPr>
        <w:ind w:left="1620" w:hanging="376"/>
        <w:spacing w:after="0"/>
        <w:tabs>
          <w:tab w:leader="none" w:pos="162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counterparts of this Agreement and the Ratification Agreement;</w:t>
      </w:r>
    </w:p>
    <w:p>
      <w:pPr>
        <w:spacing w:after="0" w:line="223" w:lineRule="exact"/>
        <w:rPr>
          <w:rFonts w:ascii="Times New Roman" w:cs="Times New Roman" w:eastAsia="Times New Roman" w:hAnsi="Times New Roman"/>
          <w:sz w:val="21"/>
          <w:szCs w:val="21"/>
          <w:color w:val="auto"/>
        </w:rPr>
      </w:pPr>
    </w:p>
    <w:p>
      <w:pPr>
        <w:ind w:left="1660" w:hanging="416"/>
        <w:spacing w:after="0"/>
        <w:tabs>
          <w:tab w:leader="none" w:pos="166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Note executed by each Borrower in favor of each Lender requesting a Note;</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851"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762"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documents and certifications as the Administrative Agent may reasonably require to evidence that each Loan Party is duly organized or formed, and that each Loan Party is validly existing and in good standing in its jurisdiction of organization;</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82" w:lineRule="auto"/>
        <w:tabs>
          <w:tab w:leader="none" w:pos="166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opinions of Fried, Frank, Harris, Shriver and Jacobson LLP, the Company’s general counsel and such local counsel as the Administrative Agent shall request, in each case addressed to the Administrative Agent, each Lender and the L/C Issuer, as to such matters concerning the Loan Parties and the Loan Documents as the Required Lenders may reasonably request;</w:t>
      </w:r>
    </w:p>
    <w:p>
      <w:pPr>
        <w:spacing w:after="0" w:line="145" w:lineRule="exact"/>
        <w:rPr>
          <w:rFonts w:ascii="Times New Roman" w:cs="Times New Roman" w:eastAsia="Times New Roman" w:hAnsi="Times New Roman"/>
          <w:sz w:val="20"/>
          <w:szCs w:val="20"/>
          <w:color w:val="auto"/>
        </w:rPr>
      </w:pPr>
    </w:p>
    <w:p>
      <w:pPr>
        <w:jc w:val="both"/>
        <w:ind w:left="620" w:firstLine="624"/>
        <w:spacing w:after="0" w:line="257" w:lineRule="auto"/>
        <w:tabs>
          <w:tab w:leader="none" w:pos="1788"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48" w:lineRule="auto"/>
        <w:tabs>
          <w:tab w:leader="none" w:pos="1768"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signed by a Responsible Officer of the Company certifying (A) that the conditions specified in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have been satisfied, (B) that there has been no event or circumstance since the date of the Audited Financial Statements that has had or could be reasonably expected to have, either individually or in the aggregate, a Material Adverse Effect, (C) a calculation of the Senior Notes Indenture Secured Debt Cap as of the Closing Date, (D) that the Loan Party EBITDA for the period of four consecutive fiscal quarters of the Company ending June 30, 2019 represents at least 80% of Adjusted Consolidated EBITDA for such period (including the amount and percentage of Adjusted Consolidated EBITDA contributed by each Loan Party for such period) and (E) that there is no Subsidiary that would constitute a Material Subsidiary as of the end of the period of four consecutive fiscal quarters of the Company ending June 30, 2019 that is not a Loan Party as of the Closing Date;</w:t>
      </w:r>
    </w:p>
    <w:p>
      <w:pPr>
        <w:spacing w:after="0" w:line="183" w:lineRule="exact"/>
        <w:rPr>
          <w:rFonts w:ascii="Times New Roman" w:cs="Times New Roman" w:eastAsia="Times New Roman" w:hAnsi="Times New Roman"/>
          <w:sz w:val="21"/>
          <w:szCs w:val="21"/>
          <w:color w:val="auto"/>
        </w:rPr>
      </w:pPr>
    </w:p>
    <w:p>
      <w:pPr>
        <w:ind w:left="620" w:firstLine="624"/>
        <w:spacing w:after="0" w:line="283" w:lineRule="auto"/>
        <w:tabs>
          <w:tab w:leader="none" w:pos="1851"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signed by a Responsible Officer of the Company certifying as to a true, correct and complete copy of the Indemnity Agreement and all amendments, joinders or modifications thereto;</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59" w:name="page160"/>
    <w:bookmarkEnd w:id="159"/>
    <w:p>
      <w:pPr>
        <w:jc w:val="both"/>
        <w:ind w:left="620" w:firstLine="624"/>
        <w:spacing w:after="0" w:line="257" w:lineRule="auto"/>
        <w:tabs>
          <w:tab w:leader="none" w:pos="1762"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evidence that all insurance required to be maintained pursuant to the Loan Documents has been obtained and is in effect, together with the certificates of insurance and endorsements, naming the Administrative Agent, on behalf of the Secured Parties, as an additional insured or loss payee, as the case may be, under all insurance policies maintained with respect to the assets and properties of the Loan Parties that constitutes Collateral;</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49" w:lineRule="auto"/>
        <w:tabs>
          <w:tab w:leader="none" w:pos="1666"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Uniform Commercial Code financing statements (including amendments to existing financing statements) suitable in form and substance for filing in all places required by applicable law to perfect the Liens of the Administrative Agent under the Collateral Documents as a first priority (subject to Liens permitted by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Lien as to items of Collateral in which a security interest may be perfected by the filing of financing statements, and such other documents and/or evidence of other actions as may be reasonably necessary or desirable under applicable law to perfect the Liens of the Administrative Agent under such Collateral Documents as a first priority Lien in and to such other Collateral as the Administrative Agent may require including the delivery by the Loan Parties of all certificates evidencing pledged interests, accompanied in each case by duly executed stock powers (or other appropriate transfer documents) in blank affixed thereto;</w:t>
      </w:r>
    </w:p>
    <w:p>
      <w:pPr>
        <w:spacing w:after="0" w:line="179" w:lineRule="exact"/>
        <w:rPr>
          <w:rFonts w:ascii="Times New Roman" w:cs="Times New Roman" w:eastAsia="Times New Roman" w:hAnsi="Times New Roman"/>
          <w:sz w:val="21"/>
          <w:szCs w:val="21"/>
          <w:color w:val="auto"/>
        </w:rPr>
      </w:pPr>
    </w:p>
    <w:p>
      <w:pPr>
        <w:ind w:left="620" w:firstLine="624"/>
        <w:spacing w:after="0" w:line="283" w:lineRule="auto"/>
        <w:tabs>
          <w:tab w:leader="none" w:pos="1724"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Uniform Commercial Code search results showing only those Liens as are acceptable to the Administrative Agent in its reasonable discretion; and</w:t>
      </w:r>
    </w:p>
    <w:p>
      <w:pPr>
        <w:spacing w:after="0" w:line="141" w:lineRule="exact"/>
        <w:rPr>
          <w:rFonts w:ascii="Times New Roman" w:cs="Times New Roman" w:eastAsia="Times New Roman" w:hAnsi="Times New Roman"/>
          <w:sz w:val="21"/>
          <w:szCs w:val="21"/>
          <w:color w:val="auto"/>
        </w:rPr>
      </w:pPr>
    </w:p>
    <w:p>
      <w:pPr>
        <w:ind w:left="620" w:firstLine="624"/>
        <w:spacing w:after="0" w:line="283" w:lineRule="auto"/>
        <w:tabs>
          <w:tab w:leader="none" w:pos="1768"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assurances, certificates, documents, consents or opinions as the Administrative Agent, the L/C Issuer, the Swing Line Lender or the Lenders reasonably may require.</w:t>
      </w:r>
    </w:p>
    <w:p>
      <w:pPr>
        <w:spacing w:after="0" w:line="141" w:lineRule="exact"/>
        <w:rPr>
          <w:rFonts w:ascii="Times New Roman" w:cs="Times New Roman" w:eastAsia="Times New Roman" w:hAnsi="Times New Roman"/>
          <w:sz w:val="21"/>
          <w:szCs w:val="21"/>
          <w:color w:val="auto"/>
        </w:rPr>
      </w:pPr>
    </w:p>
    <w:p>
      <w:pPr>
        <w:ind w:firstLine="624"/>
        <w:spacing w:after="0" w:line="283" w:lineRule="auto"/>
        <w:tabs>
          <w:tab w:leader="none" w:pos="1072"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fees required to be paid to the Administrative Agent, any Arranger or any Lender on or before the Closing Date shall have been paid.</w:t>
      </w:r>
    </w:p>
    <w:p>
      <w:pPr>
        <w:spacing w:after="0" w:line="141" w:lineRule="exact"/>
        <w:rPr>
          <w:rFonts w:ascii="Times New Roman" w:cs="Times New Roman" w:eastAsia="Times New Roman" w:hAnsi="Times New Roman"/>
          <w:sz w:val="21"/>
          <w:szCs w:val="21"/>
          <w:color w:val="auto"/>
        </w:rPr>
      </w:pPr>
    </w:p>
    <w:p>
      <w:pPr>
        <w:jc w:val="both"/>
        <w:ind w:firstLine="624"/>
        <w:spacing w:after="0" w:line="262" w:lineRule="auto"/>
        <w:tabs>
          <w:tab w:leader="none" w:pos="103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waived by the Administrative Agent, the Company shall have paid all reasonable and out-of-pocket fees, charges and disbursements of counsel to the Administrative Agent (directly to such counsel if requested by the Administrative Agent) to the extent invoiced in reasonable detail at least 2 Business Days prior to the Closing Date,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0"/>
          <w:szCs w:val="20"/>
          <w:u w:val="single" w:color="auto"/>
          <w:color w:val="auto"/>
        </w:rPr>
        <w:t>provided t</w:t>
      </w:r>
      <w:r>
        <w:rPr>
          <w:rFonts w:ascii="Times New Roman" w:cs="Times New Roman" w:eastAsia="Times New Roman" w:hAnsi="Times New Roman"/>
          <w:sz w:val="20"/>
          <w:szCs w:val="20"/>
          <w:color w:val="auto"/>
        </w:rPr>
        <w:t xml:space="preserve">hat such estimate shall not thereafter preclude a final settling of accounts between the Company and the Administrative Agent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Company shall not be required under this clause (c) to pay the fees and expenses of (i) more than one principal outside counsel for the Administrative Agent, (ii) more than one outside counsel acting as regulatory counsel for the Administrative Agent or (iii) more than a single local counsel for the Administrative Agent in any relevant jurisdiction as reasonably determined by the Administrative Agent (and which may include a single local counsel acting in multiple jurisdictions)).</w:t>
      </w:r>
    </w:p>
    <w:p>
      <w:pPr>
        <w:spacing w:after="0" w:line="169" w:lineRule="exact"/>
        <w:rPr>
          <w:rFonts w:ascii="Times New Roman" w:cs="Times New Roman" w:eastAsia="Times New Roman" w:hAnsi="Times New Roman"/>
          <w:sz w:val="20"/>
          <w:szCs w:val="20"/>
          <w:color w:val="auto"/>
        </w:rPr>
      </w:pPr>
    </w:p>
    <w:p>
      <w:pPr>
        <w:jc w:val="both"/>
        <w:ind w:firstLine="624"/>
        <w:spacing w:after="0" w:line="263" w:lineRule="auto"/>
        <w:tabs>
          <w:tab w:leader="none" w:pos="108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evidence that, substantially simultaneously with the initial funding of Loans on the Closing Date, all outstanding principal with respect to Term Loans (as defined in the Existing Credit Agreement) under the Existing Credit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1"/>
          <w:szCs w:val="21"/>
          <w:color w:val="auto"/>
        </w:rPr>
        <w:t>Agreement and all accrued and unpaid interest and fees under the Existing Credit Agreement shall be paid in full.</w:t>
      </w:r>
    </w:p>
    <w:p>
      <w:pPr>
        <w:spacing w:after="0" w:line="211" w:lineRule="exact"/>
        <w:rPr>
          <w:sz w:val="20"/>
          <w:szCs w:val="20"/>
          <w:color w:val="auto"/>
        </w:rPr>
      </w:pPr>
    </w:p>
    <w:p>
      <w:pPr>
        <w:jc w:val="both"/>
        <w:ind w:firstLine="624"/>
        <w:spacing w:after="0" w:line="263" w:lineRule="auto"/>
        <w:tabs>
          <w:tab w:leader="none" w:pos="1073"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Existing Lenders who elect not to become a Lender under this Agreement shall have entered into such assignment and assumption agreements and other documentation as the Arrangers and the Administrative Agent may require to effectuate the closing of this Agreement by amendment and restatement of the Existing Credit Agreement.</w:t>
      </w:r>
    </w:p>
    <w:p>
      <w:pPr>
        <w:spacing w:after="0" w:line="162" w:lineRule="exact"/>
        <w:rPr>
          <w:rFonts w:ascii="Times New Roman" w:cs="Times New Roman" w:eastAsia="Times New Roman" w:hAnsi="Times New Roman"/>
          <w:sz w:val="21"/>
          <w:szCs w:val="21"/>
          <w:color w:val="auto"/>
        </w:rPr>
      </w:pPr>
    </w:p>
    <w:p>
      <w:pPr>
        <w:jc w:val="both"/>
        <w:ind w:firstLine="624"/>
        <w:spacing w:after="0" w:line="253" w:lineRule="auto"/>
        <w:tabs>
          <w:tab w:leader="none" w:pos="102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shall have provided to the Administrative Agent and the Lenders the documentation and other information requested by the Administrative Agent and the Lenders in order to comply with requirements of the Act, applicable “know your customer” rules and regulations and Anti-Money Laundering Laws, and each Loan Party that qualifies as a “legal entity customer” under the Beneficial Ownership Regulation shall have delivered, to each Lender that so requests, a Beneficial Ownership Certification in relation to such Loan Party.</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Without limiting the generality of the provisions of the last paragraph of </w:t>
      </w:r>
      <w:r>
        <w:rPr>
          <w:rFonts w:ascii="Times New Roman" w:cs="Times New Roman" w:eastAsia="Times New Roman" w:hAnsi="Times New Roman"/>
          <w:sz w:val="21"/>
          <w:szCs w:val="21"/>
          <w:u w:val="single" w:color="auto"/>
          <w:color w:val="auto"/>
        </w:rPr>
        <w:t>Section 9.03</w:t>
      </w:r>
      <w:r>
        <w:rPr>
          <w:rFonts w:ascii="Times New Roman" w:cs="Times New Roman" w:eastAsia="Times New Roman" w:hAnsi="Times New Roman"/>
          <w:sz w:val="21"/>
          <w:szCs w:val="21"/>
          <w:color w:val="auto"/>
        </w:rPr>
        <w:t xml:space="preserve">, for purposes of determining compliance with the conditions specified in this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4.02 Conditions to all Credit Extensions. </w:t>
      </w:r>
      <w:r>
        <w:rPr>
          <w:rFonts w:ascii="Times New Roman" w:cs="Times New Roman" w:eastAsia="Times New Roman" w:hAnsi="Times New Roman"/>
          <w:sz w:val="21"/>
          <w:szCs w:val="21"/>
          <w:color w:val="auto"/>
        </w:rPr>
        <w:t>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the obligation of each Lender and each L/C Issuer to honor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Request for Credit Extension (other than a Loan Notice requesting only a conversion of Loans to the other Type, or a continuation of Eurocurrency Rate Loans) is subject to the following conditions precedent:</w:t>
      </w:r>
    </w:p>
    <w:p>
      <w:pPr>
        <w:spacing w:after="0" w:line="160" w:lineRule="exact"/>
        <w:rPr>
          <w:sz w:val="20"/>
          <w:szCs w:val="20"/>
          <w:color w:val="auto"/>
        </w:rPr>
      </w:pPr>
    </w:p>
    <w:p>
      <w:pPr>
        <w:jc w:val="both"/>
        <w:ind w:firstLine="624"/>
        <w:spacing w:after="0" w:line="248" w:lineRule="auto"/>
        <w:tabs>
          <w:tab w:leader="none" w:pos="1073"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(i) each Borrower contained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and (ii) each Loan Party contained in each other Loan Document or in any document furnished at any time under or in connection herewith or therewith, shall be true and correct in all material respects on and as of the date of such Credit Extension, except that (A) if a qualifier relating to materiality, Material Adverse Effect or a similar concept applies, such representation or warranty shall be required to be true and correct in all respects, (B)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required to be true and correct in all respects as of such earlier date), and (C) for purposes of this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the representations and warranties contained in subsections (a), (b) and (c) of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shall be deemed to refer to the most recent statements furnished pursuant to clauses (a) and (b), respectively, of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w:t>
      </w:r>
    </w:p>
    <w:p>
      <w:pPr>
        <w:spacing w:after="0" w:line="183"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shall exist, or would result from such proposed Credit Extension or the application of the proceeds thereof.</w:t>
      </w:r>
    </w:p>
    <w:p>
      <w:pPr>
        <w:spacing w:after="0" w:line="223" w:lineRule="exact"/>
        <w:rPr>
          <w:rFonts w:ascii="Times New Roman" w:cs="Times New Roman" w:eastAsia="Times New Roman" w:hAnsi="Times New Roman"/>
          <w:sz w:val="21"/>
          <w:szCs w:val="21"/>
          <w:color w:val="auto"/>
        </w:rPr>
      </w:pPr>
    </w:p>
    <w:p>
      <w:pPr>
        <w:ind w:firstLine="624"/>
        <w:spacing w:after="0" w:line="283" w:lineRule="auto"/>
        <w:tabs>
          <w:tab w:leader="none" w:pos="1099"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if applicable, the L/C Issuer or the Swing Line Lender shall have received a Request for Credit Extension in accordance with the requirements hereof.</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61" w:name="page162"/>
    <w:bookmarkEnd w:id="161"/>
    <w:p>
      <w:pPr>
        <w:jc w:val="both"/>
        <w:ind w:firstLine="624"/>
        <w:spacing w:after="0" w:line="247" w:lineRule="auto"/>
        <w:tabs>
          <w:tab w:leader="none" w:pos="1059"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(MC) Lenders (in the case of any Loans to be denominated in an Alternative Currency) or the L/C Issuer (in the case of any Letter of Credit or Bankers’ Acceptance to be denominated in an Alternative Currency) would make it impracticable for such Credit Extension to be denominated in such Alternative Currency. Notwithstanding the foregoing, neither any Lender nor the L/C Issuer shall be absolved from any obligation to honor any Request for Credit Extension as a result of this </w:t>
      </w:r>
      <w:r>
        <w:rPr>
          <w:rFonts w:ascii="Times New Roman" w:cs="Times New Roman" w:eastAsia="Times New Roman" w:hAnsi="Times New Roman"/>
          <w:sz w:val="21"/>
          <w:szCs w:val="21"/>
          <w:u w:val="single" w:color="auto"/>
          <w:color w:val="auto"/>
        </w:rPr>
        <w:t>Section 4.02(d)</w:t>
      </w:r>
      <w:r>
        <w:rPr>
          <w:rFonts w:ascii="Times New Roman" w:cs="Times New Roman" w:eastAsia="Times New Roman" w:hAnsi="Times New Roman"/>
          <w:sz w:val="21"/>
          <w:szCs w:val="21"/>
          <w:color w:val="auto"/>
        </w:rPr>
        <w:t xml:space="preserve"> unless any of the Administrative Agent, the Required (MC) Lenders or the L/C Issuer, as applicable, is generally electing not to make extensions of credit of the type referred to herein to similarly situated customers under similar agreements as a result of one or more of the events described 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Section shall require the Administrative Agent, any Lender or the L/C Issuer to disclose any confidential information related to similarly situated customers, comparable provisions of similar agreements or otherwise.</w:t>
      </w:r>
    </w:p>
    <w:p>
      <w:pPr>
        <w:spacing w:after="0" w:line="18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 xml:space="preserve">Each Request for Credit Extension (other than a Loan Notice requesting only a conversion of Loans to the other Type or a continuation of Eurocurrency Rate Loans) submitted by the Company shall be deemed to be a representation and warranty that the conditions specified in </w:t>
      </w:r>
      <w:r>
        <w:rPr>
          <w:rFonts w:ascii="Times New Roman" w:cs="Times New Roman" w:eastAsia="Times New Roman" w:hAnsi="Times New Roman"/>
          <w:sz w:val="21"/>
          <w:szCs w:val="21"/>
          <w:u w:val="single" w:color="auto"/>
          <w:color w:val="auto"/>
        </w:rPr>
        <w:t>Sections 4.02(a)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have been satisfied on and as of the date of the applicable Credit Extension.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REPRESENTATIONS AND WARRANTIES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Each Borrower represents and warrants to the Administrative Agent and the Lenders that:</w:t>
      </w:r>
    </w:p>
    <w:p>
      <w:pPr>
        <w:spacing w:after="0" w:line="207"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5.01 Existence, Qualification and Power. </w:t>
      </w:r>
      <w:r>
        <w:rPr>
          <w:rFonts w:ascii="Times New Roman" w:cs="Times New Roman" w:eastAsia="Times New Roman" w:hAnsi="Times New Roman"/>
          <w:sz w:val="21"/>
          <w:szCs w:val="21"/>
          <w:color w:val="auto"/>
        </w:rPr>
        <w:t>Each Loan Party and each Restricted Subsidiary (a) is duly organized or formed,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7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5.02 Authorization; No Contravention. </w:t>
      </w:r>
      <w:r>
        <w:rPr>
          <w:rFonts w:ascii="Times New Roman" w:cs="Times New Roman" w:eastAsia="Times New Roman" w:hAnsi="Times New Roman"/>
          <w:sz w:val="20"/>
          <w:szCs w:val="20"/>
          <w:color w:val="auto"/>
        </w:rPr>
        <w:t>The execution, delivery and performance by each Loan Party and the US Holdco,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w:t>
      </w:r>
    </w:p>
    <w:p>
      <w:pPr>
        <w:spacing w:after="0" w:line="5" w:lineRule="exact"/>
        <w:rPr>
          <w:sz w:val="20"/>
          <w:szCs w:val="20"/>
          <w:color w:val="auto"/>
        </w:rPr>
      </w:pPr>
    </w:p>
    <w:p>
      <w:pPr>
        <w:ind w:firstLine="3"/>
        <w:spacing w:after="0" w:line="248" w:lineRule="auto"/>
        <w:tabs>
          <w:tab w:leader="none" w:pos="301"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violate any Law; except in each case referred to in clause (b) or (c), to the extent that could not reasonably be expected to have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62" w:name="page163"/>
    <w:bookmarkEnd w:id="162"/>
    <w:p>
      <w:pPr>
        <w:jc w:val="both"/>
        <w:ind w:firstLine="62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5.03 Governmental Authorization; Other Consents. </w:t>
      </w:r>
      <w:r>
        <w:rPr>
          <w:rFonts w:ascii="Times New Roman" w:cs="Times New Roman" w:eastAsia="Times New Roman" w:hAnsi="Times New Roman"/>
          <w:sz w:val="21"/>
          <w:szCs w:val="21"/>
          <w:color w:val="auto"/>
        </w:rPr>
        <w:t>No approval, consent, exemption, authorization, or other action by,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 to, or filing with, any Governmental Authority or any other Person is necessary or required in connection with the execution, delivery or performance by, or enforcement against, any Loan Party or US Holdco, as applicable, of this Agreement or any other Loan Document, except for (a) the authorizations, approvals, actions, notices and filings which have been duly obtained, taken, given or made and are in full force and effect or (b) the filing of Uniform Commercial Code financing statements, the recording of Mortgages and similar documentation to be delivered pursuant to the Loan Documents.</w:t>
      </w:r>
    </w:p>
    <w:p>
      <w:pPr>
        <w:spacing w:after="0" w:line="171"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5.04 Binding Effect. </w:t>
      </w:r>
      <w:r>
        <w:rPr>
          <w:rFonts w:ascii="Times New Roman" w:cs="Times New Roman" w:eastAsia="Times New Roman" w:hAnsi="Times New Roman"/>
          <w:sz w:val="21"/>
          <w:szCs w:val="21"/>
          <w:color w:val="auto"/>
        </w:rPr>
        <w:t>This Agreement has been, and each other Loan Document, when delivered hereunder, will have been, duly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enforcement may be limited by equitable principles relating to or limiting creditors’ rights generally or by bankruptcy, insolvency, reorganization, moratorium or similar laws.</w:t>
      </w:r>
    </w:p>
    <w:p>
      <w:pPr>
        <w:spacing w:after="0" w:line="169"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5.05</w:t>
      </w:r>
      <w:r>
        <w:rPr>
          <w:sz w:val="20"/>
          <w:szCs w:val="20"/>
          <w:color w:val="auto"/>
        </w:rPr>
        <w:tab/>
      </w:r>
      <w:r>
        <w:rPr>
          <w:rFonts w:ascii="Times New Roman" w:cs="Times New Roman" w:eastAsia="Times New Roman" w:hAnsi="Times New Roman"/>
          <w:sz w:val="20"/>
          <w:szCs w:val="20"/>
          <w:b w:val="1"/>
          <w:bCs w:val="1"/>
          <w:color w:val="auto"/>
        </w:rPr>
        <w:t>Financial Statements; No Material Adverse Effect.</w:t>
      </w:r>
    </w:p>
    <w:p>
      <w:pPr>
        <w:spacing w:after="0" w:line="228" w:lineRule="exact"/>
        <w:rPr>
          <w:sz w:val="20"/>
          <w:szCs w:val="20"/>
          <w:color w:val="auto"/>
        </w:rPr>
      </w:pPr>
    </w:p>
    <w:p>
      <w:pPr>
        <w:jc w:val="both"/>
        <w:ind w:firstLine="624"/>
        <w:spacing w:after="0" w:line="251" w:lineRule="auto"/>
        <w:tabs>
          <w:tab w:leader="none" w:pos="1086"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Audited Financial Statements (i) were prepared in accordance with GAAP consistently applied throughout the period covered thereby, except as otherwise expressly noted therein; (ii) fairly present in all material respects the financial condition of the Company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material Taxes, commitments and Indebtedness.</w:t>
      </w:r>
    </w:p>
    <w:p>
      <w:pPr>
        <w:spacing w:after="0" w:line="177" w:lineRule="exact"/>
        <w:rPr>
          <w:rFonts w:ascii="Times New Roman" w:cs="Times New Roman" w:eastAsia="Times New Roman" w:hAnsi="Times New Roman"/>
          <w:sz w:val="21"/>
          <w:szCs w:val="21"/>
          <w:color w:val="auto"/>
        </w:rPr>
      </w:pPr>
    </w:p>
    <w:p>
      <w:pPr>
        <w:jc w:val="both"/>
        <w:ind w:firstLine="624"/>
        <w:spacing w:after="0" w:line="248" w:lineRule="auto"/>
        <w:tabs>
          <w:tab w:leader="none" w:pos="1188"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unaudited consolidated balance sheet of the Company and its Subsidiaries dated June 30, 2019, and the related consolidated statement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cash flows and changes in shareholders’ equity for the period covered thereby, subject, in the case of clauses (i) and (ii), to the absence of footnotes and to normal year-end audit adjustments. </w:t>
      </w:r>
      <w:r>
        <w:rPr>
          <w:rFonts w:ascii="Times New Roman" w:cs="Times New Roman" w:eastAsia="Times New Roman" w:hAnsi="Times New Roman"/>
          <w:sz w:val="21"/>
          <w:szCs w:val="21"/>
          <w:u w:val="single" w:color="auto"/>
          <w:color w:val="auto"/>
        </w:rPr>
        <w:t>Schedule 5.05</w:t>
      </w:r>
      <w:r>
        <w:rPr>
          <w:rFonts w:ascii="Times New Roman" w:cs="Times New Roman" w:eastAsia="Times New Roman" w:hAnsi="Times New Roman"/>
          <w:sz w:val="21"/>
          <w:szCs w:val="21"/>
          <w:color w:val="auto"/>
        </w:rPr>
        <w:t xml:space="preserve"> sets forth all material indebtedness and other liabilities, direct or contingent, of the Company and its consolidated Subsidiaries as of the date of such financial statements delivered to the Administrative Agent prior to the Closing Date, including liabilities for material Taxes, commitments and Indebtedness.</w:t>
      </w:r>
    </w:p>
    <w:p>
      <w:pPr>
        <w:spacing w:after="0" w:line="183" w:lineRule="exact"/>
        <w:rPr>
          <w:rFonts w:ascii="Times New Roman" w:cs="Times New Roman" w:eastAsia="Times New Roman" w:hAnsi="Times New Roman"/>
          <w:sz w:val="21"/>
          <w:szCs w:val="21"/>
          <w:color w:val="auto"/>
        </w:rPr>
      </w:pPr>
    </w:p>
    <w:p>
      <w:pPr>
        <w:jc w:val="both"/>
        <w:ind w:firstLine="624"/>
        <w:spacing w:after="0" w:line="257" w:lineRule="auto"/>
        <w:tabs>
          <w:tab w:leader="none" w:pos="1151"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Reconciliations delivered with respect to the financial statements described in clauses (a) and (b) above (i) were prepared in accordance with GAAP consistently applied throughout the period covered thereby, except as otherwise expressly noted therein and (ii) fairly present in all material respects the financial condition of the Company and its Restricted Subsidiaries as of the date thereof and their results of operations for the period covered thereby, subject, in the case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1"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1"/>
          <w:szCs w:val="21"/>
          <w:color w:val="auto"/>
        </w:rPr>
        <w:t>the financial statements described in clause (b), to the absence of footnotes and to normal year-end audit adjustments.</w:t>
      </w:r>
    </w:p>
    <w:p>
      <w:pPr>
        <w:spacing w:after="0" w:line="211" w:lineRule="exact"/>
        <w:rPr>
          <w:sz w:val="20"/>
          <w:szCs w:val="20"/>
          <w:color w:val="auto"/>
        </w:rPr>
      </w:pPr>
    </w:p>
    <w:p>
      <w:pPr>
        <w:ind w:firstLine="624"/>
        <w:spacing w:after="0" w:line="283" w:lineRule="auto"/>
        <w:tabs>
          <w:tab w:leader="none" w:pos="1072"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December 31, 2018, there has been no event or circumstance, either individually or in the aggregate, that has had or could reasonably be expected to have a Material Adverse Effect.</w:t>
      </w:r>
    </w:p>
    <w:p>
      <w:pPr>
        <w:spacing w:after="0" w:line="141" w:lineRule="exact"/>
        <w:rPr>
          <w:rFonts w:ascii="Times New Roman" w:cs="Times New Roman" w:eastAsia="Times New Roman" w:hAnsi="Times New Roman"/>
          <w:sz w:val="21"/>
          <w:szCs w:val="21"/>
          <w:color w:val="auto"/>
        </w:rPr>
      </w:pPr>
    </w:p>
    <w:p>
      <w:pPr>
        <w:jc w:val="both"/>
        <w:ind w:firstLine="624"/>
        <w:spacing w:after="0" w:line="249" w:lineRule="auto"/>
        <w:tabs>
          <w:tab w:leader="none" w:pos="1138"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consolidated forecasted balance sheet and statements of income and cash flows of the Company and its Restricted Subsidiaries delivered pursuant to </w:t>
      </w:r>
      <w:r>
        <w:rPr>
          <w:rFonts w:ascii="Times New Roman" w:cs="Times New Roman" w:eastAsia="Times New Roman" w:hAnsi="Times New Roman"/>
          <w:sz w:val="21"/>
          <w:szCs w:val="21"/>
          <w:u w:val="single" w:color="auto"/>
          <w:color w:val="auto"/>
        </w:rPr>
        <w:t>Section 6.01(c)</w:t>
      </w:r>
      <w:r>
        <w:rPr>
          <w:rFonts w:ascii="Times New Roman" w:cs="Times New Roman" w:eastAsia="Times New Roman" w:hAnsi="Times New Roman"/>
          <w:sz w:val="21"/>
          <w:szCs w:val="21"/>
          <w:color w:val="auto"/>
        </w:rPr>
        <w:t xml:space="preserve"> were prepared in good faith on the basis of the assumptions stated therein, which assumptions were fair in light of the conditions existing at the time of delivery of such forecasts, and represented, at the time of delivery, the Company’s best estimate of its future financial condition and performance (it being understood that projected financial information is as to future events and are not to be viewed as facts, projected financial information is subject to significant uncertainties and contingencies, many of which are beyond the control of the Company and its Restricted Subsidiaries, that no assurance can be given that any particular projected financial information will be realized and that actual results during the period or periods covered by any of such projected financial information may differ significantly from the projected results and such differences may be material).</w:t>
      </w:r>
    </w:p>
    <w:p>
      <w:pPr>
        <w:spacing w:after="0" w:line="175"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5.06 Litigation. </w:t>
      </w:r>
      <w:r>
        <w:rPr>
          <w:rFonts w:ascii="Times New Roman" w:cs="Times New Roman" w:eastAsia="Times New Roman" w:hAnsi="Times New Roman"/>
          <w:sz w:val="21"/>
          <w:szCs w:val="21"/>
          <w:color w:val="auto"/>
        </w:rPr>
        <w:t>There are no actions, suits, proceedings, claims or disputes pending or, to the knowledge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threatened or contemplated, at law, in equity, in arbitration or before any Governmental Authority, by or against the Company or any of its Restricted Subsidiaries or against any of their respective properties or revenues that (a) purport to affect or pertain to this Agreement or any other Loan Document, or any of the transactions contemplated hereby, or (b) either individually or in the aggregate, if determined adversely, could reasonably be expected to have a Material Adverse Effect.</w:t>
      </w:r>
    </w:p>
    <w:p>
      <w:pPr>
        <w:spacing w:after="0" w:line="169"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5.07 No Default. </w:t>
      </w:r>
      <w:r>
        <w:rPr>
          <w:rFonts w:ascii="Times New Roman" w:cs="Times New Roman" w:eastAsia="Times New Roman" w:hAnsi="Times New Roman"/>
          <w:sz w:val="21"/>
          <w:szCs w:val="21"/>
          <w:color w:val="auto"/>
        </w:rPr>
        <w:t>Neither the Company nor any of its Restricted Subsidiaries is in default under or with respect to (a)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Contractual Obligation the breach of which could, either individually or in the aggregate, reasonably be expected to have a Material Adverse Effect or (b) any Senior Notes Document (including the Senior Notes Indenture Secured Debt Cap). No Default has occurred and is continuing or would result from the consummation of the transactions contemplated by this Agreement or any other Loan Document.</w:t>
      </w:r>
    </w:p>
    <w:p>
      <w:pPr>
        <w:spacing w:after="0" w:line="169"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5.08</w:t>
      </w:r>
      <w:r>
        <w:rPr>
          <w:sz w:val="20"/>
          <w:szCs w:val="20"/>
          <w:color w:val="auto"/>
        </w:rPr>
        <w:tab/>
      </w:r>
      <w:r>
        <w:rPr>
          <w:rFonts w:ascii="Times New Roman" w:cs="Times New Roman" w:eastAsia="Times New Roman" w:hAnsi="Times New Roman"/>
          <w:sz w:val="20"/>
          <w:szCs w:val="20"/>
          <w:b w:val="1"/>
          <w:bCs w:val="1"/>
          <w:color w:val="auto"/>
        </w:rPr>
        <w:t>Ownership of Property; Liens; Investments.</w:t>
      </w:r>
    </w:p>
    <w:p>
      <w:pPr>
        <w:spacing w:after="0" w:line="228" w:lineRule="exact"/>
        <w:rPr>
          <w:sz w:val="20"/>
          <w:szCs w:val="20"/>
          <w:color w:val="auto"/>
        </w:rPr>
      </w:pPr>
    </w:p>
    <w:p>
      <w:pPr>
        <w:jc w:val="both"/>
        <w:ind w:firstLine="624"/>
        <w:spacing w:after="0" w:line="263" w:lineRule="auto"/>
        <w:tabs>
          <w:tab w:leader="none" w:pos="1022"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of its Restricted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spacing w:after="0" w:line="162" w:lineRule="exact"/>
        <w:rPr>
          <w:rFonts w:ascii="Times New Roman" w:cs="Times New Roman" w:eastAsia="Times New Roman" w:hAnsi="Times New Roman"/>
          <w:sz w:val="21"/>
          <w:szCs w:val="21"/>
          <w:color w:val="auto"/>
        </w:rPr>
      </w:pPr>
    </w:p>
    <w:p>
      <w:pPr>
        <w:jc w:val="both"/>
        <w:ind w:firstLine="624"/>
        <w:spacing w:after="0" w:line="257" w:lineRule="auto"/>
        <w:tabs>
          <w:tab w:leader="none" w:pos="1072"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5.08(b)</w:t>
      </w:r>
      <w:r>
        <w:rPr>
          <w:rFonts w:ascii="Times New Roman" w:cs="Times New Roman" w:eastAsia="Times New Roman" w:hAnsi="Times New Roman"/>
          <w:sz w:val="21"/>
          <w:szCs w:val="21"/>
          <w:color w:val="auto"/>
        </w:rPr>
        <w:t xml:space="preserve"> sets forth a complete and accurate list of each of the material financing statements which have been filed under the Uniform Commercial Code in respect of Liens on the property or assets of the Company and each of its Restricted Subsidiaries as of the date hereof, showing as of the date hereof the lienholder thereof, the principal amount of the obligations secured thereby and the property or assets of the Company or such Restricted Subsidiary subject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64" w:name="page165"/>
    <w:bookmarkEnd w:id="164"/>
    <w:p>
      <w:pPr>
        <w:spacing w:after="0" w:line="270" w:lineRule="auto"/>
        <w:rPr>
          <w:sz w:val="20"/>
          <w:szCs w:val="20"/>
          <w:color w:val="auto"/>
        </w:rPr>
      </w:pPr>
      <w:r>
        <w:rPr>
          <w:rFonts w:ascii="Times New Roman" w:cs="Times New Roman" w:eastAsia="Times New Roman" w:hAnsi="Times New Roman"/>
          <w:sz w:val="21"/>
          <w:szCs w:val="21"/>
          <w:color w:val="auto"/>
        </w:rPr>
        <w:t xml:space="preserve">thereto. The property of the Company and each of its Restricted Subsidiaries is subject to no Liens, other than Liens set forth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5.08(b)</w:t>
      </w:r>
      <w:r>
        <w:rPr>
          <w:rFonts w:ascii="Times New Roman" w:cs="Times New Roman" w:eastAsia="Times New Roman" w:hAnsi="Times New Roman"/>
          <w:sz w:val="21"/>
          <w:szCs w:val="21"/>
          <w:color w:val="auto"/>
        </w:rPr>
        <w:t xml:space="preserve">, and as otherwise permitted by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firstLine="624"/>
        <w:spacing w:after="0" w:line="253" w:lineRule="auto"/>
        <w:tabs>
          <w:tab w:leader="none" w:pos="1047"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5.08(c)</w:t>
      </w:r>
      <w:r>
        <w:rPr>
          <w:rFonts w:ascii="Times New Roman" w:cs="Times New Roman" w:eastAsia="Times New Roman" w:hAnsi="Times New Roman"/>
          <w:sz w:val="21"/>
          <w:szCs w:val="21"/>
          <w:color w:val="auto"/>
        </w:rPr>
        <w:t xml:space="preserve"> sets forth a complete and accurate list of all material real property owned in fee by the Company and each of its Restricted Subsidiaries as of the date hereof, showing as of the date hereof the street address, county or other relevant jurisdiction, state, record owner and book and estimated fair value thereof. The Company and each of its Restricted Subsidiaries has good, marketable and insurable fee simple title to the real property owned by the Company or such Restricted Subsidiary, free and clear of all Liens, other than Liens created or permitted by the Loan Documents.</w:t>
      </w:r>
    </w:p>
    <w:p>
      <w:pPr>
        <w:spacing w:after="0" w:line="174" w:lineRule="exact"/>
        <w:rPr>
          <w:rFonts w:ascii="Times New Roman" w:cs="Times New Roman" w:eastAsia="Times New Roman" w:hAnsi="Times New Roman"/>
          <w:sz w:val="21"/>
          <w:szCs w:val="21"/>
          <w:color w:val="auto"/>
        </w:rPr>
      </w:pPr>
    </w:p>
    <w:p>
      <w:pPr>
        <w:jc w:val="both"/>
        <w:ind w:firstLine="636"/>
        <w:spacing w:after="0" w:line="251" w:lineRule="auto"/>
        <w:tabs>
          <w:tab w:leader="none" w:pos="1124"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Schedule 5.08(d)(i)</w:t>
      </w:r>
      <w:r>
        <w:rPr>
          <w:rFonts w:ascii="Times New Roman" w:cs="Times New Roman" w:eastAsia="Times New Roman" w:hAnsi="Times New Roman"/>
          <w:sz w:val="21"/>
          <w:szCs w:val="21"/>
          <w:color w:val="auto"/>
        </w:rPr>
        <w:t xml:space="preserve"> sets forth a complete and accurate list of all leases of real property with an annual rental expense exceeding $1,000,000 under which the Company or any of its Restricted Subsidiaries is the lessee as of the date hereof, showing as of the date hereof the street address, county or other relevant jurisdiction, state, lessor, lessee, expiration date and annual rental cost thereof. Each such lease is the legal, valid and binding obligation of the lessor thereof, enforceable in accordance with its terms, except as enforcement may be limited by equitable principles relating to or limiting creditors’ rights generally or by bankruptcy, insolvency, reorganization, moratorium or similar laws.</w:t>
      </w:r>
    </w:p>
    <w:p>
      <w:pPr>
        <w:spacing w:after="0" w:line="177"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42" w:val="left"/>
        </w:tabs>
        <w:numPr>
          <w:ilvl w:val="2"/>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5.08(d)(ii)</w:t>
      </w:r>
      <w:r>
        <w:rPr>
          <w:rFonts w:ascii="Times New Roman" w:cs="Times New Roman" w:eastAsia="Times New Roman" w:hAnsi="Times New Roman"/>
          <w:sz w:val="21"/>
          <w:szCs w:val="21"/>
          <w:color w:val="auto"/>
        </w:rPr>
        <w:t xml:space="preserve"> sets forth a complete and accurate list of all material leases of real property under which the Company or any of its Restricted Subsidiaries is the lessor as of the date hereof, showing as of the date hereof the street address, county or other relevant jurisdiction, state, lessor, lessee and expiration date. Each such lease is the legal, valid and binding obligation of the lessee thereof, enforceable in accordance with its terms.</w:t>
      </w:r>
    </w:p>
    <w:p>
      <w:pPr>
        <w:spacing w:after="0" w:line="16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5.09 Environmental Compliance. </w:t>
      </w:r>
      <w:r>
        <w:rPr>
          <w:rFonts w:ascii="Times New Roman" w:cs="Times New Roman" w:eastAsia="Times New Roman" w:hAnsi="Times New Roman"/>
          <w:sz w:val="21"/>
          <w:szCs w:val="21"/>
          <w:color w:val="auto"/>
        </w:rPr>
        <w:t>The Company has reasonably concluded that existing Environmental Laws and claims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alleging potential liability or responsibility for violation of any Environmental Law on their respective businesses, operations and properties could not, individually or in the aggregate, reasonably be expected to have a Material Adverse Effect.</w:t>
      </w:r>
    </w:p>
    <w:p>
      <w:pPr>
        <w:spacing w:after="0" w:line="156"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5.10</w:t>
      </w:r>
      <w:r>
        <w:rPr>
          <w:sz w:val="20"/>
          <w:szCs w:val="20"/>
          <w:color w:val="auto"/>
        </w:rPr>
        <w:tab/>
      </w:r>
      <w:r>
        <w:rPr>
          <w:rFonts w:ascii="Times New Roman" w:cs="Times New Roman" w:eastAsia="Times New Roman" w:hAnsi="Times New Roman"/>
          <w:sz w:val="20"/>
          <w:szCs w:val="20"/>
          <w:b w:val="1"/>
          <w:bCs w:val="1"/>
          <w:color w:val="auto"/>
        </w:rPr>
        <w:t>Insurance.</w:t>
      </w:r>
    </w:p>
    <w:p>
      <w:pPr>
        <w:spacing w:after="0" w:line="228" w:lineRule="exact"/>
        <w:rPr>
          <w:sz w:val="20"/>
          <w:szCs w:val="20"/>
          <w:color w:val="auto"/>
        </w:rPr>
      </w:pPr>
    </w:p>
    <w:p>
      <w:pPr>
        <w:jc w:val="both"/>
        <w:ind w:left="800" w:firstLine="625"/>
        <w:spacing w:after="0" w:line="253" w:lineRule="auto"/>
        <w:tabs>
          <w:tab w:leader="none" w:pos="1912"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properties of the Company and its Restricted Subsidiaries are insured with financially sound and reputable insurance companies not Affiliates of the Company, in such amounts (after giving effect to any self-insurance compatible with the following standards), with such deductibles and covering such risks as are customarily carried by companies engaged in similar businesses and owning similar properties in localities where the Company or the applicable Restricted Subsidiary operates and as otherwise required by the applicable provisions of this Agreement or any Collateral Document.</w:t>
      </w:r>
    </w:p>
    <w:p>
      <w:pPr>
        <w:spacing w:after="0" w:line="174" w:lineRule="exact"/>
        <w:rPr>
          <w:rFonts w:ascii="Times New Roman" w:cs="Times New Roman" w:eastAsia="Times New Roman" w:hAnsi="Times New Roman"/>
          <w:sz w:val="21"/>
          <w:szCs w:val="21"/>
          <w:color w:val="auto"/>
        </w:rPr>
      </w:pPr>
    </w:p>
    <w:p>
      <w:pPr>
        <w:jc w:val="both"/>
        <w:ind w:left="800" w:firstLine="625"/>
        <w:spacing w:after="0" w:line="253" w:lineRule="auto"/>
        <w:tabs>
          <w:tab w:leader="none" w:pos="1833"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all improved real property constituting collateral security for the Obligations, (i) (x) the Administrative Agent has received, and has received confirmation from each of the Lenders that such Lender has received, standard life of loan flood hazard determination forms, and, if any property is located in a special flood hazard area, evidence of notices to (and confirmations of receipt by) the Company as to the existence of a special flood hazard and (y) the Administrative Agent and each Lender has received evidence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65" w:name="page166"/>
    <w:bookmarkEnd w:id="165"/>
    <w:p>
      <w:pPr>
        <w:jc w:val="both"/>
        <w:ind w:left="800"/>
        <w:spacing w:after="0" w:line="250" w:lineRule="auto"/>
        <w:rPr>
          <w:sz w:val="20"/>
          <w:szCs w:val="20"/>
          <w:color w:val="auto"/>
        </w:rPr>
      </w:pPr>
      <w:r>
        <w:rPr>
          <w:rFonts w:ascii="Times New Roman" w:cs="Times New Roman" w:eastAsia="Times New Roman" w:hAnsi="Times New Roman"/>
          <w:sz w:val="21"/>
          <w:szCs w:val="21"/>
          <w:color w:val="auto"/>
        </w:rPr>
        <w:t>applicable flood insurance, if available, in each case in such form, on such terms and in such amounts as required by Flood Insurance Laws and as otherwise required by the Administrative Agent, (ii) all flood hazard insurance policies required hereunder have been obtained and remain in full force and effect, and the premiums thereon have been paid in full, and (iii) except as the Company has previously given written notice thereof to the Administrative Agent, there has been no redesignation of any property into or out of special flood hazard area.</w:t>
      </w:r>
    </w:p>
    <w:p>
      <w:pPr>
        <w:spacing w:after="0" w:line="172"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5.11 Taxes. </w:t>
      </w:r>
      <w:r>
        <w:rPr>
          <w:rFonts w:ascii="Times New Roman" w:cs="Times New Roman" w:eastAsia="Times New Roman" w:hAnsi="Times New Roman"/>
          <w:sz w:val="21"/>
          <w:szCs w:val="21"/>
          <w:color w:val="auto"/>
        </w:rPr>
        <w:t>The Company and its Subsidiaries have filed all U.S. Federal and all other material Tax returns and reports required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filed, and have paid all U.S. Federal and all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in writing against the Company or any Restricted Subsidiary that would, if made, have a Material Adverse Effect. Neither the Company nor any Restricted Subsidiary is party to any Tax sharing agreement with any Person that is not a Loan Party.</w:t>
      </w:r>
    </w:p>
    <w:p>
      <w:pPr>
        <w:spacing w:after="0" w:line="170"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5.12</w:t>
      </w:r>
      <w:r>
        <w:rPr>
          <w:sz w:val="20"/>
          <w:szCs w:val="20"/>
          <w:color w:val="auto"/>
        </w:rPr>
        <w:tab/>
      </w:r>
      <w:r>
        <w:rPr>
          <w:rFonts w:ascii="Times New Roman" w:cs="Times New Roman" w:eastAsia="Times New Roman" w:hAnsi="Times New Roman"/>
          <w:sz w:val="20"/>
          <w:szCs w:val="20"/>
          <w:b w:val="1"/>
          <w:bCs w:val="1"/>
          <w:color w:val="auto"/>
        </w:rPr>
        <w:t>ERISA Compliance.</w:t>
      </w:r>
    </w:p>
    <w:p>
      <w:pPr>
        <w:spacing w:after="0" w:line="228" w:lineRule="exact"/>
        <w:rPr>
          <w:sz w:val="20"/>
          <w:szCs w:val="20"/>
          <w:color w:val="auto"/>
        </w:rPr>
      </w:pPr>
    </w:p>
    <w:p>
      <w:pPr>
        <w:jc w:val="both"/>
        <w:ind w:firstLine="624"/>
        <w:spacing w:after="0" w:line="250" w:lineRule="auto"/>
        <w:tabs>
          <w:tab w:leader="none" w:pos="106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Plan is in compliance in all material respects with the applicable provisions of ERISA, the Code and other Federal or state laws. Each Plan that is intended to be a qualified plan under Section 401(a) of the Code has received a favorable determination letter from the Internal Revenue Service, or is entitled to rely upon an opinion letter or advisory opinion issued by the Internal Revenue Service with respect to a prototype plan document,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Company, nothing has occurred that would prevent or cause the loss of such tax-qualified status.</w:t>
      </w:r>
    </w:p>
    <w:p>
      <w:pPr>
        <w:spacing w:after="0" w:line="177" w:lineRule="exact"/>
        <w:rPr>
          <w:rFonts w:ascii="Times New Roman" w:cs="Times New Roman" w:eastAsia="Times New Roman" w:hAnsi="Times New Roman"/>
          <w:sz w:val="21"/>
          <w:szCs w:val="21"/>
          <w:color w:val="auto"/>
        </w:rPr>
      </w:pPr>
    </w:p>
    <w:p>
      <w:pPr>
        <w:jc w:val="both"/>
        <w:ind w:firstLine="624"/>
        <w:spacing w:after="0" w:line="257" w:lineRule="auto"/>
        <w:tabs>
          <w:tab w:leader="none" w:pos="1111"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67" w:lineRule="exact"/>
        <w:rPr>
          <w:rFonts w:ascii="Times New Roman" w:cs="Times New Roman" w:eastAsia="Times New Roman" w:hAnsi="Times New Roman"/>
          <w:sz w:val="21"/>
          <w:szCs w:val="21"/>
          <w:color w:val="auto"/>
        </w:rPr>
      </w:pPr>
    </w:p>
    <w:p>
      <w:pPr>
        <w:jc w:val="both"/>
        <w:ind w:firstLine="624"/>
        <w:spacing w:after="0" w:line="249" w:lineRule="auto"/>
        <w:tabs>
          <w:tab w:leader="none" w:pos="1112"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Other than those listed on </w:t>
      </w:r>
      <w:r>
        <w:rPr>
          <w:rFonts w:ascii="Times New Roman" w:cs="Times New Roman" w:eastAsia="Times New Roman" w:hAnsi="Times New Roman"/>
          <w:sz w:val="21"/>
          <w:szCs w:val="21"/>
          <w:u w:val="single" w:color="auto"/>
          <w:color w:val="auto"/>
        </w:rPr>
        <w:t>Schedule 5.12(c)</w:t>
      </w:r>
      <w:r>
        <w:rPr>
          <w:rFonts w:ascii="Times New Roman" w:cs="Times New Roman" w:eastAsia="Times New Roman" w:hAnsi="Times New Roman"/>
          <w:sz w:val="21"/>
          <w:szCs w:val="21"/>
          <w:color w:val="auto"/>
        </w:rPr>
        <w:t xml:space="preserve"> hereto, no ERISA Event has occurred, and neither the Company nor any ERISA Affiliate is aware of any fact, event or circumstance that could reasonably be expected to constitute or result in an ERISA Event with respect to any Pension Plan; (ii) the Company and each ERISA Affiliate has met all applicable requirements under the Pension Funding Rules in respect of each Single Employer Pension Plan (and to the actual knowledge of the Company and its ERISA Affiliates, in respect of each Multiemployer Plan and Multiple Employer Plan) and no waiver of the minimum funding standards under the Pension Funding Rules has been applied for or obtained with respect to any Single Employer Pension Plan (and to the actual knowledge of the Company and its ERISA Affiliate, with respect to any Multiemployer Plan and Multiple Employer Plan); (iii) as of the most recent valuation date for any Single Employer Pension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66" w:name="page167"/>
    <w:bookmarkEnd w:id="166"/>
    <w:p>
      <w:pPr>
        <w:jc w:val="both"/>
        <w:spacing w:after="0" w:line="247" w:lineRule="auto"/>
        <w:rPr>
          <w:sz w:val="20"/>
          <w:szCs w:val="20"/>
          <w:color w:val="auto"/>
        </w:rPr>
      </w:pPr>
      <w:r>
        <w:rPr>
          <w:rFonts w:ascii="Times New Roman" w:cs="Times New Roman" w:eastAsia="Times New Roman" w:hAnsi="Times New Roman"/>
          <w:sz w:val="21"/>
          <w:szCs w:val="21"/>
          <w:color w:val="auto"/>
        </w:rPr>
        <w:t>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2" w:lineRule="exact"/>
        <w:rPr>
          <w:sz w:val="20"/>
          <w:szCs w:val="20"/>
          <w:color w:val="auto"/>
        </w:rPr>
      </w:pPr>
    </w:p>
    <w:p>
      <w:pPr>
        <w:jc w:val="both"/>
        <w:ind w:firstLine="624"/>
        <w:spacing w:after="0" w:line="274" w:lineRule="auto"/>
        <w:tabs>
          <w:tab w:leader="none" w:pos="1046"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Company nor any ERISA Affiliate maintains or contributes to, or has any unsatisfied obligation to contribute to, or liability under, any active or terminated Pension Plan other than (A) on the Closing Date, those listed on </w:t>
      </w:r>
      <w:r>
        <w:rPr>
          <w:rFonts w:ascii="Times New Roman" w:cs="Times New Roman" w:eastAsia="Times New Roman" w:hAnsi="Times New Roman"/>
          <w:sz w:val="20"/>
          <w:szCs w:val="20"/>
          <w:u w:val="single" w:color="auto"/>
          <w:color w:val="auto"/>
        </w:rPr>
        <w:t>Schedule 5.12(d)</w:t>
      </w:r>
      <w:r>
        <w:rPr>
          <w:rFonts w:ascii="Times New Roman" w:cs="Times New Roman" w:eastAsia="Times New Roman" w:hAnsi="Times New Roman"/>
          <w:sz w:val="20"/>
          <w:szCs w:val="20"/>
          <w:color w:val="auto"/>
        </w:rPr>
        <w:t xml:space="preserve"> hereto and</w:t>
      </w:r>
    </w:p>
    <w:p>
      <w:pPr>
        <w:ind w:left="340" w:hanging="337"/>
        <w:spacing w:after="0"/>
        <w:tabs>
          <w:tab w:leader="none" w:pos="34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thereafter, Pension Plans not otherwise prohibited by this Agreement.</w:t>
      </w:r>
    </w:p>
    <w:p>
      <w:pPr>
        <w:spacing w:after="0" w:line="188" w:lineRule="exact"/>
        <w:rPr>
          <w:rFonts w:ascii="Times New Roman" w:cs="Times New Roman" w:eastAsia="Times New Roman" w:hAnsi="Times New Roman"/>
          <w:sz w:val="21"/>
          <w:szCs w:val="21"/>
          <w:color w:val="auto"/>
        </w:rPr>
      </w:pPr>
    </w:p>
    <w:p>
      <w:pPr>
        <w:jc w:val="both"/>
        <w:ind w:firstLine="624"/>
        <w:spacing w:after="0" w:line="263" w:lineRule="auto"/>
        <w:tabs>
          <w:tab w:leader="none" w:pos="1022"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scheme or arrangement mandated by a government other than the United States (a “</w:t>
      </w:r>
      <w:r>
        <w:rPr>
          <w:rFonts w:ascii="Times New Roman" w:cs="Times New Roman" w:eastAsia="Times New Roman" w:hAnsi="Times New Roman"/>
          <w:sz w:val="21"/>
          <w:szCs w:val="21"/>
          <w:u w:val="single" w:color="auto"/>
          <w:color w:val="auto"/>
        </w:rPr>
        <w:t>Foreign Government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Scheme or Arrangement</w:t>
      </w:r>
      <w:r>
        <w:rPr>
          <w:rFonts w:ascii="Times New Roman" w:cs="Times New Roman" w:eastAsia="Times New Roman" w:hAnsi="Times New Roman"/>
          <w:sz w:val="21"/>
          <w:szCs w:val="21"/>
          <w:color w:val="auto"/>
        </w:rPr>
        <w:t>”) and with respect to each employee benefit plan maintained or contributed to by any Loan Party or any Restricted Subsidiary of any Loan Party that is not subject to United States law (a “</w:t>
      </w:r>
      <w:r>
        <w:rPr>
          <w:rFonts w:ascii="Times New Roman" w:cs="Times New Roman" w:eastAsia="Times New Roman" w:hAnsi="Times New Roman"/>
          <w:sz w:val="21"/>
          <w:szCs w:val="21"/>
          <w:u w:val="single" w:color="auto"/>
          <w:color w:val="auto"/>
        </w:rPr>
        <w:t>Foreign Plan</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672"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employer and employee contributions required by law or by the terms of any Foreign Government Scheme or Arrangement or any Foreign Plan have been made, or, if applicable, accrued, in accordance with normal accounting practices, except to the extent that the failure to comply with such law or such terms could not reasonably be expected to have a Material Adverse Effect;</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51" w:lineRule="auto"/>
        <w:tabs>
          <w:tab w:leader="none" w:pos="1742"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to the extent that such insufficiency could not reasonably be expected to have a Material Adverse Effect; and</w:t>
      </w:r>
    </w:p>
    <w:p>
      <w:pPr>
        <w:spacing w:after="0" w:line="177"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826"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Foreign Plan required to be registered has been registered and has been maintained in good standing with applicable regulatory authorities, except to the extent that such failure to register or maintain good standing could not reasonably be expected to have a Material Adverse Effect.</w:t>
      </w:r>
    </w:p>
    <w:p>
      <w:pPr>
        <w:spacing w:after="0" w:line="162" w:lineRule="exact"/>
        <w:rPr>
          <w:rFonts w:ascii="Times New Roman" w:cs="Times New Roman" w:eastAsia="Times New Roman" w:hAnsi="Times New Roman"/>
          <w:sz w:val="21"/>
          <w:szCs w:val="21"/>
          <w:color w:val="auto"/>
        </w:rPr>
      </w:pPr>
    </w:p>
    <w:p>
      <w:pPr>
        <w:jc w:val="both"/>
        <w:ind w:firstLine="624"/>
        <w:spacing w:after="0" w:line="263" w:lineRule="auto"/>
        <w:tabs>
          <w:tab w:leader="none" w:pos="1025"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represents and warrants as of the Closing Date that such Borrower is not and will not be using “plan assets” (within the meaning of 29 CFR § 2510.3-101, as modified by Section 3(42) of ERISA, or otherwise) of one or more Benefit Plans in connection with the Loans, the Letters of Credit or the Commitments.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67" w:name="page168"/>
    <w:bookmarkEnd w:id="167"/>
    <w:p>
      <w:pPr>
        <w:jc w:val="both"/>
        <w:ind w:firstLine="62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5.13 Subsidiaries; Equity Interests; Loan Parties. </w:t>
      </w:r>
      <w:r>
        <w:rPr>
          <w:rFonts w:ascii="Times New Roman" w:cs="Times New Roman" w:eastAsia="Times New Roman" w:hAnsi="Times New Roman"/>
          <w:sz w:val="20"/>
          <w:szCs w:val="20"/>
          <w:color w:val="auto"/>
        </w:rPr>
        <w:t>As of the Closing Date, the Company has no Subsidiaries other than those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specifically disclosed in Part (a)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and all of the outstanding Equity Interests in such Subsidiaries have been validly issued, are fully paid and nonassessable and are owned by the Persons in the amounts specified on Part (a)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free and clear of all Liens except those created under the Collateral Documents and Liens permitted by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 xml:space="preserve">. As of the Closing Date, the Company has no equity investments in any other corporation or entity other than those separately disclosed in the Schedule of Investments provided to the Administrative Agent and the Lenders on the Closing Date. All of the outstanding Equity Interests in the Company have been validly issued and are fully paid and nonassessable. Set forth on Part (b)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is a complete and accurate list of all Loan Parties as of the Closing Date, showing as of the Closing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issued to it by the jurisdiction of its incorporation. Set forth on Part (c)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is a complete and accurate list of all Restricted Subsidiaries (other than Loan Parties) and all Unrestricted Subsidiaries as of the Closing Date. The copy of the charter of each Loan Party and each amendment thereto provided pursuant to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is a true and correct copy of each such document, each of which is valid and in full force and effect.</w:t>
      </w:r>
    </w:p>
    <w:p>
      <w:pPr>
        <w:spacing w:after="0" w:line="172"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5.14</w:t>
      </w:r>
      <w:r>
        <w:rPr>
          <w:sz w:val="20"/>
          <w:szCs w:val="20"/>
          <w:color w:val="auto"/>
        </w:rPr>
        <w:tab/>
      </w:r>
      <w:r>
        <w:rPr>
          <w:rFonts w:ascii="Times New Roman" w:cs="Times New Roman" w:eastAsia="Times New Roman" w:hAnsi="Times New Roman"/>
          <w:sz w:val="20"/>
          <w:szCs w:val="20"/>
          <w:b w:val="1"/>
          <w:bCs w:val="1"/>
          <w:color w:val="auto"/>
        </w:rPr>
        <w:t>Margin Regulations; Investment Company Act.</w:t>
      </w:r>
    </w:p>
    <w:p>
      <w:pPr>
        <w:spacing w:after="0" w:line="228" w:lineRule="exact"/>
        <w:rPr>
          <w:sz w:val="20"/>
          <w:szCs w:val="20"/>
          <w:color w:val="auto"/>
        </w:rPr>
      </w:pPr>
    </w:p>
    <w:p>
      <w:pPr>
        <w:jc w:val="both"/>
        <w:ind w:firstLine="624"/>
        <w:spacing w:after="0" w:line="263" w:lineRule="auto"/>
        <w:tabs>
          <w:tab w:leader="none" w:pos="1099"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62" w:lineRule="exact"/>
        <w:rPr>
          <w:rFonts w:ascii="Times New Roman" w:cs="Times New Roman" w:eastAsia="Times New Roman" w:hAnsi="Times New Roman"/>
          <w:sz w:val="21"/>
          <w:szCs w:val="21"/>
          <w:color w:val="auto"/>
        </w:rPr>
      </w:pPr>
    </w:p>
    <w:p>
      <w:pPr>
        <w:ind w:firstLine="624"/>
        <w:spacing w:after="0" w:line="283" w:lineRule="auto"/>
        <w:tabs>
          <w:tab w:leader="none" w:pos="115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Company, any Person Controlling the Company, or any Subsidiary is or is required to be registered as an “investment company” under the Investment Company Act of 1940.</w:t>
      </w:r>
    </w:p>
    <w:p>
      <w:pPr>
        <w:spacing w:after="0" w:line="137"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5.15 Disclosure. </w:t>
      </w:r>
      <w:r>
        <w:rPr>
          <w:rFonts w:ascii="Times New Roman" w:cs="Times New Roman" w:eastAsia="Times New Roman" w:hAnsi="Times New Roman"/>
          <w:sz w:val="21"/>
          <w:szCs w:val="21"/>
          <w:color w:val="auto"/>
        </w:rPr>
        <w:t>The Company has disclosed to the Administrative Agent and the Lenders all agreements, instruments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written information so furnished) contains any material misstatement of fact or omits to state any material fact necessary to make the statements therein, taken as a whole and in the light of the circumstances under which they were made,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avoidance of doubt, no actual or purported oral statement shall be deemed to modify or qualify any written statement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with respect to projected financial information, the Borrowers represent only that such information was prepared in good faith based upon assumptions believed to be reasonable at the time (it being understood that projected financial information is as to future events and are not to be viewed as facts, projected financial information is subject to significant uncertainties and contingencies, many of which are beyond the control of the Borrowers, that no assurance can be given that any particular projected financial information will be realized and that actual results during the period or periods covered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1"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color w:val="auto"/>
        </w:rPr>
        <w:t>by any of such projected financial information may differ significantly from the projected results and such differences may be material).</w:t>
      </w:r>
    </w:p>
    <w:p>
      <w:pPr>
        <w:spacing w:after="0" w:line="218"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5.16 Compliance with Laws. </w:t>
      </w:r>
      <w:r>
        <w:rPr>
          <w:rFonts w:ascii="Times New Roman" w:cs="Times New Roman" w:eastAsia="Times New Roman" w:hAnsi="Times New Roman"/>
          <w:sz w:val="21"/>
          <w:szCs w:val="21"/>
          <w:color w:val="auto"/>
        </w:rPr>
        <w:t>Each Loan Party and each Subsidiary is in compliance in all material respects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69"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5.17 Taxpayer Identification Number; Other Identifying Information. </w:t>
      </w:r>
      <w:r>
        <w:rPr>
          <w:rFonts w:ascii="Times New Roman" w:cs="Times New Roman" w:eastAsia="Times New Roman" w:hAnsi="Times New Roman"/>
          <w:sz w:val="21"/>
          <w:szCs w:val="21"/>
          <w:color w:val="auto"/>
        </w:rPr>
        <w:t>The true and correct U.S. taxpayer identification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number of the Company is set forth on </w:t>
      </w:r>
      <w:r>
        <w:rPr>
          <w:rFonts w:ascii="Times New Roman" w:cs="Times New Roman" w:eastAsia="Times New Roman" w:hAnsi="Times New Roman"/>
          <w:sz w:val="21"/>
          <w:szCs w:val="21"/>
          <w:u w:val="single" w:color="auto"/>
          <w:color w:val="auto"/>
        </w:rPr>
        <w:t>Schedule 10.02</w:t>
      </w:r>
      <w:r>
        <w:rPr>
          <w:rFonts w:ascii="Times New Roman" w:cs="Times New Roman" w:eastAsia="Times New Roman" w:hAnsi="Times New Roman"/>
          <w:sz w:val="21"/>
          <w:szCs w:val="21"/>
          <w:color w:val="auto"/>
        </w:rPr>
        <w:t>.</w:t>
      </w:r>
    </w:p>
    <w:p>
      <w:pPr>
        <w:spacing w:after="0" w:line="133"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5.18 Intellectual Property; Licenses, Etc. </w:t>
      </w:r>
      <w:r>
        <w:rPr>
          <w:rFonts w:ascii="Times New Roman" w:cs="Times New Roman" w:eastAsia="Times New Roman" w:hAnsi="Times New Roman"/>
          <w:sz w:val="21"/>
          <w:szCs w:val="21"/>
          <w:color w:val="auto"/>
        </w:rPr>
        <w:t>To the best knowledge of the Company and except where failure to do so could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reasonably be expected to have a Material Adverse Effect, (i) the Company and its Restricted Subsidiaries own, or possess the right to use, all of the trademarks, service marks, trade names, copyrights, patents, patent rights, franchises, licenses and other intellectual property rights (collectively, “</w:t>
      </w:r>
      <w:r>
        <w:rPr>
          <w:rFonts w:ascii="Times New Roman" w:cs="Times New Roman" w:eastAsia="Times New Roman" w:hAnsi="Times New Roman"/>
          <w:sz w:val="21"/>
          <w:szCs w:val="21"/>
          <w:u w:val="single" w:color="auto"/>
          <w:color w:val="auto"/>
        </w:rPr>
        <w:t>IP Rights</w:t>
      </w:r>
      <w:r>
        <w:rPr>
          <w:rFonts w:ascii="Times New Roman" w:cs="Times New Roman" w:eastAsia="Times New Roman" w:hAnsi="Times New Roman"/>
          <w:sz w:val="21"/>
          <w:szCs w:val="21"/>
          <w:color w:val="auto"/>
        </w:rPr>
        <w:t>”) that are reasonably necessary for the operation of their respective businesses, without conflict with the rights of any other Person and (ii) no slogan or other advertising device, product, process, method, substance, part or other material now employed, or now contemplated to be employed, by the Company or any Restricted Subsidiary infringes upon any rights held by any other Person. No claim or litigation regarding any of the foregoing is pending or, to the best knowledge of the Company, threatened, which, either individually or in the aggregate, could reasonably be expected to have a Material Adverse Effect.</w:t>
      </w:r>
    </w:p>
    <w:p>
      <w:pPr>
        <w:spacing w:after="0" w:line="171"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5.19 Solvency. </w:t>
      </w:r>
      <w:r>
        <w:rPr>
          <w:rFonts w:ascii="Times New Roman" w:cs="Times New Roman" w:eastAsia="Times New Roman" w:hAnsi="Times New Roman"/>
          <w:sz w:val="21"/>
          <w:szCs w:val="21"/>
          <w:color w:val="auto"/>
        </w:rPr>
        <w:t>The Company is, together with its Restricted Subsidiaries on a consolidated basis, Solvent, and the Loan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on a consolidated basis, Solvent.</w:t>
      </w:r>
    </w:p>
    <w:p>
      <w:pPr>
        <w:spacing w:after="0" w:line="13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5.20 Casualty, Etc. </w:t>
      </w:r>
      <w:r>
        <w:rPr>
          <w:rFonts w:ascii="Times New Roman" w:cs="Times New Roman" w:eastAsia="Times New Roman" w:hAnsi="Times New Roman"/>
          <w:sz w:val="21"/>
          <w:szCs w:val="21"/>
          <w:color w:val="auto"/>
        </w:rPr>
        <w:t>Neither the businesses nor the properties of any Loan Party or any Restricted Subsidiary are affected by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6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5.21 Labor Matters. </w:t>
      </w:r>
      <w:r>
        <w:rPr>
          <w:rFonts w:ascii="Times New Roman" w:cs="Times New Roman" w:eastAsia="Times New Roman" w:hAnsi="Times New Roman"/>
          <w:sz w:val="21"/>
          <w:szCs w:val="21"/>
          <w:color w:val="auto"/>
        </w:rPr>
        <w:t>Except as specifically disclosed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Schedule 5.21</w:t>
      </w:r>
      <w:r>
        <w:rPr>
          <w:rFonts w:ascii="Times New Roman" w:cs="Times New Roman" w:eastAsia="Times New Roman" w:hAnsi="Times New Roman"/>
          <w:sz w:val="21"/>
          <w:szCs w:val="21"/>
          <w:color w:val="auto"/>
        </w:rPr>
        <w:t>, there are no collective bargaining agreements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Multiemployer Plans covering the employees of the Company or any of its Restricted Subsidiaries as of the Closing Date and neither the Company nor any of its Restricted Subsidiaries has suffered any strikes, walkouts, work stoppages or other material labor difficulty within the last five years.</w:t>
      </w:r>
    </w:p>
    <w:p>
      <w:pPr>
        <w:spacing w:after="0" w:line="163"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5.22 Collateral Documents. </w:t>
      </w:r>
      <w:r>
        <w:rPr>
          <w:rFonts w:ascii="Times New Roman" w:cs="Times New Roman" w:eastAsia="Times New Roman" w:hAnsi="Times New Roman"/>
          <w:sz w:val="21"/>
          <w:szCs w:val="21"/>
          <w:color w:val="auto"/>
        </w:rPr>
        <w:t>The provisions of the Collateral Documents are effective to create in favor of the Administrative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Agent for the benefit of the Secured Parties a legal, valid and enforceable first priority Lien (subject to Liens permitted by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on all right, title and interest of the respective Loan Parties in the Collateral described therein, except as enforcement may be limited by equitable principles relating to or limiting creditors’ rights generally or by bankruptcy, insolvency, reorganization, moratorium or similar laws. Except for filings completed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69" w:name="page170"/>
    <w:bookmarkEnd w:id="169"/>
    <w:p>
      <w:pPr>
        <w:spacing w:after="0" w:line="270" w:lineRule="auto"/>
        <w:rPr>
          <w:sz w:val="20"/>
          <w:szCs w:val="20"/>
          <w:color w:val="auto"/>
        </w:rPr>
      </w:pPr>
      <w:r>
        <w:rPr>
          <w:rFonts w:ascii="Times New Roman" w:cs="Times New Roman" w:eastAsia="Times New Roman" w:hAnsi="Times New Roman"/>
          <w:sz w:val="21"/>
          <w:szCs w:val="21"/>
          <w:color w:val="auto"/>
        </w:rPr>
        <w:t>prior to the Closing Date and as contemplated hereby and by the Collateral Documents, no filing or other action will be necessary to perfect or protect such Liens.</w:t>
      </w:r>
    </w:p>
    <w:p>
      <w:pPr>
        <w:spacing w:after="0" w:line="150"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5.23</w:t>
      </w:r>
      <w:r>
        <w:rPr>
          <w:sz w:val="20"/>
          <w:szCs w:val="20"/>
          <w:color w:val="auto"/>
        </w:rPr>
        <w:tab/>
      </w:r>
      <w:r>
        <w:rPr>
          <w:rFonts w:ascii="Times New Roman" w:cs="Times New Roman" w:eastAsia="Times New Roman" w:hAnsi="Times New Roman"/>
          <w:sz w:val="20"/>
          <w:szCs w:val="20"/>
          <w:b w:val="1"/>
          <w:bCs w:val="1"/>
          <w:color w:val="auto"/>
        </w:rPr>
        <w:t>OFAC; Anti-Corruption Laws.</w:t>
      </w:r>
    </w:p>
    <w:p>
      <w:pPr>
        <w:spacing w:after="0" w:line="228" w:lineRule="exact"/>
        <w:rPr>
          <w:sz w:val="20"/>
          <w:szCs w:val="20"/>
          <w:color w:val="auto"/>
        </w:rPr>
      </w:pPr>
    </w:p>
    <w:p>
      <w:pPr>
        <w:jc w:val="both"/>
        <w:ind w:firstLine="624"/>
        <w:spacing w:after="0" w:line="253" w:lineRule="auto"/>
        <w:tabs>
          <w:tab w:leader="none" w:pos="106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any Borrower nor any of its Subsidiaries, nor, to the knowledge of any Borrower and its Subsidiaries, any director, officer, employee, agent, or representative thereof, is an individual or entity that is or is owned or controlled by any individual or entity that is, (i) currently the subject or target of any applicable Sanctions, (ii) included on OFAC’s List of Specially Designated Nationals, Her Majesty’s Treasury’s Consolidated List of Financial Sanctions Targets and the Investment Ban List, or any similar list enforced by any other relevant sanctions authority or (iii) located, organized or resident in a Designated Jurisdiction.</w:t>
      </w:r>
    </w:p>
    <w:p>
      <w:pPr>
        <w:spacing w:after="0" w:line="174" w:lineRule="exact"/>
        <w:rPr>
          <w:rFonts w:ascii="Times New Roman" w:cs="Times New Roman" w:eastAsia="Times New Roman" w:hAnsi="Times New Roman"/>
          <w:sz w:val="21"/>
          <w:szCs w:val="21"/>
          <w:color w:val="auto"/>
        </w:rPr>
      </w:pPr>
    </w:p>
    <w:p>
      <w:pPr>
        <w:jc w:val="both"/>
        <w:ind w:firstLine="624"/>
        <w:spacing w:after="0" w:line="257" w:lineRule="auto"/>
        <w:tabs>
          <w:tab w:leader="none" w:pos="1137"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have conducted their businesses in compliance in all material respects with all Anti-Corruption Laws and Sanctions and, to the extent applicable, Anti-Money Laundering Laws and have instituted and maintained policies and procedures reasonably designed to promote and achieve compliance with such Anti-Corruption Laws, such Anti-Money Laundering Laws and Sanctions.</w:t>
      </w:r>
    </w:p>
    <w:p>
      <w:pPr>
        <w:spacing w:after="0" w:line="16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5.24 Excluded Subsidiaries. </w:t>
      </w:r>
      <w:r>
        <w:rPr>
          <w:rFonts w:ascii="Times New Roman" w:cs="Times New Roman" w:eastAsia="Times New Roman" w:hAnsi="Times New Roman"/>
          <w:sz w:val="21"/>
          <w:szCs w:val="21"/>
          <w:color w:val="auto"/>
        </w:rPr>
        <w:t>None of the Excluded Subsidiaries is currently engaged in any business activity or owns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assets, except as set forth on </w:t>
      </w:r>
      <w:r>
        <w:rPr>
          <w:rFonts w:ascii="Times New Roman" w:cs="Times New Roman" w:eastAsia="Times New Roman" w:hAnsi="Times New Roman"/>
          <w:sz w:val="21"/>
          <w:szCs w:val="21"/>
          <w:u w:val="single" w:color="auto"/>
          <w:color w:val="auto"/>
        </w:rPr>
        <w:t>Schedule 6.12(f)</w:t>
      </w:r>
      <w:r>
        <w:rPr>
          <w:rFonts w:ascii="Times New Roman" w:cs="Times New Roman" w:eastAsia="Times New Roman" w:hAnsi="Times New Roman"/>
          <w:sz w:val="21"/>
          <w:szCs w:val="21"/>
          <w:color w:val="auto"/>
        </w:rPr>
        <w:t>.</w:t>
      </w:r>
    </w:p>
    <w:p>
      <w:pPr>
        <w:spacing w:after="0" w:line="13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5.25</w:t>
      </w:r>
      <w:r>
        <w:rPr>
          <w:sz w:val="20"/>
          <w:szCs w:val="20"/>
          <w:color w:val="auto"/>
        </w:rPr>
        <w:tab/>
      </w:r>
      <w:r>
        <w:rPr>
          <w:rFonts w:ascii="Times New Roman" w:cs="Times New Roman" w:eastAsia="Times New Roman" w:hAnsi="Times New Roman"/>
          <w:sz w:val="20"/>
          <w:szCs w:val="20"/>
          <w:b w:val="1"/>
          <w:bCs w:val="1"/>
          <w:color w:val="auto"/>
        </w:rPr>
        <w:t xml:space="preserve">EEA Financial Institution. </w:t>
      </w:r>
      <w:r>
        <w:rPr>
          <w:rFonts w:ascii="Times New Roman" w:cs="Times New Roman" w:eastAsia="Times New Roman" w:hAnsi="Times New Roman"/>
          <w:sz w:val="20"/>
          <w:szCs w:val="20"/>
          <w:color w:val="auto"/>
        </w:rPr>
        <w:t>No Loan Party is an EEA Financial Institution.</w:t>
      </w:r>
    </w:p>
    <w:p>
      <w:pPr>
        <w:spacing w:after="0" w:line="224"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5.26 Beneficial Ownership Certification. </w:t>
      </w:r>
      <w:r>
        <w:rPr>
          <w:rFonts w:ascii="Times New Roman" w:cs="Times New Roman" w:eastAsia="Times New Roman" w:hAnsi="Times New Roman"/>
          <w:sz w:val="21"/>
          <w:szCs w:val="21"/>
          <w:color w:val="auto"/>
        </w:rPr>
        <w:t>As of the Closing Date, the information included in any Beneficial Ownership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Certification, if applicable, is true and correct in all material respects.</w:t>
      </w:r>
    </w:p>
    <w:p>
      <w:pPr>
        <w:spacing w:after="0" w:line="13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5.27</w:t>
      </w:r>
      <w:r>
        <w:rPr>
          <w:sz w:val="20"/>
          <w:szCs w:val="20"/>
          <w:color w:val="auto"/>
        </w:rPr>
        <w:tab/>
      </w:r>
      <w:r>
        <w:rPr>
          <w:rFonts w:ascii="Times New Roman" w:cs="Times New Roman" w:eastAsia="Times New Roman" w:hAnsi="Times New Roman"/>
          <w:sz w:val="20"/>
          <w:szCs w:val="20"/>
          <w:b w:val="1"/>
          <w:bCs w:val="1"/>
          <w:color w:val="auto"/>
        </w:rPr>
        <w:t xml:space="preserve">Covered Entities. </w:t>
      </w:r>
      <w:r>
        <w:rPr>
          <w:rFonts w:ascii="Times New Roman" w:cs="Times New Roman" w:eastAsia="Times New Roman" w:hAnsi="Times New Roman"/>
          <w:sz w:val="20"/>
          <w:szCs w:val="20"/>
          <w:color w:val="auto"/>
        </w:rPr>
        <w:t>No Loan Party is a Covered Entity.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AFFIRMATIVE COVENANTS</w:t>
      </w:r>
    </w:p>
    <w:p>
      <w:pPr>
        <w:spacing w:after="0" w:line="227"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 xml:space="preserve">So long as any Lender shall have any Commitment hereunder, any Loan or other Obligation (other than any contingent obligation in respect of which no claim has been made) hereunder shall remain unpaid or unsatisfied, or any Letter of Credit or Bankers’ Acceptance shall remain outstanding, the Company shall, and shall (except in the case of the covenants set forth in </w:t>
      </w:r>
      <w:r>
        <w:rPr>
          <w:rFonts w:ascii="Times New Roman" w:cs="Times New Roman" w:eastAsia="Times New Roman" w:hAnsi="Times New Roman"/>
          <w:sz w:val="21"/>
          <w:szCs w:val="21"/>
          <w:u w:val="single" w:color="auto"/>
          <w:color w:val="auto"/>
        </w:rPr>
        <w:t>Sections 6.01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6.03</w:t>
      </w:r>
      <w:r>
        <w:rPr>
          <w:rFonts w:ascii="Times New Roman" w:cs="Times New Roman" w:eastAsia="Times New Roman" w:hAnsi="Times New Roman"/>
          <w:sz w:val="21"/>
          <w:szCs w:val="21"/>
          <w:color w:val="auto"/>
        </w:rPr>
        <w:t>) cause each Restricted Subsidiary to:</w:t>
      </w:r>
    </w:p>
    <w:p>
      <w:pPr>
        <w:spacing w:after="0" w:line="170"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6.01 Financial Statements. </w:t>
      </w:r>
      <w:r>
        <w:rPr>
          <w:rFonts w:ascii="Times New Roman" w:cs="Times New Roman" w:eastAsia="Times New Roman" w:hAnsi="Times New Roman"/>
          <w:sz w:val="21"/>
          <w:szCs w:val="21"/>
          <w:color w:val="auto"/>
        </w:rPr>
        <w:t>Deliver to the Administrative Agent and each Lender, in form and detail reasonably satisfactory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Administrative Agent:</w:t>
      </w:r>
    </w:p>
    <w:p>
      <w:pPr>
        <w:spacing w:after="0" w:line="137" w:lineRule="exact"/>
        <w:rPr>
          <w:sz w:val="20"/>
          <w:szCs w:val="20"/>
          <w:color w:val="auto"/>
        </w:rPr>
      </w:pPr>
    </w:p>
    <w:p>
      <w:pPr>
        <w:jc w:val="both"/>
        <w:ind w:firstLine="624"/>
        <w:spacing w:after="0" w:line="257" w:lineRule="auto"/>
        <w:tabs>
          <w:tab w:leader="none" w:pos="1047"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in any event within 90 days after the end of each fiscal year of the Company (or, if earlier, 15 days after the date required to be filed with the SEC (giving effect to any extension permitted by the SEC so long as the Company provides the Administrative Agent, prior to the date of any such extension, with a reasonably detailed written explanation of its reason for seeking such extension)) (commencing with the fiscal year ended December 31, 2019), (i)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70" w:name="page171"/>
    <w:bookmarkEnd w:id="170"/>
    <w:p>
      <w:pPr>
        <w:jc w:val="both"/>
        <w:spacing w:after="0" w:line="259" w:lineRule="auto"/>
        <w:rPr>
          <w:sz w:val="20"/>
          <w:szCs w:val="20"/>
          <w:color w:val="auto"/>
        </w:rPr>
      </w:pPr>
      <w:r>
        <w:rPr>
          <w:rFonts w:ascii="Times New Roman" w:cs="Times New Roman" w:eastAsia="Times New Roman" w:hAnsi="Times New Roman"/>
          <w:sz w:val="20"/>
          <w:szCs w:val="20"/>
          <w:color w:val="auto"/>
        </w:rPr>
        <w:t>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BDO USA, LLP or another independent certified public accountant of nationally recognized standing, which report and opinion shall be prepared in accordance with generally accepted auditing standards and shall not be subject to any “going concern” or like qualification or exception (other than with respect to, or resulting from, a current debt maturity) or any qualification or exception as to the scope of such audit, (ii) to the extent there are any Unrestricted Subsidiaries as of the end of such fiscal year, a Reconciliation with respect to each of the financial statements described in the foregoing clause (i), all in reasonable detail, such consolidated statements to be certified by the chief executive officer, chief financial officer, treasurer or controller of the Company as fairly presenting in all material respects the financial condition, results of operations, shareholders’ equity and cash flows of the Company and its Restricted Subsidiaries in accordance with GAAP, subject only to normal year-end audit adjustments and the absence of footnotes and (iii) a report summarizing contracts in progress as at the end of such fiscal year;</w:t>
      </w:r>
    </w:p>
    <w:p>
      <w:pPr>
        <w:spacing w:after="0" w:line="174" w:lineRule="exact"/>
        <w:rPr>
          <w:sz w:val="20"/>
          <w:szCs w:val="20"/>
          <w:color w:val="auto"/>
        </w:rPr>
      </w:pPr>
    </w:p>
    <w:p>
      <w:pPr>
        <w:jc w:val="both"/>
        <w:ind w:firstLine="624"/>
        <w:spacing w:after="0" w:line="246" w:lineRule="auto"/>
        <w:tabs>
          <w:tab w:leader="none" w:pos="1046"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in any event within 45 days after the end of each of the first three fiscal quarters of each fiscal year of the Company (or, if earlier, 5 days after the date required to be filed with the SEC (giving effect to any extension permitted by the SEC so long as the Company provides the Administrative Agent, prior to the date of any such extension, with a reasonably detailed written explanation of its reason for seeking such extension)), (i) a consolidated balance sheet of the Company and its Subsidiaries as at the end of such fiscal quarter, and the related consolidated statement of income or operations for such fiscal quarter and for the portion of the Company’s fiscal year then ended, and the related consolidated statement of changes in shareholders’ equity, and cash flows for the portion of the Company’s fiscal year then ended, in each case setting forth in each case in comparative form, as applicable, the figures for the corresponding fiscal quarter of the previous fiscal year and the corresponding portion of the previous fiscal year, all in reasonable detail, such consolidated statements to be certified by the chief executive officer, chief financial officer, treasurer or controller of the Company as fairly presenting in all material respects the financial condition, results of operations, shareholders’ equity and cash flows of the Company and its Subsidiaries in accordance with GAAP, subject only to normal year-end audit adjustments and the absence of footnotes, (ii) to the extent there are any Unrestricted Subsidiaries as of the end of such fiscal quarter, a Reconciliation with respect to each of the financial statements described in the foregoing clause (i), all in reasonable detail, such consolidated statements to be certified by the chief executive officer, chief financial officer, treasurer or controller of the Company as fairly presenting in all material respects the financial condition, results of operations, shareholders’ equity and cash flows of the Company and its Restricted Subsidiaries in accordance with GAAP, subject only to normal year-end audit adjustments and the absence of footnotes and (iii) a report summarizing contracts in progress as at the end of such fiscal quarter; and</w:t>
      </w:r>
    </w:p>
    <w:p>
      <w:pPr>
        <w:spacing w:after="0" w:line="184" w:lineRule="exact"/>
        <w:rPr>
          <w:rFonts w:ascii="Times New Roman" w:cs="Times New Roman" w:eastAsia="Times New Roman" w:hAnsi="Times New Roman"/>
          <w:sz w:val="21"/>
          <w:szCs w:val="21"/>
          <w:color w:val="auto"/>
        </w:rPr>
      </w:pPr>
    </w:p>
    <w:p>
      <w:pPr>
        <w:jc w:val="both"/>
        <w:ind w:firstLine="624"/>
        <w:spacing w:after="0" w:line="263" w:lineRule="auto"/>
        <w:tabs>
          <w:tab w:leader="none" w:pos="106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soon as available, but in any event no later than the date on which the financial statements referred to in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are required to be delivered for any fiscal year of the Company, forecasts prepared by management of the Company of consolidated balance sheets and statements of income or operations and cash flows of the Company and its Restricted Subsidiaries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1"/>
          <w:szCs w:val="21"/>
          <w:color w:val="auto"/>
        </w:rPr>
        <w:t>on a quarterly basis for the immediately following such fiscal year (including the fiscal year in which the latest Maturity Date occurs).</w:t>
      </w: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As to any information contained in materials furnished pursuant to </w:t>
      </w:r>
      <w:r>
        <w:rPr>
          <w:rFonts w:ascii="Times New Roman" w:cs="Times New Roman" w:eastAsia="Times New Roman" w:hAnsi="Times New Roman"/>
          <w:sz w:val="21"/>
          <w:szCs w:val="21"/>
          <w:u w:val="single" w:color="auto"/>
          <w:color w:val="auto"/>
        </w:rPr>
        <w:t>Section 6.02(c)</w:t>
      </w:r>
      <w:r>
        <w:rPr>
          <w:rFonts w:ascii="Times New Roman" w:cs="Times New Roman" w:eastAsia="Times New Roman" w:hAnsi="Times New Roman"/>
          <w:sz w:val="21"/>
          <w:szCs w:val="21"/>
          <w:color w:val="auto"/>
        </w:rPr>
        <w:t>,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spacing w:after="0" w:line="16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6.02</w:t>
      </w:r>
      <w:r>
        <w:rPr>
          <w:sz w:val="20"/>
          <w:szCs w:val="20"/>
          <w:color w:val="auto"/>
        </w:rPr>
        <w:tab/>
      </w:r>
      <w:r>
        <w:rPr>
          <w:rFonts w:ascii="Times New Roman" w:cs="Times New Roman" w:eastAsia="Times New Roman" w:hAnsi="Times New Roman"/>
          <w:sz w:val="20"/>
          <w:szCs w:val="20"/>
          <w:b w:val="1"/>
          <w:bCs w:val="1"/>
          <w:color w:val="auto"/>
        </w:rPr>
        <w:t xml:space="preserve">Certificates; Other Information. </w:t>
      </w:r>
      <w:r>
        <w:rPr>
          <w:rFonts w:ascii="Times New Roman" w:cs="Times New Roman" w:eastAsia="Times New Roman" w:hAnsi="Times New Roman"/>
          <w:sz w:val="20"/>
          <w:szCs w:val="20"/>
          <w:color w:val="auto"/>
        </w:rPr>
        <w:t>Deliver to the Administrative Agent and each Lender:</w:t>
      </w:r>
    </w:p>
    <w:p>
      <w:pPr>
        <w:spacing w:after="0" w:line="228" w:lineRule="exact"/>
        <w:rPr>
          <w:sz w:val="20"/>
          <w:szCs w:val="20"/>
          <w:color w:val="auto"/>
        </w:rPr>
      </w:pPr>
    </w:p>
    <w:p>
      <w:pPr>
        <w:jc w:val="both"/>
        <w:ind w:firstLine="624"/>
        <w:spacing w:after="0" w:line="251" w:lineRule="auto"/>
        <w:tabs>
          <w:tab w:leader="none" w:pos="1151"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concurrently with the delivery of the financial statements referred to in </w:t>
      </w:r>
      <w:r>
        <w:rPr>
          <w:rFonts w:ascii="Times New Roman" w:cs="Times New Roman" w:eastAsia="Times New Roman" w:hAnsi="Times New Roman"/>
          <w:sz w:val="21"/>
          <w:szCs w:val="21"/>
          <w:u w:val="single" w:color="auto"/>
          <w:color w:val="auto"/>
        </w:rPr>
        <w:t>Sections 6.01(a)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(i) a duly completed Compliance Certificate signed by the chief executive officer, chief financial officer, treasurer or controller of the Company (which delivery may, unless the Administrative Agent, or a Lender requests executed originals, be by electronic communication including fax or email and shall be deemed to be an original authentic counterpart thereof for all purposes) and (ii) a certificate of a Responsible Officer of the Company setting forth the details of any reinvestment, repair or replacement being made or completed pursuant to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 xml:space="preserve"> during the relevant period;</w:t>
      </w:r>
    </w:p>
    <w:p>
      <w:pPr>
        <w:spacing w:after="0" w:line="177" w:lineRule="exact"/>
        <w:rPr>
          <w:rFonts w:ascii="Times New Roman" w:cs="Times New Roman" w:eastAsia="Times New Roman" w:hAnsi="Times New Roman"/>
          <w:sz w:val="21"/>
          <w:szCs w:val="21"/>
          <w:color w:val="auto"/>
        </w:rPr>
      </w:pPr>
    </w:p>
    <w:p>
      <w:pPr>
        <w:jc w:val="both"/>
        <w:ind w:firstLine="624"/>
        <w:spacing w:after="0" w:line="257" w:lineRule="auto"/>
        <w:tabs>
          <w:tab w:leader="none" w:pos="1111"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any request by the Administrative Agent or any Lender, copies of any detailed audit reports, management letters or recommendations submitted to the board of directors (or the audit committee of the board of directors) of the Company by independent accountants in connection with the accounts or books of the Company or any Restricted Subsidiary, or any audit of any of them;</w:t>
      </w:r>
    </w:p>
    <w:p>
      <w:pPr>
        <w:spacing w:after="0" w:line="167" w:lineRule="exact"/>
        <w:rPr>
          <w:rFonts w:ascii="Times New Roman" w:cs="Times New Roman" w:eastAsia="Times New Roman" w:hAnsi="Times New Roman"/>
          <w:sz w:val="21"/>
          <w:szCs w:val="21"/>
          <w:color w:val="auto"/>
        </w:rPr>
      </w:pPr>
    </w:p>
    <w:p>
      <w:pPr>
        <w:jc w:val="both"/>
        <w:ind w:firstLine="624"/>
        <w:spacing w:after="0" w:line="257" w:lineRule="auto"/>
        <w:tabs>
          <w:tab w:leader="none" w:pos="1203"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spacing w:after="0" w:line="167" w:lineRule="exact"/>
        <w:rPr>
          <w:rFonts w:ascii="Times New Roman" w:cs="Times New Roman" w:eastAsia="Times New Roman" w:hAnsi="Times New Roman"/>
          <w:sz w:val="21"/>
          <w:szCs w:val="21"/>
          <w:color w:val="auto"/>
        </w:rPr>
      </w:pPr>
    </w:p>
    <w:p>
      <w:pPr>
        <w:jc w:val="both"/>
        <w:ind w:firstLine="624"/>
        <w:spacing w:after="0" w:line="253" w:lineRule="auto"/>
        <w:tabs>
          <w:tab w:leader="none" w:pos="1046"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after the furnishing thereof, copies of any material statement or report furnished to any holder of debt securities of any Loan Party or any Restricted Subsidiary pursuant to the terms of any indenture, loan or credit or similar agreement, in each case, evidencing Indebtedness in excess of $40,000,000 (including, without limitation, copies of all material notices and other information delivered to or received from the Surety) and not otherwise required to be furnished to the Lenders pursuant to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or any other clause of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color w:val="auto"/>
        </w:rPr>
      </w:pPr>
    </w:p>
    <w:p>
      <w:pPr>
        <w:jc w:val="both"/>
        <w:ind w:firstLine="624"/>
        <w:spacing w:after="0" w:line="257" w:lineRule="auto"/>
        <w:tabs>
          <w:tab w:leader="none" w:pos="1099"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and in any event within five Business Days after receipt thereof by the Company or any Restricted Subsidiary, copies of each notice or other correspondence received from the SEC (or comparable agency in any applicable non-U.S. jurisdiction) concerning any investigation or possible investigation or other inquiry by such agency regarding financial or other operational results of the Company or any Restricted Subsidiary;</w:t>
      </w:r>
    </w:p>
    <w:p>
      <w:pPr>
        <w:spacing w:after="0" w:line="167" w:lineRule="exact"/>
        <w:rPr>
          <w:rFonts w:ascii="Times New Roman" w:cs="Times New Roman" w:eastAsia="Times New Roman" w:hAnsi="Times New Roman"/>
          <w:sz w:val="21"/>
          <w:szCs w:val="21"/>
          <w:color w:val="auto"/>
        </w:rPr>
      </w:pPr>
    </w:p>
    <w:p>
      <w:pPr>
        <w:ind w:firstLine="624"/>
        <w:spacing w:after="0" w:line="283" w:lineRule="auto"/>
        <w:tabs>
          <w:tab w:leader="none" w:pos="1038"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any request therefor, information and documentation reasonably requested by the Administrative Agent or any Lender for purposes of compliance with applicable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72" w:name="page173"/>
    <w:bookmarkEnd w:id="172"/>
    <w:p>
      <w:pPr>
        <w:spacing w:after="0" w:line="270" w:lineRule="auto"/>
        <w:rPr>
          <w:sz w:val="20"/>
          <w:szCs w:val="20"/>
          <w:color w:val="auto"/>
        </w:rPr>
      </w:pPr>
      <w:r>
        <w:rPr>
          <w:rFonts w:ascii="Times New Roman" w:cs="Times New Roman" w:eastAsia="Times New Roman" w:hAnsi="Times New Roman"/>
          <w:sz w:val="21"/>
          <w:szCs w:val="21"/>
          <w:color w:val="auto"/>
        </w:rPr>
        <w:t>“know your customer” rules and regulations and Anti-Money Laundering Laws, including, without limitation, the Act and the Beneficial Ownership Regulation; and</w:t>
      </w:r>
    </w:p>
    <w:p>
      <w:pPr>
        <w:spacing w:after="0" w:line="154" w:lineRule="exact"/>
        <w:rPr>
          <w:sz w:val="20"/>
          <w:szCs w:val="20"/>
          <w:color w:val="auto"/>
        </w:rPr>
      </w:pPr>
    </w:p>
    <w:p>
      <w:pPr>
        <w:jc w:val="both"/>
        <w:ind w:firstLine="624"/>
        <w:spacing w:after="0" w:line="263" w:lineRule="auto"/>
        <w:tabs>
          <w:tab w:leader="none" w:pos="1033"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such additional information regarding the business, financial or corporate affairs of the Company or any Restricted Subsidiary, or compliance with the terms of the Loan Documents, as the Administrative Agent or any Lender (acting through the Administrative Agent) may from time to time reasonably request.</w:t>
      </w:r>
    </w:p>
    <w:p>
      <w:pPr>
        <w:spacing w:after="0" w:line="16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deliver paper copies or soft copies (i.e. by electronic mail) of such documents to the Administrative Agent or any Lender upon its request to the Company to deliver such paper copies or soft copies.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70" w:lineRule="exact"/>
        <w:rPr>
          <w:sz w:val="20"/>
          <w:szCs w:val="20"/>
          <w:color w:val="auto"/>
        </w:rPr>
      </w:pPr>
    </w:p>
    <w:p>
      <w:pPr>
        <w:jc w:val="both"/>
        <w:ind w:firstLine="620"/>
        <w:spacing w:after="0" w:line="245" w:lineRule="auto"/>
        <w:rPr>
          <w:sz w:val="20"/>
          <w:szCs w:val="20"/>
          <w:color w:val="auto"/>
        </w:rPr>
      </w:pPr>
      <w:r>
        <w:rPr>
          <w:rFonts w:ascii="Times New Roman" w:cs="Times New Roman" w:eastAsia="Times New Roman" w:hAnsi="Times New Roman"/>
          <w:sz w:val="21"/>
          <w:szCs w:val="21"/>
          <w:color w:val="auto"/>
        </w:rPr>
        <w:t>Each Borrower hereby acknowledges that (a) the Administrative Agent and/or an Arranger may, but shall not be obligated to, make available to the Lenders and the L/C Issuer materials and/or information provided by or on behalf of the Borrowers hereunder (collectively, “</w:t>
      </w:r>
      <w:r>
        <w:rPr>
          <w:rFonts w:ascii="Times New Roman" w:cs="Times New Roman" w:eastAsia="Times New Roman" w:hAnsi="Times New Roman"/>
          <w:sz w:val="21"/>
          <w:szCs w:val="21"/>
          <w:u w:val="single" w:color="auto"/>
          <w:color w:val="auto"/>
        </w:rPr>
        <w:t>Borrower Materials</w:t>
      </w:r>
      <w:r>
        <w:rPr>
          <w:rFonts w:ascii="Times New Roman" w:cs="Times New Roman" w:eastAsia="Times New Roman" w:hAnsi="Times New Roman"/>
          <w:sz w:val="21"/>
          <w:szCs w:val="21"/>
          <w:color w:val="auto"/>
        </w:rPr>
        <w:t>”) by posting the Borrower Materials on Debt Domain, IntraLinks, SyndTrak or another similar electronic system (the “</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and (b) certain of the Lenders (each, a “</w:t>
      </w:r>
      <w:r>
        <w:rPr>
          <w:rFonts w:ascii="Times New Roman" w:cs="Times New Roman" w:eastAsia="Times New Roman" w:hAnsi="Times New Roman"/>
          <w:sz w:val="21"/>
          <w:szCs w:val="21"/>
          <w:u w:val="single" w:color="auto"/>
          <w:color w:val="auto"/>
        </w:rPr>
        <w:t>Public Lender</w:t>
      </w:r>
      <w:r>
        <w:rPr>
          <w:rFonts w:ascii="Times New Roman" w:cs="Times New Roman" w:eastAsia="Times New Roman" w:hAnsi="Times New Roman"/>
          <w:sz w:val="21"/>
          <w:szCs w:val="21"/>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 and the Lenders to treat such Borrower Materials as not containing any material non-public information (although it may be sensitive and proprietary) with respect to such Borrower or its securities for purposes of United States Federal and state securities 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to the extent such Borrower Materials constitute Information, they shall be treated as set forth in </w:t>
      </w:r>
      <w:r>
        <w:rPr>
          <w:rFonts w:ascii="Times New Roman" w:cs="Times New Roman" w:eastAsia="Times New Roman" w:hAnsi="Times New Roman"/>
          <w:sz w:val="21"/>
          <w:szCs w:val="21"/>
          <w:u w:val="single" w:color="auto"/>
          <w:color w:val="auto"/>
        </w:rPr>
        <w:t>Section 10.07</w:t>
      </w:r>
      <w:r>
        <w:rPr>
          <w:rFonts w:ascii="Times New Roman" w:cs="Times New Roman" w:eastAsia="Times New Roman" w:hAnsi="Times New Roman"/>
          <w:sz w:val="21"/>
          <w:szCs w:val="21"/>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86"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6.03 Notices. </w:t>
      </w:r>
      <w:r>
        <w:rPr>
          <w:rFonts w:ascii="Times New Roman" w:cs="Times New Roman" w:eastAsia="Times New Roman" w:hAnsi="Times New Roman"/>
          <w:sz w:val="21"/>
          <w:szCs w:val="21"/>
          <w:color w:val="auto"/>
        </w:rPr>
        <w:t>Reasonably promptly (and in any event within 5 Business Days) after any Loan Party obtains knowledge thereof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notify the Administrative Agent and each Lender (it being</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73" w:name="page174"/>
    <w:bookmarkEnd w:id="173"/>
    <w:p>
      <w:pPr>
        <w:spacing w:after="0" w:line="270" w:lineRule="auto"/>
        <w:rPr>
          <w:sz w:val="20"/>
          <w:szCs w:val="20"/>
          <w:color w:val="auto"/>
        </w:rPr>
      </w:pPr>
      <w:r>
        <w:rPr>
          <w:rFonts w:ascii="Times New Roman" w:cs="Times New Roman" w:eastAsia="Times New Roman" w:hAnsi="Times New Roman"/>
          <w:sz w:val="21"/>
          <w:szCs w:val="21"/>
          <w:color w:val="auto"/>
        </w:rPr>
        <w:t>agreed that notice to the Lenders may be accomplished by the Administrative Agent posting such information on the Platform to the extent requested by the Company):</w:t>
      </w:r>
    </w:p>
    <w:p>
      <w:pPr>
        <w:spacing w:after="0" w:line="154" w:lineRule="exact"/>
        <w:rPr>
          <w:sz w:val="20"/>
          <w:szCs w:val="20"/>
          <w:color w:val="auto"/>
        </w:rPr>
      </w:pPr>
    </w:p>
    <w:p>
      <w:pPr>
        <w:ind w:left="1020" w:hanging="396"/>
        <w:spacing w:after="0"/>
        <w:tabs>
          <w:tab w:leader="none" w:pos="1020"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occurrence of any Default;</w:t>
      </w:r>
    </w:p>
    <w:p>
      <w:pPr>
        <w:spacing w:after="0" w:line="223" w:lineRule="exact"/>
        <w:rPr>
          <w:rFonts w:ascii="Times New Roman" w:cs="Times New Roman" w:eastAsia="Times New Roman" w:hAnsi="Times New Roman"/>
          <w:sz w:val="21"/>
          <w:szCs w:val="21"/>
          <w:color w:val="auto"/>
        </w:rPr>
      </w:pPr>
    </w:p>
    <w:p>
      <w:pPr>
        <w:jc w:val="both"/>
        <w:ind w:firstLine="624"/>
        <w:spacing w:after="0" w:line="251" w:lineRule="auto"/>
        <w:tabs>
          <w:tab w:leader="none" w:pos="1072"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matter that has resulted or could reasonably be expected to result in a Material Adverse Effect, including a Material Adverse Effect that has resulted, or could reasonably be expected to result, from (i) a breach or non-performance of, or any default under, a Contractual Obligation of the Company or any Restricted Subsidiary; (ii) any dispute, litigation, investigation, proceeding or suspension between the Company or any Subsidiary and any Governmental Authority; or (iii) the commencement of, or any material development in, any litigation or proceeding affecting the Company or any Restricted Subsidiary, including pursuant to any applicable Environmental Laws;</w:t>
      </w:r>
    </w:p>
    <w:p>
      <w:pPr>
        <w:spacing w:after="0" w:line="177" w:lineRule="exact"/>
        <w:rPr>
          <w:rFonts w:ascii="Times New Roman" w:cs="Times New Roman" w:eastAsia="Times New Roman" w:hAnsi="Times New Roman"/>
          <w:sz w:val="21"/>
          <w:szCs w:val="21"/>
          <w:color w:val="auto"/>
        </w:rPr>
      </w:pPr>
    </w:p>
    <w:p>
      <w:pPr>
        <w:ind w:left="1020" w:hanging="396"/>
        <w:spacing w:after="0"/>
        <w:tabs>
          <w:tab w:leader="none" w:pos="1020"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occurrence of any ERISA Event;</w:t>
      </w:r>
    </w:p>
    <w:p>
      <w:pPr>
        <w:spacing w:after="0" w:line="223" w:lineRule="exact"/>
        <w:rPr>
          <w:rFonts w:ascii="Times New Roman" w:cs="Times New Roman" w:eastAsia="Times New Roman" w:hAnsi="Times New Roman"/>
          <w:sz w:val="21"/>
          <w:szCs w:val="21"/>
          <w:color w:val="auto"/>
        </w:rPr>
      </w:pPr>
    </w:p>
    <w:p>
      <w:pPr>
        <w:ind w:firstLine="624"/>
        <w:spacing w:after="0" w:line="283" w:lineRule="auto"/>
        <w:tabs>
          <w:tab w:leader="none" w:pos="1059"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any material change in accounting policies or financial reporting practices by the Company or any Restricted Subsidiary, including any determination by the Company referred to in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left="1020" w:hanging="396"/>
        <w:spacing w:after="0"/>
        <w:tabs>
          <w:tab w:leader="none" w:pos="1020"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default under any Senior Notes Document; and</w:t>
      </w:r>
    </w:p>
    <w:p>
      <w:pPr>
        <w:spacing w:after="0" w:line="223" w:lineRule="exact"/>
        <w:rPr>
          <w:rFonts w:ascii="Times New Roman" w:cs="Times New Roman" w:eastAsia="Times New Roman" w:hAnsi="Times New Roman"/>
          <w:sz w:val="21"/>
          <w:szCs w:val="21"/>
          <w:color w:val="auto"/>
        </w:rPr>
      </w:pPr>
    </w:p>
    <w:p>
      <w:pPr>
        <w:jc w:val="both"/>
        <w:ind w:firstLine="624"/>
        <w:spacing w:after="0" w:line="263" w:lineRule="auto"/>
        <w:tabs>
          <w:tab w:leader="none" w:pos="999"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addition of any Restricted Subsidiary as an Indemnitor under the Indemnity Agreement and of the occurrence of (i) any Default under and as defined in the Indemnity Agreement or (ii) of any fact, condition or event that only with the giving of notice or the passage of time or both, would become a Default under and as defined in the Indemnity Agreement.</w:t>
      </w:r>
    </w:p>
    <w:p>
      <w:pPr>
        <w:spacing w:after="0" w:line="162"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 xml:space="preserve">Each notice pursuant to this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21"/>
          <w:szCs w:val="21"/>
          <w:u w:val="single" w:color="auto"/>
          <w:color w:val="auto"/>
        </w:rPr>
        <w:t>Section 6.03(a)</w:t>
      </w:r>
      <w:r>
        <w:rPr>
          <w:rFonts w:ascii="Times New Roman" w:cs="Times New Roman" w:eastAsia="Times New Roman" w:hAnsi="Times New Roman"/>
          <w:sz w:val="21"/>
          <w:szCs w:val="21"/>
          <w:color w:val="auto"/>
        </w:rPr>
        <w:t xml:space="preserve"> shall describe with particularity any and all provisions of this Agreement and any other Loan Document that have been breached. Each notice pursuant to </w:t>
      </w:r>
      <w:r>
        <w:rPr>
          <w:rFonts w:ascii="Times New Roman" w:cs="Times New Roman" w:eastAsia="Times New Roman" w:hAnsi="Times New Roman"/>
          <w:sz w:val="21"/>
          <w:szCs w:val="21"/>
          <w:u w:val="single" w:color="auto"/>
          <w:color w:val="auto"/>
        </w:rPr>
        <w:t>Section 6.03(f)</w:t>
      </w:r>
      <w:r>
        <w:rPr>
          <w:rFonts w:ascii="Times New Roman" w:cs="Times New Roman" w:eastAsia="Times New Roman" w:hAnsi="Times New Roman"/>
          <w:sz w:val="21"/>
          <w:szCs w:val="21"/>
          <w:color w:val="auto"/>
        </w:rPr>
        <w:t xml:space="preserve"> shall describe with particularity any and all provisions of any Surety Credit Documents that have been breached.</w:t>
      </w:r>
    </w:p>
    <w:p>
      <w:pPr>
        <w:spacing w:after="0" w:line="172"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6.04 Payment of Obligations. </w:t>
      </w:r>
      <w:r>
        <w:rPr>
          <w:rFonts w:ascii="Times New Roman" w:cs="Times New Roman" w:eastAsia="Times New Roman" w:hAnsi="Times New Roman"/>
          <w:sz w:val="21"/>
          <w:szCs w:val="21"/>
          <w:color w:val="auto"/>
        </w:rPr>
        <w:t>Pay and discharge as the same shall become due and payable (a) all U.S. Federal and all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Company or such Subsidiary; and (b) all lawful material claims which, if unpaid, would by law become a Lien upon its property.</w:t>
      </w:r>
    </w:p>
    <w:p>
      <w:pPr>
        <w:spacing w:after="0" w:line="169"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6.05 Preservation of Existence, Etc. </w:t>
      </w:r>
      <w:r>
        <w:rPr>
          <w:rFonts w:ascii="Times New Roman" w:cs="Times New Roman" w:eastAsia="Times New Roman" w:hAnsi="Times New Roman"/>
          <w:sz w:val="21"/>
          <w:szCs w:val="21"/>
          <w:color w:val="auto"/>
        </w:rPr>
        <w:t>(a) Preserve, renew and maintain in full force and effect its legal existence and good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standing under the Laws of the jurisdiction of its organization except in a transaction permitted by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7.05</w:t>
      </w:r>
      <w:r>
        <w:rPr>
          <w:rFonts w:ascii="Times New Roman" w:cs="Times New Roman" w:eastAsia="Times New Roman" w:hAnsi="Times New Roman"/>
          <w:sz w:val="21"/>
          <w:szCs w:val="21"/>
          <w:color w:val="auto"/>
        </w:rPr>
        <w:t>, except to the extent a failure to maintain good standing could not reasonably be expected to have a Material Adverse Effect; (b) take all reasonable action to maintain all rights, privileges, permits, licenses and franchises necessary or desirable in the normal conduct of its business, except to the extent that failure to do so could not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6" w:right="239" w:bottom="1440" w:gutter="0" w:footer="0" w:header="0"/>
        </w:sectPr>
      </w:pPr>
    </w:p>
    <w:bookmarkStart w:id="174" w:name="page175"/>
    <w:bookmarkEnd w:id="174"/>
    <w:p>
      <w:pPr>
        <w:jc w:val="both"/>
        <w:spacing w:after="0" w:line="270" w:lineRule="auto"/>
        <w:rPr>
          <w:sz w:val="20"/>
          <w:szCs w:val="20"/>
          <w:color w:val="auto"/>
        </w:rPr>
      </w:pPr>
      <w:r>
        <w:rPr>
          <w:rFonts w:ascii="Times New Roman" w:cs="Times New Roman" w:eastAsia="Times New Roman" w:hAnsi="Times New Roman"/>
          <w:sz w:val="21"/>
          <w:szCs w:val="21"/>
          <w:color w:val="auto"/>
        </w:rPr>
        <w:t>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5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6.06 Maintenance of Properties. </w:t>
      </w:r>
      <w:r>
        <w:rPr>
          <w:rFonts w:ascii="Times New Roman" w:cs="Times New Roman" w:eastAsia="Times New Roman" w:hAnsi="Times New Roman"/>
          <w:sz w:val="21"/>
          <w:szCs w:val="21"/>
          <w:color w:val="auto"/>
        </w:rPr>
        <w:t>Except where the failure to do so could not reasonably be expected to have a Material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Adverse Effect, (a) maintain, preserve and protect all of its material properties and equipment necessary in the operation of its business in good working order and condition, ordinary wear and tear excepted; and (b) make all necessary repairs thereto and renewals and replacements thereof.</w:t>
      </w:r>
    </w:p>
    <w:p>
      <w:pPr>
        <w:spacing w:after="0" w:line="16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6.07</w:t>
      </w:r>
      <w:r>
        <w:rPr>
          <w:sz w:val="20"/>
          <w:szCs w:val="20"/>
          <w:color w:val="auto"/>
        </w:rPr>
        <w:tab/>
      </w:r>
      <w:r>
        <w:rPr>
          <w:rFonts w:ascii="Times New Roman" w:cs="Times New Roman" w:eastAsia="Times New Roman" w:hAnsi="Times New Roman"/>
          <w:sz w:val="20"/>
          <w:szCs w:val="20"/>
          <w:b w:val="1"/>
          <w:bCs w:val="1"/>
          <w:color w:val="auto"/>
        </w:rPr>
        <w:t>Maintenance of Insurance.</w:t>
      </w:r>
    </w:p>
    <w:p>
      <w:pPr>
        <w:spacing w:after="0" w:line="228" w:lineRule="exact"/>
        <w:rPr>
          <w:sz w:val="20"/>
          <w:szCs w:val="20"/>
          <w:color w:val="auto"/>
        </w:rPr>
      </w:pPr>
    </w:p>
    <w:p>
      <w:pPr>
        <w:jc w:val="both"/>
        <w:ind w:left="800" w:firstLine="625"/>
        <w:spacing w:after="0" w:line="248" w:lineRule="auto"/>
        <w:tabs>
          <w:tab w:leader="none" w:pos="1886"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with financially sound and reputable insurance companies not Affiliates of the Company, (a) insurance with respect to its properties and business against loss or damage of the kinds customarily insured against by Persons engaged in the same or similar business, of such types and in such amounts (after giving effect to any self -insurance compatible with the following standards) as are customarily carried under similar circumstances by such other Persons and providing for not less than 30 days’ prior notice to the Administrative Agent of termination, lapse or cancellation of such insurance and otherwise in compliance with any applicable provisions of any Collateral Document (it being understood that such insurance shall include Federal flood insurance for all real property constituting Collateral that is located in a flood hazard area) and (b) business interruption insurance in an amount not less than $3,000,000 per occurrence and providing for not less than 30 days’ prior notice to the Administrative Agent of termination, lapse or cancellation of such insurance.</w:t>
      </w:r>
    </w:p>
    <w:p>
      <w:pPr>
        <w:spacing w:after="0" w:line="183" w:lineRule="exact"/>
        <w:rPr>
          <w:rFonts w:ascii="Times New Roman" w:cs="Times New Roman" w:eastAsia="Times New Roman" w:hAnsi="Times New Roman"/>
          <w:sz w:val="21"/>
          <w:szCs w:val="21"/>
          <w:color w:val="auto"/>
        </w:rPr>
      </w:pPr>
    </w:p>
    <w:p>
      <w:pPr>
        <w:jc w:val="both"/>
        <w:ind w:left="800" w:firstLine="625"/>
        <w:spacing w:after="0" w:line="250" w:lineRule="auto"/>
        <w:tabs>
          <w:tab w:leader="none" w:pos="1846"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(i) maintain, if available, fully paid flood hazard insurance on all real property that is located in a special flood hazard area and that constitutes collateral security for the Obligations, on such terms and in such amounts as required by Flood Insurance Laws and as otherwise required by the Administrative Agent, (ii) furnish to the Administrative Agent (for further delivery to each Lender) evidence of the renewal (and payment of renewal premiums therefor) of all such policies prior to the expiration or lapse thereof, and (iii) furnish to the Administrative Agent (for further delivery to each Lender) prompt written notice of any redesignation of any such improved real property into or out of a special flood hazard area.</w:t>
      </w:r>
    </w:p>
    <w:p>
      <w:pPr>
        <w:spacing w:after="0" w:line="173"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6.08 Compliance with Laws. </w:t>
      </w:r>
      <w:r>
        <w:rPr>
          <w:rFonts w:ascii="Times New Roman" w:cs="Times New Roman" w:eastAsia="Times New Roman" w:hAnsi="Times New Roman"/>
          <w:sz w:val="21"/>
          <w:szCs w:val="21"/>
          <w:color w:val="auto"/>
        </w:rPr>
        <w:t>Comply in all material respects with the requirements of all Laws and all orders, writs, injunctions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and its Subsidiaries shall comply with all Laws, orders, writs, injunctions and decrees described in </w:t>
      </w:r>
      <w:r>
        <w:rPr>
          <w:rFonts w:ascii="Times New Roman" w:cs="Times New Roman" w:eastAsia="Times New Roman" w:hAnsi="Times New Roman"/>
          <w:sz w:val="21"/>
          <w:szCs w:val="21"/>
          <w:u w:val="single" w:color="auto"/>
          <w:color w:val="auto"/>
        </w:rPr>
        <w:t>Section 5.23</w:t>
      </w:r>
      <w:r>
        <w:rPr>
          <w:rFonts w:ascii="Times New Roman" w:cs="Times New Roman" w:eastAsia="Times New Roman" w:hAnsi="Times New Roman"/>
          <w:sz w:val="21"/>
          <w:szCs w:val="21"/>
          <w:color w:val="auto"/>
        </w:rPr>
        <w:t xml:space="preserve"> in all respects.</w:t>
      </w:r>
    </w:p>
    <w:p>
      <w:pPr>
        <w:spacing w:after="0" w:line="169"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6.09 Books and Records. </w:t>
      </w:r>
      <w:r>
        <w:rPr>
          <w:rFonts w:ascii="Times New Roman" w:cs="Times New Roman" w:eastAsia="Times New Roman" w:hAnsi="Times New Roman"/>
          <w:sz w:val="21"/>
          <w:szCs w:val="21"/>
          <w:color w:val="auto"/>
        </w:rPr>
        <w:t>Maintain proper books of record and account, in which full, true and correct entries in conformity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GAAP consistently applied shall be made of all financial</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1"/>
          <w:szCs w:val="21"/>
          <w:color w:val="auto"/>
        </w:rPr>
        <w:t>transactions and matters involving the assets and business of the Company or such Restricted Subsidiary, as the case may be.</w:t>
      </w:r>
    </w:p>
    <w:p>
      <w:pPr>
        <w:spacing w:after="0" w:line="207"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6.10 Inspection Rights. </w:t>
      </w:r>
      <w:r>
        <w:rPr>
          <w:rFonts w:ascii="Times New Roman" w:cs="Times New Roman" w:eastAsia="Times New Roman" w:hAnsi="Times New Roman"/>
          <w:sz w:val="21"/>
          <w:szCs w:val="21"/>
          <w:color w:val="auto"/>
        </w:rPr>
        <w:t>Permit representatives and independent contractors of the Administrative Agent to visit and inspect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upon reasonable advance notice to the Company and to permit the Administrative Agent to access property to conduct an environmental assessment or request an environmental questionnaire if an Event of Default has occurred or the Administrative Agent has a reasonable basis to believe that a material environmental liability exists;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representatives and independent contractors of each Lender may accompany the representatives and independent contractors of the Administrative Agent on each such visit and inspection and participate therein, but at such Lender’s own expense, (b) unless an Event of Default exists, only one such visit, inspection, examination or discussion may be conducted per fiscal year and (c) when an Event of Default exists the Administrative Agent or any Lender (or any of their respective representatives or independent contractors) may do any of the foregoing as often as may be reasonably desired at the expense of the Company at any time during normal business hours and without advance notice.</w:t>
      </w:r>
    </w:p>
    <w:p>
      <w:pPr>
        <w:spacing w:after="0" w:line="183"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6.11 Use of Proceeds. </w:t>
      </w:r>
      <w:r>
        <w:rPr>
          <w:rFonts w:ascii="Times New Roman" w:cs="Times New Roman" w:eastAsia="Times New Roman" w:hAnsi="Times New Roman"/>
          <w:sz w:val="21"/>
          <w:szCs w:val="21"/>
          <w:color w:val="auto"/>
        </w:rPr>
        <w:t>Use the proceeds of the Credit Extensions (a) for working capital, capital expenditures and other general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corporate purposes not in contravention of any Law or of any Loan Document, (b) to finance Permitted Acquisitions, (c) to repay, prepay, redeem or repurchase the Senior Notes Indebtedness or any Indebtedness to the extent that such repayment, prepayment, redemption or repurchase is permitted by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 xml:space="preserve"> and (d) in the case of the Term Loans advanced on the Closing Date, to repay in full all principal and accrued interest with respect to the Term Loans (as defined in the Existing Credit Agreement) outstanding under the Existing Credit Agreement.</w:t>
      </w:r>
    </w:p>
    <w:p>
      <w:pPr>
        <w:spacing w:after="0" w:line="171"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21"/>
          <w:szCs w:val="21"/>
          <w:b w:val="1"/>
          <w:bCs w:val="1"/>
          <w:color w:val="auto"/>
        </w:rPr>
        <w:t>6.12</w:t>
      </w:r>
      <w:r>
        <w:rPr>
          <w:sz w:val="20"/>
          <w:szCs w:val="20"/>
          <w:color w:val="auto"/>
        </w:rPr>
        <w:tab/>
      </w:r>
      <w:r>
        <w:rPr>
          <w:rFonts w:ascii="Times New Roman" w:cs="Times New Roman" w:eastAsia="Times New Roman" w:hAnsi="Times New Roman"/>
          <w:sz w:val="20"/>
          <w:szCs w:val="20"/>
          <w:b w:val="1"/>
          <w:bCs w:val="1"/>
          <w:color w:val="auto"/>
        </w:rPr>
        <w:t>Covenant to Guarantee Obligations and Give Security.</w:t>
      </w:r>
    </w:p>
    <w:p>
      <w:pPr>
        <w:spacing w:after="0" w:line="228" w:lineRule="exact"/>
        <w:rPr>
          <w:sz w:val="20"/>
          <w:szCs w:val="20"/>
          <w:color w:val="auto"/>
        </w:rPr>
      </w:pPr>
    </w:p>
    <w:p>
      <w:pPr>
        <w:jc w:val="both"/>
        <w:ind w:firstLine="624"/>
        <w:spacing w:after="0" w:line="247" w:lineRule="auto"/>
        <w:tabs>
          <w:tab w:leader="none" w:pos="106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and will cause each Subsidiary that is or is required to be a Loan Party to, from time to time, take such actions and execute and deliver such documents and instruments as the Administrative Agent shall require to ensure that the Administrative Agent on behalf of the Secured Parties shall have received currently effective duly executed Collateral Documents pledging and granting security interests or other Liens acceptable to the Administrative Agent on substantially all of the assets of each Loan Party, whether now owned or hereafter acquired, including: (i) all Equity Interests of any Subsidiary (limited, in the case of each entity that is a CFC or a CFC Holdco, to a pledge of 66% of the voting Equity Interests of each such first-tier CFC or first-tier CFC Holdco); (ii) all Indebtedness of the Company or any Subsidiary to any Loan Party; (iii) all of the other present and future property and assets, real and personal, of each Loan Party, including, but not limited to, machinery and equipment, inventory and other goods, accounts receivable, owned real estate, leaseholds, fixtures, bank accounts, general intangibles, financial assets, investment property, license rights, patents, trademarks, tradenames, copyrights, chattel paper, insurance proceeds, contract rights, hedge agreements, documents, instruments, indemnification rights, Tax refunds and cash; and (iv) all proceeds and products of the property and assets described in clauses (i) through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76" w:name="page177"/>
    <w:bookmarkEnd w:id="176"/>
    <w:p>
      <w:pPr>
        <w:ind w:firstLine="3"/>
        <w:spacing w:after="0" w:line="270" w:lineRule="auto"/>
        <w:tabs>
          <w:tab w:leader="none" w:pos="366"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(each term used in this sentence that is defined in Article 9 of the UCC shall have the meaning therein defined), but excluding all Excluded Assets.</w:t>
      </w:r>
    </w:p>
    <w:p>
      <w:pPr>
        <w:spacing w:after="0" w:line="154" w:lineRule="exact"/>
        <w:rPr>
          <w:rFonts w:ascii="Times New Roman" w:cs="Times New Roman" w:eastAsia="Times New Roman" w:hAnsi="Times New Roman"/>
          <w:sz w:val="21"/>
          <w:szCs w:val="21"/>
          <w:color w:val="auto"/>
        </w:rPr>
      </w:pPr>
    </w:p>
    <w:p>
      <w:pPr>
        <w:ind w:left="1060" w:hanging="436"/>
        <w:spacing w:after="0"/>
        <w:tabs>
          <w:tab w:leader="none" w:pos="106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interests and Liens referenced in the foregoing subsection (a) shall be evidenced by and subject to the terms of</w:t>
      </w:r>
    </w:p>
    <w:p>
      <w:pPr>
        <w:spacing w:after="0" w:line="38" w:lineRule="exact"/>
        <w:rPr>
          <w:rFonts w:ascii="Times New Roman" w:cs="Times New Roman" w:eastAsia="Times New Roman" w:hAnsi="Times New Roman"/>
          <w:sz w:val="20"/>
          <w:szCs w:val="20"/>
          <w:color w:val="auto"/>
        </w:rPr>
      </w:pPr>
    </w:p>
    <w:p>
      <w:pPr>
        <w:jc w:val="both"/>
        <w:ind w:firstLine="3"/>
        <w:spacing w:after="0" w:line="249" w:lineRule="auto"/>
        <w:tabs>
          <w:tab w:leader="none" w:pos="249"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Collateral Documents, and (ii) such other security agreements, pledge agreements, deeds of trust, mortgages or other documents as the Administrative Agent shall reasonably require, all in form and substance reasonably satisfactory to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under no circumstances shall any Loan Party be required to take any actions with respect to real property that is not Material Real Property.</w:t>
      </w:r>
    </w:p>
    <w:p>
      <w:pPr>
        <w:spacing w:after="0" w:line="176" w:lineRule="exact"/>
        <w:rPr>
          <w:rFonts w:ascii="Times New Roman" w:cs="Times New Roman" w:eastAsia="Times New Roman" w:hAnsi="Times New Roman"/>
          <w:sz w:val="21"/>
          <w:szCs w:val="21"/>
          <w:color w:val="auto"/>
        </w:rPr>
      </w:pPr>
    </w:p>
    <w:p>
      <w:pPr>
        <w:jc w:val="both"/>
        <w:ind w:firstLine="624"/>
        <w:spacing w:after="0" w:line="259" w:lineRule="auto"/>
        <w:tabs>
          <w:tab w:leader="none" w:pos="1164"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Collateral Documents shall (i) constitute valid and enforceable perfected security interests and mortgages superior to and prior to the rights of all third Persons (other than Liens permitted pursuant to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except </w:t>
      </w:r>
      <w:r>
        <w:rPr>
          <w:rFonts w:ascii="Times New Roman" w:cs="Times New Roman" w:eastAsia="Times New Roman" w:hAnsi="Times New Roman"/>
          <w:sz w:val="20"/>
          <w:szCs w:val="20"/>
          <w:u w:val="single" w:color="auto"/>
          <w:color w:val="auto"/>
        </w:rPr>
        <w:t>Section 7.01(n)</w:t>
      </w:r>
      <w:r>
        <w:rPr>
          <w:rFonts w:ascii="Times New Roman" w:cs="Times New Roman" w:eastAsia="Times New Roman" w:hAnsi="Times New Roman"/>
          <w:sz w:val="20"/>
          <w:szCs w:val="20"/>
          <w:color w:val="auto"/>
        </w:rPr>
        <w:t xml:space="preserve">) and shall be subject to no Liens (other than Liens permitted pursuant to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and (ii) be duly recorded or filed (or memoranda or other appropriate record thereof recorded or filed) in such manner and in such places as are required by law to establish, perfect, preserve and protect the Liens in favor of the Administrative Agent required to be granted pursuant thereto and, in each case, all Taxes, fees and other charges payable in connection therewith shall be paid in full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perfection actions will be required with respect to any Collateral for which the cost of perfecting a security interest in such Collateral exceeds the practical benefit to the Secured Parties as reasonably determined in good faith by the Administrative Agent (it being acknowledged that no Loan Party shall be required to (i) record the Administrative Agent’s Lien on the certificate of title with respect to any motor vehicles, trailers, mobile homes, manufactured homes, boats or rolling stock that constitute Collateral to the extent any such Collateral has a fair market value of less than $250,000, (ii) take any perfection actions with respect to letter of credit rights or commercial tort claims that constitute Collateral, in either case to the extent any such Collateral is in an individual amount of less than $1,000,000 and (iii) take any perfection actions with respect to real property that is not Material Real Property). For the avoidance of doubt, a discretionary waiver by the Administrative Agent of any perfection requirements under this clause (c) shall have no effect on any determination with respect to which Subsidiaries must or may be Loan Parties, Restricted Subsidiaries or Unrestricted Subsidiaries pursuant to clauses (d) through (i) of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624"/>
        <w:spacing w:after="0" w:line="250" w:lineRule="auto"/>
        <w:tabs>
          <w:tab w:leader="none" w:pos="1137"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proviso at the end of this clause (d) and clause (e)(iii) of this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if any Person becomes (I) a Restricted Subsidiary (other than an Immaterial Subsidiary), whether upon formation or acquisition or upon the Company’s re-designation of any Unrestricted Subsidiary as a Restricted Subsidiary, or (II) a Material Subsidiary, the Company will (x) promptly notify the Administrative Agent thereof and, (y) as soon as practicable but in any event within 60 days of such Person becoming such a Restricted Subsidiary or Material Subsidiary (or, such longer period as may be approved by the Administrative Agent in its sole discretion), deliver or cause to be delivered to the Administrative Agent each of the following documents (collectively, the “</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Guarantor Deliverables</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left="1620" w:hanging="376"/>
        <w:spacing w:after="0"/>
        <w:tabs>
          <w:tab w:leader="none" w:pos="1620" w:val="left"/>
        </w:tabs>
        <w:numPr>
          <w:ilvl w:val="2"/>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Subsidiary Guaranty Joinder Agreement duly executed by such Subsidiary;</w:t>
      </w:r>
    </w:p>
    <w:p>
      <w:pPr>
        <w:spacing w:after="0" w:line="223" w:lineRule="exact"/>
        <w:rPr>
          <w:rFonts w:ascii="Times New Roman" w:cs="Times New Roman" w:eastAsia="Times New Roman" w:hAnsi="Times New Roman"/>
          <w:sz w:val="21"/>
          <w:szCs w:val="21"/>
          <w:color w:val="auto"/>
        </w:rPr>
      </w:pPr>
    </w:p>
    <w:p>
      <w:pPr>
        <w:ind w:left="1660" w:hanging="416"/>
        <w:spacing w:after="0"/>
        <w:tabs>
          <w:tab w:leader="none" w:pos="1660" w:val="left"/>
        </w:tabs>
        <w:numPr>
          <w:ilvl w:val="2"/>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Security Joinder Agreement duly executed by such Subsidiary (with all schedules thereto appropriately completed);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77" w:name="page178"/>
    <w:bookmarkEnd w:id="177"/>
    <w:p>
      <w:pPr>
        <w:jc w:val="both"/>
        <w:ind w:left="620" w:firstLine="624"/>
        <w:spacing w:after="0" w:line="250" w:lineRule="auto"/>
        <w:tabs>
          <w:tab w:leader="none" w:pos="1761"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required to grant the security interest described in </w:t>
      </w:r>
      <w:r>
        <w:rPr>
          <w:rFonts w:ascii="Times New Roman" w:cs="Times New Roman" w:eastAsia="Times New Roman" w:hAnsi="Times New Roman"/>
          <w:sz w:val="21"/>
          <w:szCs w:val="21"/>
          <w:u w:val="single" w:color="auto"/>
          <w:color w:val="auto"/>
        </w:rPr>
        <w:t>Section 6.12(a)(i)</w:t>
      </w:r>
      <w:r>
        <w:rPr>
          <w:rFonts w:ascii="Times New Roman" w:cs="Times New Roman" w:eastAsia="Times New Roman" w:hAnsi="Times New Roman"/>
          <w:sz w:val="21"/>
          <w:szCs w:val="21"/>
          <w:color w:val="auto"/>
        </w:rPr>
        <w:t>, (A) a Pledge Joinder Agreement duly executed by such Subsidiary with respect to any Equity Interests it owns in any Subsidiary (with all schedules thereto appropriately completed), (B) a Pledge Joinder Agreement or Pledge Agreement Supplement, as appropriate, duly executed by each Loan Party that owns any Equity Interest in such Subsidiary (with all schedules thereto appropriately completed), and (C) to the extent any of such Equity Interests constitutes a security under Article 8 of the Uniform Commercial Code, (x) the certificates representing such Equity Interests and (y) duly executed, undated stock powers or other appropriate powers of assignment in blank affixed thereto;</w:t>
      </w:r>
    </w:p>
    <w:p>
      <w:pPr>
        <w:spacing w:after="0" w:line="177"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724"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Mortgages with respect to such Subsidiary’s Material Real Property duly executed by such Subsidiary, together with such Real Estate Support Documents prepared or customarily prepared in connection with such Mortgages as the Administrative Agent may reasonably request;</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53" w:lineRule="auto"/>
        <w:tabs>
          <w:tab w:leader="none" w:pos="1653"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Uniform Commercial Code financing statements naming such Subsidiary as “Debtor” and naming the Administrative Agent as “Secured Party”, in form, substance and number sufficient in the opinion of the Administrative Agent and its special counsel to be filed in all Uniform Commercial Code filing offices and in all jurisdictions in which filing is necessary or advisable to perfect in favor of the Administrative Agent the Liens on the Collateral conferred under the Collateral Documents to the extent such Liens may be perfected by Uniform Commercial Code filings;</w:t>
      </w:r>
    </w:p>
    <w:p>
      <w:pPr>
        <w:spacing w:after="0" w:line="174" w:lineRule="exact"/>
        <w:rPr>
          <w:rFonts w:ascii="Times New Roman" w:cs="Times New Roman" w:eastAsia="Times New Roman" w:hAnsi="Times New Roman"/>
          <w:sz w:val="21"/>
          <w:szCs w:val="21"/>
          <w:color w:val="auto"/>
        </w:rPr>
      </w:pPr>
    </w:p>
    <w:p>
      <w:pPr>
        <w:jc w:val="both"/>
        <w:ind w:left="620" w:firstLine="624"/>
        <w:spacing w:after="0" w:line="253" w:lineRule="auto"/>
        <w:tabs>
          <w:tab w:leader="none" w:pos="184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current copies of the Organization Documents of such Subsidiary and resolutions of the board of directors, or equivalent governing body, of such Subsidiary, together with such other documents and certificates as the Administrative Agent or its counsel may reasonably request relating to the organization, existence and good standing (or the local equivalent) of such Subsidiary, the authorization of the transactions contemplated by the Loan Documents and any other legal matters relating to such Subsidiary, the Loan Documents or the transactions contemplated thereby;</w:t>
      </w:r>
    </w:p>
    <w:p>
      <w:pPr>
        <w:spacing w:after="0" w:line="174" w:lineRule="exact"/>
        <w:rPr>
          <w:rFonts w:ascii="Times New Roman" w:cs="Times New Roman" w:eastAsia="Times New Roman" w:hAnsi="Times New Roman"/>
          <w:sz w:val="21"/>
          <w:szCs w:val="21"/>
          <w:color w:val="auto"/>
        </w:rPr>
      </w:pPr>
    </w:p>
    <w:p>
      <w:pPr>
        <w:ind w:left="1780" w:hanging="536"/>
        <w:spacing w:after="0"/>
        <w:tabs>
          <w:tab w:leader="none" w:pos="17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acknowledgment to the Intercreditor Agreement duly executed by such Subsidiary;</w:t>
      </w:r>
    </w:p>
    <w:p>
      <w:pPr>
        <w:spacing w:after="0" w:line="223"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877"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requested by the Administrative Agent, opinions of counsel to the applicable Loan Parties and such Subsidiary with respect to the documents delivered and the transactions contemplated by this </w:t>
      </w:r>
      <w:r>
        <w:rPr>
          <w:rFonts w:ascii="Times New Roman" w:cs="Times New Roman" w:eastAsia="Times New Roman" w:hAnsi="Times New Roman"/>
          <w:sz w:val="21"/>
          <w:szCs w:val="21"/>
          <w:u w:val="single" w:color="auto"/>
          <w:color w:val="auto"/>
        </w:rPr>
        <w:t>Section 6.12(d)</w:t>
      </w:r>
      <w:r>
        <w:rPr>
          <w:rFonts w:ascii="Times New Roman" w:cs="Times New Roman" w:eastAsia="Times New Roman" w:hAnsi="Times New Roman"/>
          <w:sz w:val="21"/>
          <w:szCs w:val="21"/>
          <w:color w:val="auto"/>
        </w:rPr>
        <w:t xml:space="preserve"> substantially similar in form and substance to the opinion(s) of counsel delivered on the Closing Date pursuant to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 and</w:t>
      </w:r>
    </w:p>
    <w:p>
      <w:pPr>
        <w:spacing w:after="0" w:line="162" w:lineRule="exact"/>
        <w:rPr>
          <w:rFonts w:ascii="Times New Roman" w:cs="Times New Roman" w:eastAsia="Times New Roman" w:hAnsi="Times New Roman"/>
          <w:sz w:val="21"/>
          <w:szCs w:val="21"/>
          <w:color w:val="auto"/>
        </w:rPr>
      </w:pPr>
    </w:p>
    <w:p>
      <w:pPr>
        <w:ind w:left="620" w:firstLine="624"/>
        <w:spacing w:after="0" w:line="309" w:lineRule="auto"/>
        <w:tabs>
          <w:tab w:leader="none" w:pos="173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documentation and other information requested by the Administrative Agent or any Lender in order to comply with requirements of the Act, applicable “know your customer” rules and regulations and Anti-Money Laundering Laws.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so long as the 80% Guaranty Threshold is otherwise satisfied without such Subsidiary becoming a Loan Party, the Company may elect not to join such Subsidiary as a Loan Party and the Subsidiary Guarantor Deliverables will not be required with respect to such Subsidiary,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78" w:name="page179"/>
    <w:bookmarkEnd w:id="178"/>
    <w:p>
      <w:pPr>
        <w:spacing w:after="0" w:line="270" w:lineRule="auto"/>
        <w:rPr>
          <w:sz w:val="20"/>
          <w:szCs w:val="20"/>
          <w:color w:val="auto"/>
        </w:rPr>
      </w:pPr>
      <w:r>
        <w:rPr>
          <w:rFonts w:ascii="Times New Roman" w:cs="Times New Roman" w:eastAsia="Times New Roman" w:hAnsi="Times New Roman"/>
          <w:sz w:val="21"/>
          <w:szCs w:val="21"/>
          <w:color w:val="auto"/>
        </w:rPr>
        <w:t xml:space="preserve">in each case unless and until such time as such Subsidiary becomes or is otherwise required to become a Loan Party in accordance with </w:t>
      </w:r>
      <w:r>
        <w:rPr>
          <w:rFonts w:ascii="Times New Roman" w:cs="Times New Roman" w:eastAsia="Times New Roman" w:hAnsi="Times New Roman"/>
          <w:sz w:val="21"/>
          <w:szCs w:val="21"/>
          <w:u w:val="single" w:color="auto"/>
          <w:color w:val="auto"/>
        </w:rPr>
        <w:t>Section 6.12(e)</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624"/>
        <w:spacing w:after="0" w:line="246" w:lineRule="auto"/>
        <w:tabs>
          <w:tab w:leader="none" w:pos="1022"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Notwithstanding the foregoing (but subject to the exceptions in </w:t>
      </w:r>
      <w:r>
        <w:rPr>
          <w:rFonts w:ascii="Times New Roman" w:cs="Times New Roman" w:eastAsia="Times New Roman" w:hAnsi="Times New Roman"/>
          <w:sz w:val="21"/>
          <w:szCs w:val="21"/>
          <w:u w:val="single" w:color="auto"/>
          <w:color w:val="auto"/>
        </w:rPr>
        <w:t>Section 6.12(e)(ii)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(e)(iii)</w:t>
      </w:r>
      <w:r>
        <w:rPr>
          <w:rFonts w:ascii="Times New Roman" w:cs="Times New Roman" w:eastAsia="Times New Roman" w:hAnsi="Times New Roman"/>
          <w:sz w:val="21"/>
          <w:szCs w:val="21"/>
          <w:color w:val="auto"/>
        </w:rPr>
        <w:t xml:space="preserve"> below), if as of the end of any period of four consecutive fiscal quarters of the Company, the Loan Party EBITDA for such period does not represent at least 80% of the Adjusted Consolidated EBITDA for such period (the “</w:t>
      </w:r>
      <w:r>
        <w:rPr>
          <w:rFonts w:ascii="Times New Roman" w:cs="Times New Roman" w:eastAsia="Times New Roman" w:hAnsi="Times New Roman"/>
          <w:sz w:val="21"/>
          <w:szCs w:val="21"/>
          <w:u w:val="single" w:color="auto"/>
          <w:color w:val="auto"/>
        </w:rPr>
        <w:t>80% Guaranty Threshold</w:t>
      </w:r>
      <w:r>
        <w:rPr>
          <w:rFonts w:ascii="Times New Roman" w:cs="Times New Roman" w:eastAsia="Times New Roman" w:hAnsi="Times New Roman"/>
          <w:sz w:val="21"/>
          <w:szCs w:val="21"/>
          <w:color w:val="auto"/>
        </w:rPr>
        <w:t xml:space="preserve">”), then the Company shall (A) promptly notify the Administrative Agent that the 80% Guaranty Threshold is not satisfied and (B) as soon as practicable but in any event, within 60 days after the delivery of the Compliance Certificate for such period pursuant to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(or such longer period as may be approved by the Administrative Agent in its sole discretion), cause one or more Subsidiaries that is not then a Loan Party (other than any such Subsidiary that is a CFC, CFC Holdco, a Subsidiary of a CFC or a Prohibited Subsidiary) to become a Subsidiary Guarantor and satisfy the Subsidiary Guarantor Deliverables, as if such Subsidiaries were Material Subsidiaries, such that upon such Subsidiaries becoming Subsidiary Guarantors, the 80% Guaranty Threshold would have been satisfied for such period, as evidenced in a certificate of a Responsible Officer setting forth the calculation of Loan Party EBITDA and Adjusted Consolidated EBITDA in detail reasonably satisfactory to the Administrative Agent. No Loan Party shall be included in the calculation of Loan Party EBITDA unless the Administrative Agent has received evidence reasonably satisfactory to it (following due diligence to be completed at the Company’s expense) that the Administrative Agent will be able to enforce and collect on its perfected security interests (including collectability from account debtors in the applicable foreign jurisdictions) in the assets of a Subsidiary Guarantor that is a Foreign Subsidiary with practical results generally consistent with enforcement and collection by a lender in the United States. The Loan Parties shall in good faith satisfy the terms of this </w:t>
      </w:r>
      <w:r>
        <w:rPr>
          <w:rFonts w:ascii="Times New Roman" w:cs="Times New Roman" w:eastAsia="Times New Roman" w:hAnsi="Times New Roman"/>
          <w:sz w:val="21"/>
          <w:szCs w:val="21"/>
          <w:u w:val="single" w:color="auto"/>
          <w:color w:val="auto"/>
        </w:rPr>
        <w:t>Section 6.12(e)</w:t>
      </w:r>
      <w:r>
        <w:rPr>
          <w:rFonts w:ascii="Times New Roman" w:cs="Times New Roman" w:eastAsia="Times New Roman" w:hAnsi="Times New Roman"/>
          <w:sz w:val="21"/>
          <w:szCs w:val="21"/>
          <w:color w:val="auto"/>
        </w:rPr>
        <w:t xml:space="preserve"> by using commercially reasonable efforts to, to the extent the 80% Guaranty Threshold is satisfied by Foreign Subsidiaries being included as Loan Parties, include first those Foreign Subsidiaries not (or least) subject to prior Liens under </w:t>
      </w:r>
      <w:r>
        <w:rPr>
          <w:rFonts w:ascii="Times New Roman" w:cs="Times New Roman" w:eastAsia="Times New Roman" w:hAnsi="Times New Roman"/>
          <w:sz w:val="21"/>
          <w:szCs w:val="21"/>
          <w:u w:val="single" w:color="auto"/>
          <w:color w:val="auto"/>
        </w:rPr>
        <w:t>Section 7.03(i)</w:t>
      </w:r>
      <w:r>
        <w:rPr>
          <w:rFonts w:ascii="Times New Roman" w:cs="Times New Roman" w:eastAsia="Times New Roman" w:hAnsi="Times New Roman"/>
          <w:sz w:val="21"/>
          <w:szCs w:val="21"/>
          <w:color w:val="auto"/>
        </w:rPr>
        <w:t xml:space="preserve"> and not (or least) subject to legal impediments to perfecting or enforcing liens on Collateral in ways comparable to Domestic Subsidiaries.</w:t>
      </w:r>
    </w:p>
    <w:p>
      <w:pPr>
        <w:spacing w:after="0" w:line="180" w:lineRule="exact"/>
        <w:rPr>
          <w:rFonts w:ascii="Times New Roman" w:cs="Times New Roman" w:eastAsia="Times New Roman" w:hAnsi="Times New Roman"/>
          <w:sz w:val="21"/>
          <w:szCs w:val="21"/>
          <w:color w:val="auto"/>
        </w:rPr>
      </w:pPr>
    </w:p>
    <w:p>
      <w:pPr>
        <w:jc w:val="both"/>
        <w:ind w:left="620" w:firstLine="624"/>
        <w:spacing w:after="0" w:line="246" w:lineRule="auto"/>
        <w:tabs>
          <w:tab w:leader="none" w:pos="1751"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provisions of </w:t>
      </w:r>
      <w:r>
        <w:rPr>
          <w:rFonts w:ascii="Times New Roman" w:cs="Times New Roman" w:eastAsia="Times New Roman" w:hAnsi="Times New Roman"/>
          <w:sz w:val="21"/>
          <w:szCs w:val="21"/>
          <w:u w:val="single" w:color="auto"/>
          <w:color w:val="auto"/>
        </w:rPr>
        <w:t>Section 6.12(e)(i)</w:t>
      </w:r>
      <w:r>
        <w:rPr>
          <w:rFonts w:ascii="Times New Roman" w:cs="Times New Roman" w:eastAsia="Times New Roman" w:hAnsi="Times New Roman"/>
          <w:sz w:val="21"/>
          <w:szCs w:val="21"/>
          <w:color w:val="auto"/>
        </w:rPr>
        <w:t xml:space="preserve"> above, the Company shall not be deemed to have violated the requirements of </w:t>
      </w:r>
      <w:r>
        <w:rPr>
          <w:rFonts w:ascii="Times New Roman" w:cs="Times New Roman" w:eastAsia="Times New Roman" w:hAnsi="Times New Roman"/>
          <w:sz w:val="21"/>
          <w:szCs w:val="21"/>
          <w:u w:val="single" w:color="auto"/>
          <w:color w:val="auto"/>
        </w:rPr>
        <w:t>Section 6.12(e)</w:t>
      </w:r>
      <w:r>
        <w:rPr>
          <w:rFonts w:ascii="Times New Roman" w:cs="Times New Roman" w:eastAsia="Times New Roman" w:hAnsi="Times New Roman"/>
          <w:sz w:val="21"/>
          <w:szCs w:val="21"/>
          <w:color w:val="auto"/>
        </w:rPr>
        <w:t xml:space="preserve"> based on the inability of a Foreign Subsidiary to provide a first priority security interest as a matter of law in the applicable jurisdiction or because of the existence of preexisting Liens incurred by such Foreign Subsidiary pursuant to </w:t>
      </w:r>
      <w:r>
        <w:rPr>
          <w:rFonts w:ascii="Times New Roman" w:cs="Times New Roman" w:eastAsia="Times New Roman" w:hAnsi="Times New Roman"/>
          <w:sz w:val="21"/>
          <w:szCs w:val="21"/>
          <w:u w:val="single" w:color="auto"/>
          <w:color w:val="auto"/>
        </w:rPr>
        <w:t>Section 7.01(n)</w:t>
      </w:r>
      <w:r>
        <w:rPr>
          <w:rFonts w:ascii="Times New Roman" w:cs="Times New Roman" w:eastAsia="Times New Roman" w:hAnsi="Times New Roman"/>
          <w:sz w:val="21"/>
          <w:szCs w:val="21"/>
          <w:color w:val="auto"/>
        </w:rPr>
        <w:t xml:space="preserve"> causing the Liens in favor of the Administrative Agent to be second priority Liens, however, in such case, the results of operations of such Foreign Subsidiary shall not be included in the calculation of Consolidated EBITDA for purposes of determining compliance with the financial covenants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For the avoidance of doubt, the Consolidated Funded Indebtedness and Consolidated Interest Charges of such Subsidiary shall continue to be included in computations under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and any Subsidiary included in the calculation of Loan Party EBITDA shall be required to deliver a Subsidiary Guaranty Joinder Agreement notwithstanding its inability to provide a first priority lien on its assets either as a matter of law or because of the existence of preexisting Liens incurred pursuant to </w:t>
      </w:r>
      <w:r>
        <w:rPr>
          <w:rFonts w:ascii="Times New Roman" w:cs="Times New Roman" w:eastAsia="Times New Roman" w:hAnsi="Times New Roman"/>
          <w:sz w:val="21"/>
          <w:szCs w:val="21"/>
          <w:u w:val="single" w:color="auto"/>
          <w:color w:val="auto"/>
        </w:rPr>
        <w:t>Section 7.01(n)</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ind w:left="620" w:firstLine="624"/>
        <w:spacing w:after="0" w:line="270" w:lineRule="auto"/>
        <w:tabs>
          <w:tab w:leader="none" w:pos="1885"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 Prohibited Subsidiary and, subject to the proviso to this sentence, no CFC, Subsidiary of a CFC or CFC Holdco shall be required to</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79" w:name="page180"/>
    <w:bookmarkEnd w:id="179"/>
    <w:p>
      <w:pPr>
        <w:jc w:val="both"/>
        <w:ind w:left="620"/>
        <w:spacing w:after="0" w:line="261" w:lineRule="auto"/>
        <w:rPr>
          <w:sz w:val="20"/>
          <w:szCs w:val="20"/>
          <w:color w:val="auto"/>
        </w:rPr>
      </w:pPr>
      <w:r>
        <w:rPr>
          <w:rFonts w:ascii="Times New Roman" w:cs="Times New Roman" w:eastAsia="Times New Roman" w:hAnsi="Times New Roman"/>
          <w:sz w:val="20"/>
          <w:szCs w:val="20"/>
          <w:color w:val="auto"/>
        </w:rPr>
        <w:t xml:space="preserve">become a Subsidiary Guarantor or deliver the Subsidiary Guarantor Deliverables in order to satisfy the 80% Guaranty Threshold at any time and the 80% Guaranty Threshold shall be deemed to be satisfied at such time if 100% of all Domestic Subsidiaries (other than a Subsidiary of a CFC, a CFC Holdco or a Prohibited Subsidiary) are Loan Parties and have delivered all documentation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if at the time of any Permitted Acquisition of a Foreign Subsidiary the Loan Party EBITDA for the period of four consecutive fiscal quarters of the Company most recently ended for which financial statements are available does not represent at least 70% of the Adjusted Consolidated EBITDA for such period (such calculations to be made on a Pro Forma Basis pursuant to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70% Guaranty Threshold</w:t>
      </w:r>
      <w:r>
        <w:rPr>
          <w:rFonts w:ascii="Times New Roman" w:cs="Times New Roman" w:eastAsia="Times New Roman" w:hAnsi="Times New Roman"/>
          <w:sz w:val="20"/>
          <w:szCs w:val="20"/>
          <w:color w:val="auto"/>
        </w:rPr>
        <w:t>”), then such Foreign Subsidiary shall be required to become a Subsidiary Guarantor and deliver the Subsidiary Guarantor Deliverables (or the equivalent thereof in the respective foreign jurisdiction) without regard to any adverse Tax consequences which may result therefrom.</w:t>
      </w:r>
    </w:p>
    <w:p>
      <w:pPr>
        <w:spacing w:after="0" w:line="165" w:lineRule="exact"/>
        <w:rPr>
          <w:sz w:val="20"/>
          <w:szCs w:val="20"/>
          <w:color w:val="auto"/>
        </w:rPr>
      </w:pPr>
    </w:p>
    <w:p>
      <w:pPr>
        <w:jc w:val="both"/>
        <w:ind w:firstLine="624"/>
        <w:spacing w:after="0" w:line="250" w:lineRule="auto"/>
        <w:tabs>
          <w:tab w:leader="none" w:pos="1025"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if at any time a Subsidiary that is not a Loan Party becomes a guarantor of any Indebtedness (other than Indebtedness under the Loan Documents) of any Loan Party, then the Company shall (i) promptly notify the Administrative Agent thereof and (ii) as soon as practicable but in any event within 60 days after such Subsidiary becomes such a guarantor (or such longer period as may be approved by the Administrative Agent in its sole discretion), cause such Subsidiary to become a Subsidiary Guarantor and to deliver the Subsidiary Guarantor Deliverables as if such Subsidiary were a Material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the Subsidiaries listed on </w:t>
      </w:r>
      <w:r>
        <w:rPr>
          <w:rFonts w:ascii="Times New Roman" w:cs="Times New Roman" w:eastAsia="Times New Roman" w:hAnsi="Times New Roman"/>
          <w:sz w:val="21"/>
          <w:szCs w:val="21"/>
          <w:u w:val="single" w:color="auto"/>
          <w:color w:val="auto"/>
        </w:rPr>
        <w:t>Schedule 6.12(f)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Excluded Subsidiaries</w:t>
      </w:r>
      <w:r>
        <w:rPr>
          <w:rFonts w:ascii="Times New Roman" w:cs="Times New Roman" w:eastAsia="Times New Roman" w:hAnsi="Times New Roman"/>
          <w:sz w:val="21"/>
          <w:szCs w:val="21"/>
          <w:color w:val="auto"/>
        </w:rPr>
        <w:t>”) notwithstanding the fact that such Subsidiaries guarantee the Senior Notes.</w:t>
      </w:r>
    </w:p>
    <w:p>
      <w:pPr>
        <w:spacing w:after="0" w:line="177"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223" w:lineRule="exact"/>
        <w:rPr>
          <w:rFonts w:ascii="Times New Roman" w:cs="Times New Roman" w:eastAsia="Times New Roman" w:hAnsi="Times New Roman"/>
          <w:sz w:val="21"/>
          <w:szCs w:val="21"/>
          <w:color w:val="auto"/>
        </w:rPr>
      </w:pPr>
    </w:p>
    <w:p>
      <w:pPr>
        <w:jc w:val="both"/>
        <w:ind w:firstLine="624"/>
        <w:spacing w:after="0" w:line="246" w:lineRule="auto"/>
        <w:tabs>
          <w:tab w:leader="none" w:pos="1098"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limitation of the foregoing, the Company will, and will cause each Subsidiary that is or is required to be a Loan Party to, at the expense of the Company, make, execute, endorse, acknowledge, file and/or deliver to the Administrative Agent from time to time such vouchers, invoices, schedules, assignments, conveyances, financing statements, transfer endorsements, powers of attorney, certificates, Real Estate Support Documents, reports and other assurances or instruments and take such further steps relating to the collateral covered by any of the Collateral Documents as the Administrative Agent may reasonably require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Company shall only be required to use commercially reasonable efforts to deliver any warehousemen letters, bailee letters, landlord consents or other third party consents in the event such consents are required by the Administrative Agent. Furthermore, the Company shall cause to be delivered to the Administrative Agent such opinions of counsel, title insurance and other documents as may be reasonably requested by the Administrative Agent from time to time to assure itself that this Section has been complied with. The Company shall reimburse the Administrative Agent immediately upon demand for all reasonable and documented costs and expenses incurred by the Administrative Agent in connection with any of the foregoing security, including but not limited to filing and recording fees and costs of appraisals, audits and title insurance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shall not be required under this clause (h) to pay the fees and expenses of (i) more than one principal outside counsel for the Administrative Agent, (ii) more than one outside counsel acting as regulatory counsel for the Administrative Agent or (iii) more than a single local counsel for the Administrative Agent in any relevant jurisdiction as reasonably determined by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1"/>
          <w:szCs w:val="21"/>
          <w:color w:val="auto"/>
        </w:rPr>
        <w:t>the Administrative Agent (and which may include a single local counsel acting in multiple jurisdictions)).</w:t>
      </w:r>
    </w:p>
    <w:p>
      <w:pPr>
        <w:spacing w:after="0" w:line="211" w:lineRule="exact"/>
        <w:rPr>
          <w:sz w:val="20"/>
          <w:szCs w:val="20"/>
          <w:color w:val="auto"/>
        </w:rPr>
      </w:pPr>
    </w:p>
    <w:p>
      <w:pPr>
        <w:jc w:val="both"/>
        <w:ind w:firstLine="624"/>
        <w:spacing w:after="0" w:line="258" w:lineRule="auto"/>
        <w:tabs>
          <w:tab w:leader="none" w:pos="1065"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designate any Restricted Subsidiary (as used in this clause (i) a “</w:t>
      </w:r>
      <w:r>
        <w:rPr>
          <w:rFonts w:ascii="Times New Roman" w:cs="Times New Roman" w:eastAsia="Times New Roman" w:hAnsi="Times New Roman"/>
          <w:sz w:val="20"/>
          <w:szCs w:val="20"/>
          <w:u w:val="single" w:color="auto"/>
          <w:color w:val="auto"/>
        </w:rPr>
        <w:t>Proposed Re-Designated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that is not a Borrower or a Material Subsidiary and has not previously been an Unrestricted Subsidiary as an Unrestricted Subsidiary and, if such Restricted Subsidiary is also a Subsidiary Guarantor, release it from its Subsidiary Guaranty; in each case, so long as (i) immediately before and after such designation, no Default shall have occurred and be continuing, (ii) no such Proposed Re-Designated Subsidiary may be designated as an Unrestricted Subsidiary if any of its Subsidiaries is a Restricted Subsidiary or a Loan Party (in either case unless such Subsidiaries are also Proposed Re-Designated Subsidiaries being designated as Unrestricted Subsidiaries simultaneously therewith), (iii) immediately after giving effect to such designation the Company and its Restricted Subsidiaries shall be in compliance, calculated on a Pro Forma Basis pursuant to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with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(iv) to the extent such Proposed Re-Designated Subsidiary is a Subsidiary Guarantor, (A) after giving pro forma effect to the release of such Proposed Re-Designated Subsidiary as a Subsidiary Guarantor, the 80% Guaranty Threshold would continue to have been met as of the four quarter period most recently ended, and (B) of the remaining Wholly-Owned Loan Parties, those that were Loan Parties as of the Closing Date must have, by themselves, (without the Proposed Re-Designated Subsidiary) satisfied the 80% Guaranty Threshold as of the Closing Date, (v) such Proposed Re-Designated Subsidiary would not constitute a Material Subsidiary as of the end of the period of twelve consecutive months most recently ended (such determination being made on the consolidated EBITDA for such twelve month period),</w:t>
      </w:r>
    </w:p>
    <w:p>
      <w:pPr>
        <w:spacing w:after="0" w:line="10" w:lineRule="exact"/>
        <w:rPr>
          <w:rFonts w:ascii="Times New Roman" w:cs="Times New Roman" w:eastAsia="Times New Roman" w:hAnsi="Times New Roman"/>
          <w:sz w:val="20"/>
          <w:szCs w:val="20"/>
          <w:color w:val="auto"/>
        </w:rPr>
      </w:pPr>
    </w:p>
    <w:p>
      <w:pPr>
        <w:jc w:val="both"/>
        <w:ind w:firstLine="3"/>
        <w:spacing w:after="0" w:line="245" w:lineRule="auto"/>
        <w:tabs>
          <w:tab w:leader="none" w:pos="352"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direct or indirect Borrowings by any such Proposed Re-Designated Subsidiary under this Agreement shall have been repaid prior to such designation, and (vii) prior to the effectiveness of any such designation, the Company shall deliver to the Administrative Agent a certificate in form and substance reasonably acceptable to the Administrative Agent setting forth in reasonable detail the calculations demonstrating compliance with the preceding clauses (iii) through (vi).</w:t>
      </w:r>
    </w:p>
    <w:p>
      <w:pPr>
        <w:spacing w:after="0" w:line="181" w:lineRule="exact"/>
        <w:rPr>
          <w:sz w:val="20"/>
          <w:szCs w:val="20"/>
          <w:color w:val="auto"/>
        </w:rPr>
      </w:pPr>
    </w:p>
    <w:p>
      <w:pPr>
        <w:jc w:val="both"/>
        <w:ind w:firstLine="624"/>
        <w:spacing w:after="0" w:line="262" w:lineRule="auto"/>
        <w:tabs>
          <w:tab w:leader="none" w:pos="101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no Mortgage shall be executed and delivered until each Lender has confirmed to the Administrative Agent that such Lender’s flood insurance due diligence and flood insurance compliance has been completed. Notwithstanding anything to the contrary contained herein, if Administrative Agent or any Lender is unable or fails to complete such flood insurance diligence or flood compliance to its reasonable satisfaction so as to permit the applicable Loan Party to deliver a Mortgage as required by this Agreement within the specified time frames (as may be extended), then such Loan Party shall have no obligation hereunder to deliver such Mortgage (and no Event of Default shall be deemed to arise from such Loan Party’s failure to deliver such Mortgage) unless and until the Administrative Agent and each Lender completes such flood insurance diligence to its reasonable satisfaction (after which such Loan Party shall have a period of thirty (30) additional days following written notification thereof, or such longer time period as may be otherwise provided under this Agreement, to execute and deliver such Mortgage).</w:t>
      </w:r>
    </w:p>
    <w:p>
      <w:pPr>
        <w:spacing w:after="0" w:line="165"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6.13 Compliance with Environmental Laws. </w:t>
      </w:r>
      <w:r>
        <w:rPr>
          <w:rFonts w:ascii="Times New Roman" w:cs="Times New Roman" w:eastAsia="Times New Roman" w:hAnsi="Times New Roman"/>
          <w:sz w:val="21"/>
          <w:szCs w:val="21"/>
          <w:color w:val="auto"/>
        </w:rPr>
        <w:t>Except where the failure to do so would not reasonably be expected to have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Adverse Effect, comply, and use commercially reasonable efforts to cause all lessees and other Persons operating or occupying its properties to comply, in all material respects, with all applicable Environmental Laws and Environmental Permits;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81" w:name="page182"/>
    <w:bookmarkEnd w:id="181"/>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applicable Environmental 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neither the Company nor any of its Restricted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72"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6.14 Further Assurances. </w:t>
      </w:r>
      <w:r>
        <w:rPr>
          <w:rFonts w:ascii="Times New Roman" w:cs="Times New Roman" w:eastAsia="Times New Roman" w:hAnsi="Times New Roman"/>
          <w:sz w:val="21"/>
          <w:szCs w:val="21"/>
          <w:color w:val="auto"/>
        </w:rPr>
        <w:t>Promptly upon request by the Administrative Agent, or any Lender through the Administrative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Restricted Subsidiary’s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(subject to the proviso set forth in </w:t>
      </w:r>
      <w:r>
        <w:rPr>
          <w:rFonts w:ascii="Times New Roman" w:cs="Times New Roman" w:eastAsia="Times New Roman" w:hAnsi="Times New Roman"/>
          <w:sz w:val="21"/>
          <w:szCs w:val="21"/>
          <w:u w:val="single" w:color="auto"/>
          <w:color w:val="auto"/>
        </w:rPr>
        <w:t>Section 6.12(c)</w:t>
      </w:r>
      <w:r>
        <w:rPr>
          <w:rFonts w:ascii="Times New Roman" w:cs="Times New Roman" w:eastAsia="Times New Roman" w:hAnsi="Times New Roman"/>
          <w:sz w:val="21"/>
          <w:szCs w:val="21"/>
          <w:color w:val="auto"/>
        </w:rPr>
        <w:t>)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Restricted Subsidiary is or is to be a party and the Collateral covered thereby.</w:t>
      </w:r>
    </w:p>
    <w:p>
      <w:pPr>
        <w:spacing w:after="0" w:line="18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6.15 Material Contracts. </w:t>
      </w:r>
      <w:r>
        <w:rPr>
          <w:rFonts w:ascii="Times New Roman" w:cs="Times New Roman" w:eastAsia="Times New Roman" w:hAnsi="Times New Roman"/>
          <w:sz w:val="21"/>
          <w:szCs w:val="21"/>
          <w:color w:val="auto"/>
        </w:rPr>
        <w:t>Except as could not reasonably be expected to have a Material Adverse Effect, perform and observe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the terms and provisions of each Material Contract to be performed or observed by it.</w:t>
      </w:r>
    </w:p>
    <w:p>
      <w:pPr>
        <w:spacing w:after="0" w:line="13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6.16 Designation as Senior Debt. </w:t>
      </w:r>
      <w:r>
        <w:rPr>
          <w:rFonts w:ascii="Times New Roman" w:cs="Times New Roman" w:eastAsia="Times New Roman" w:hAnsi="Times New Roman"/>
          <w:sz w:val="21"/>
          <w:szCs w:val="21"/>
          <w:color w:val="auto"/>
        </w:rPr>
        <w:t>Designate all Obligations as “Designated Senior Indebtedness” (or any similar term)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defined in, any documentation evidencing any other Indebtedness of the Company or any of its Restricted Subsidiaries in which such concept is applicable.</w:t>
      </w:r>
    </w:p>
    <w:p>
      <w:pPr>
        <w:spacing w:after="0" w:line="156"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b w:val="1"/>
          <w:bCs w:val="1"/>
          <w:color w:val="auto"/>
        </w:rPr>
        <w:t>6.17 Acquired Surety Bond Obligations</w:t>
      </w:r>
      <w:r>
        <w:rPr>
          <w:rFonts w:ascii="Times New Roman" w:cs="Times New Roman" w:eastAsia="Times New Roman" w:hAnsi="Times New Roman"/>
          <w:sz w:val="21"/>
          <w:szCs w:val="21"/>
          <w:color w:val="auto"/>
        </w:rPr>
        <w:t>. To the extent any Surety Bond Obligations that are secured by Liens are acquired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after the Closing Date pursuant to a Permitted Acquisition, the Company or relevant Subsidiary with respect to such Surety Bond Obligations shall use commercially reasonable efforts to cause such Liens (whether in the form of subrogation rights or otherwise and whether or not perfected) permitted under </w:t>
      </w:r>
      <w:r>
        <w:rPr>
          <w:rFonts w:ascii="Times New Roman" w:cs="Times New Roman" w:eastAsia="Times New Roman" w:hAnsi="Times New Roman"/>
          <w:sz w:val="21"/>
          <w:szCs w:val="21"/>
          <w:u w:val="single" w:color="auto"/>
          <w:color w:val="auto"/>
        </w:rPr>
        <w:t>Section 7.01(o)</w:t>
      </w:r>
      <w:r>
        <w:rPr>
          <w:rFonts w:ascii="Times New Roman" w:cs="Times New Roman" w:eastAsia="Times New Roman" w:hAnsi="Times New Roman"/>
          <w:sz w:val="21"/>
          <w:szCs w:val="21"/>
          <w:color w:val="auto"/>
        </w:rPr>
        <w:t xml:space="preserve"> to be terminated or replaced by Liens governed by Surety Credit Documents and subject to the Intercreditor Agreement within two hundred seventy (270) days of the date of the Permitted Acquisition in connection with which such Surety Bond Obligations were acquired.</w:t>
      </w:r>
    </w:p>
    <w:p>
      <w:pPr>
        <w:spacing w:after="0" w:line="171"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6.18 Foreign Finance Company Plan</w:t>
      </w:r>
      <w:r>
        <w:rPr>
          <w:rFonts w:ascii="Times New Roman" w:cs="Times New Roman" w:eastAsia="Times New Roman" w:hAnsi="Times New Roman"/>
          <w:sz w:val="21"/>
          <w:szCs w:val="21"/>
          <w:color w:val="auto"/>
        </w:rPr>
        <w:t>. Cause all interest payments made on the FFC Notes to be paid to Luxco, as the holder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notes, and immediately transferred to US Holdco</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82" w:name="page183"/>
    <w:bookmarkEnd w:id="182"/>
    <w:p>
      <w:pPr>
        <w:jc w:val="both"/>
        <w:spacing w:after="0" w:line="270" w:lineRule="auto"/>
        <w:rPr>
          <w:sz w:val="20"/>
          <w:szCs w:val="20"/>
          <w:color w:val="auto"/>
        </w:rPr>
      </w:pPr>
      <w:r>
        <w:rPr>
          <w:rFonts w:ascii="Times New Roman" w:cs="Times New Roman" w:eastAsia="Times New Roman" w:hAnsi="Times New Roman"/>
          <w:sz w:val="21"/>
          <w:szCs w:val="21"/>
          <w:color w:val="auto"/>
        </w:rPr>
        <w:t>as a Restricted Payment and immediately transferred to the Company as a Restricted Payment, such that all such transfers are made within a single Business Day to the extent commercially feasible.</w:t>
      </w:r>
    </w:p>
    <w:p>
      <w:pPr>
        <w:spacing w:after="0" w:line="15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6.19 Anti-Corruption Laws; Anti-Money Laundering Laws; Sanctions. </w:t>
      </w:r>
      <w:r>
        <w:rPr>
          <w:rFonts w:ascii="Times New Roman" w:cs="Times New Roman" w:eastAsia="Times New Roman" w:hAnsi="Times New Roman"/>
          <w:sz w:val="21"/>
          <w:szCs w:val="21"/>
          <w:color w:val="auto"/>
        </w:rPr>
        <w:t>Conduct its businesses in compliance in all material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respects with all Anti-Corruption Laws and, to the extent applicable, all Anti-Money Laundering Laws, and maintain policies and procedures reasonably designed to promote and achieve compliance with such Laws and Sanctions.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NEGATIVE COVENANTS</w:t>
      </w:r>
    </w:p>
    <w:p>
      <w:pPr>
        <w:spacing w:after="0" w:line="227"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 xml:space="preserve">So long as any Lender shall have any Commitment hereunder, any Loan or other Obligation (other than any contingent obligation in respect of which no claim has been made) hereunder shall remain unpaid or unsatisfied, or any Letter of Credit or Bankers’ Acceptance shall remain outstanding, the Company shall not, nor shall it permit any Restricted Subsidiary to, directly or indirectly, and solely in the case of </w:t>
      </w:r>
      <w:r>
        <w:rPr>
          <w:rFonts w:ascii="Times New Roman" w:cs="Times New Roman" w:eastAsia="Times New Roman" w:hAnsi="Times New Roman"/>
          <w:sz w:val="21"/>
          <w:szCs w:val="21"/>
          <w:u w:val="single" w:color="auto"/>
          <w:color w:val="auto"/>
        </w:rPr>
        <w:t>Section 7.19</w:t>
      </w:r>
      <w:r>
        <w:rPr>
          <w:rFonts w:ascii="Times New Roman" w:cs="Times New Roman" w:eastAsia="Times New Roman" w:hAnsi="Times New Roman"/>
          <w:sz w:val="21"/>
          <w:szCs w:val="21"/>
          <w:color w:val="auto"/>
        </w:rPr>
        <w:t>, the Company shall not:</w:t>
      </w:r>
    </w:p>
    <w:p>
      <w:pPr>
        <w:spacing w:after="0" w:line="170"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7.01 Liens. </w:t>
      </w:r>
      <w:r>
        <w:rPr>
          <w:rFonts w:ascii="Times New Roman" w:cs="Times New Roman" w:eastAsia="Times New Roman" w:hAnsi="Times New Roman"/>
          <w:sz w:val="21"/>
          <w:szCs w:val="21"/>
          <w:color w:val="auto"/>
        </w:rPr>
        <w:t>Create, incur, assume or suffer to exist any Lien upon any of its property, assets or revenues, whether now owned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hereafter acquired, other than the following:</w:t>
      </w:r>
    </w:p>
    <w:p>
      <w:pPr>
        <w:spacing w:after="0" w:line="137" w:lineRule="exact"/>
        <w:rPr>
          <w:sz w:val="20"/>
          <w:szCs w:val="20"/>
          <w:color w:val="auto"/>
        </w:rPr>
      </w:pPr>
    </w:p>
    <w:p>
      <w:pPr>
        <w:ind w:firstLine="624"/>
        <w:spacing w:after="0" w:line="283" w:lineRule="auto"/>
        <w:tabs>
          <w:tab w:leader="none" w:pos="1073"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pursuant to any Loan Document (including, without limitation, Liens securing Secured Hedge Agreements, Secured Cash Management Agreements and Secured Permitted Standalone Letters of Credit);</w:t>
      </w:r>
    </w:p>
    <w:p>
      <w:pPr>
        <w:spacing w:after="0" w:line="141" w:lineRule="exact"/>
        <w:rPr>
          <w:rFonts w:ascii="Times New Roman" w:cs="Times New Roman" w:eastAsia="Times New Roman" w:hAnsi="Times New Roman"/>
          <w:sz w:val="21"/>
          <w:szCs w:val="21"/>
          <w:color w:val="auto"/>
        </w:rPr>
      </w:pPr>
    </w:p>
    <w:p>
      <w:pPr>
        <w:jc w:val="both"/>
        <w:ind w:firstLine="624"/>
        <w:spacing w:after="0" w:line="257" w:lineRule="auto"/>
        <w:tabs>
          <w:tab w:leader="none" w:pos="1046"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existing on the date hereof and listed on </w:t>
      </w:r>
      <w:r>
        <w:rPr>
          <w:rFonts w:ascii="Times New Roman" w:cs="Times New Roman" w:eastAsia="Times New Roman" w:hAnsi="Times New Roman"/>
          <w:sz w:val="21"/>
          <w:szCs w:val="21"/>
          <w:u w:val="single" w:color="auto"/>
          <w:color w:val="auto"/>
        </w:rPr>
        <w:t>Schedule 5.08(b)</w:t>
      </w:r>
      <w:r>
        <w:rPr>
          <w:rFonts w:ascii="Times New Roman" w:cs="Times New Roman" w:eastAsia="Times New Roman" w:hAnsi="Times New Roman"/>
          <w:sz w:val="21"/>
          <w:szCs w:val="21"/>
          <w:color w:val="auto"/>
        </w:rPr>
        <w:t xml:space="preserve"> and any renewals or extensions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property covered thereby is not changed, (ii) the amount secured or benefited thereby is not increased except as contemplated by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7.03(d)</w:t>
      </w:r>
      <w:r>
        <w:rPr>
          <w:rFonts w:ascii="Times New Roman" w:cs="Times New Roman" w:eastAsia="Times New Roman" w:hAnsi="Times New Roman"/>
          <w:sz w:val="21"/>
          <w:szCs w:val="21"/>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21"/>
          <w:szCs w:val="21"/>
          <w:u w:val="single" w:color="auto"/>
          <w:color w:val="auto"/>
        </w:rPr>
        <w:t>Section 7.03(d)</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ind w:firstLine="624"/>
        <w:spacing w:after="0" w:line="283" w:lineRule="auto"/>
        <w:tabs>
          <w:tab w:leader="none" w:pos="1047"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41" w:lineRule="exact"/>
        <w:rPr>
          <w:rFonts w:ascii="Times New Roman" w:cs="Times New Roman" w:eastAsia="Times New Roman" w:hAnsi="Times New Roman"/>
          <w:sz w:val="21"/>
          <w:szCs w:val="21"/>
          <w:color w:val="auto"/>
        </w:rPr>
      </w:pPr>
    </w:p>
    <w:p>
      <w:pPr>
        <w:jc w:val="both"/>
        <w:ind w:firstLine="624"/>
        <w:spacing w:after="0" w:line="257" w:lineRule="auto"/>
        <w:tabs>
          <w:tab w:leader="none" w:pos="1033"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statutory and common law liens of landlords and 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167" w:lineRule="exact"/>
        <w:rPr>
          <w:rFonts w:ascii="Times New Roman" w:cs="Times New Roman" w:eastAsia="Times New Roman" w:hAnsi="Times New Roman"/>
          <w:sz w:val="21"/>
          <w:szCs w:val="21"/>
          <w:color w:val="auto"/>
        </w:rPr>
      </w:pPr>
    </w:p>
    <w:p>
      <w:pPr>
        <w:ind w:firstLine="624"/>
        <w:spacing w:after="0" w:line="283" w:lineRule="auto"/>
        <w:tabs>
          <w:tab w:leader="none" w:pos="106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or deposits in the ordinary course of business in connection with workers’ compensation, unemployment insurance and other social security legislation, other than any Lien imposed by ERISA;</w:t>
      </w:r>
    </w:p>
    <w:p>
      <w:pPr>
        <w:spacing w:after="0" w:line="141" w:lineRule="exact"/>
        <w:rPr>
          <w:rFonts w:ascii="Times New Roman" w:cs="Times New Roman" w:eastAsia="Times New Roman" w:hAnsi="Times New Roman"/>
          <w:sz w:val="21"/>
          <w:szCs w:val="21"/>
          <w:color w:val="auto"/>
        </w:rPr>
      </w:pPr>
    </w:p>
    <w:p>
      <w:pPr>
        <w:ind w:firstLine="624"/>
        <w:spacing w:after="0" w:line="283" w:lineRule="auto"/>
        <w:tabs>
          <w:tab w:leader="none" w:pos="1154"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deposits to secure the performance of tenders, bids, trade contracts and leases (other than Indebtedness), statutory or regulatory obligations, bankers’ acceptances, appeal bonds,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1"/>
          <w:szCs w:val="21"/>
          <w:color w:val="auto"/>
        </w:rPr>
        <w:t>government contracts, and other obligations of a like nature incurred in the ordinary course of business;</w:t>
      </w:r>
    </w:p>
    <w:p>
      <w:pPr>
        <w:spacing w:after="0" w:line="211" w:lineRule="exact"/>
        <w:rPr>
          <w:sz w:val="20"/>
          <w:szCs w:val="20"/>
          <w:color w:val="auto"/>
        </w:rPr>
      </w:pPr>
    </w:p>
    <w:p>
      <w:pPr>
        <w:jc w:val="both"/>
        <w:ind w:firstLine="624"/>
        <w:spacing w:after="0" w:line="263" w:lineRule="auto"/>
        <w:tabs>
          <w:tab w:leader="none" w:pos="1188"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rights-of-way, restrictions, municipal and zoning ordinances and other similar encumbrances affecting real property which, in the aggregate, are not substantial in amount, and which do not materially interfere with the ordinary conduct of the business of the applicable Person;</w:t>
      </w:r>
    </w:p>
    <w:p>
      <w:pPr>
        <w:spacing w:after="0" w:line="162"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judgments for the payment of money not constituting an Event of Default under </w:t>
      </w:r>
      <w:r>
        <w:rPr>
          <w:rFonts w:ascii="Times New Roman" w:cs="Times New Roman" w:eastAsia="Times New Roman" w:hAnsi="Times New Roman"/>
          <w:sz w:val="21"/>
          <w:szCs w:val="21"/>
          <w:u w:val="single" w:color="auto"/>
          <w:color w:val="auto"/>
        </w:rPr>
        <w:t>Section 8.01(h)</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firstLine="624"/>
        <w:spacing w:after="0" w:line="282" w:lineRule="auto"/>
        <w:tabs>
          <w:tab w:leader="none" w:pos="102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7.03(g)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do not at any time encumber any property other than the property financed by such Indebtedness and (ii) the Indebtedness secured thereby does not exceed the cost or fair market value (as determined by the Company in good faith), whichever is lower, of the property being acquired on the date of acquisition;</w:t>
      </w:r>
    </w:p>
    <w:p>
      <w:pPr>
        <w:spacing w:after="0" w:line="145" w:lineRule="exact"/>
        <w:rPr>
          <w:rFonts w:ascii="Times New Roman" w:cs="Times New Roman" w:eastAsia="Times New Roman" w:hAnsi="Times New Roman"/>
          <w:sz w:val="20"/>
          <w:szCs w:val="20"/>
          <w:color w:val="auto"/>
        </w:rPr>
      </w:pPr>
    </w:p>
    <w:p>
      <w:pPr>
        <w:ind w:firstLine="624"/>
        <w:spacing w:after="0" w:line="283" w:lineRule="auto"/>
        <w:tabs>
          <w:tab w:leader="none" w:pos="100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normal and customary rights of setoff upon deposits of cash in favor of banks and other depositary institutions and Liens of a collecting bank arising under the UCC on checks and other items of payment in the course of collection;</w:t>
      </w:r>
    </w:p>
    <w:p>
      <w:pPr>
        <w:spacing w:after="0" w:line="141" w:lineRule="exact"/>
        <w:rPr>
          <w:rFonts w:ascii="Times New Roman" w:cs="Times New Roman" w:eastAsia="Times New Roman" w:hAnsi="Times New Roman"/>
          <w:sz w:val="21"/>
          <w:szCs w:val="21"/>
          <w:color w:val="auto"/>
        </w:rPr>
      </w:pPr>
    </w:p>
    <w:p>
      <w:pPr>
        <w:ind w:firstLine="624"/>
        <w:spacing w:after="0" w:line="283" w:lineRule="auto"/>
        <w:tabs>
          <w:tab w:leader="none" w:pos="1059"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solely on Receivables sold in a Permitted Receivables Transaction arising solely as a result of a judicial or arbitral re-characterization of such Permitted Receivables Transaction;</w:t>
      </w:r>
    </w:p>
    <w:p>
      <w:pPr>
        <w:spacing w:after="0" w:line="141" w:lineRule="exact"/>
        <w:rPr>
          <w:rFonts w:ascii="Times New Roman" w:cs="Times New Roman" w:eastAsia="Times New Roman" w:hAnsi="Times New Roman"/>
          <w:sz w:val="21"/>
          <w:szCs w:val="21"/>
          <w:color w:val="auto"/>
        </w:rPr>
      </w:pPr>
    </w:p>
    <w:p>
      <w:pPr>
        <w:jc w:val="both"/>
        <w:ind w:firstLine="624"/>
        <w:spacing w:after="0" w:line="263" w:lineRule="auto"/>
        <w:tabs>
          <w:tab w:leader="none" w:pos="1039"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Liens in favor of the Surety on the Surety Priority Collateral arising pursuant to any of the Surety Credit Documents so long as such Liens remain subject to the terms of the Intercreditor Agreement, and (ii) Liens securing any other Surety Bond Obligations permitted under </w:t>
      </w:r>
      <w:r>
        <w:rPr>
          <w:rFonts w:ascii="Times New Roman" w:cs="Times New Roman" w:eastAsia="Times New Roman" w:hAnsi="Times New Roman"/>
          <w:sz w:val="21"/>
          <w:szCs w:val="21"/>
          <w:u w:val="single" w:color="auto"/>
          <w:color w:val="auto"/>
        </w:rPr>
        <w:t>Section 7.03(o)(ii)</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color w:val="auto"/>
        </w:rPr>
      </w:pPr>
    </w:p>
    <w:p>
      <w:pPr>
        <w:ind w:left="1100" w:hanging="476"/>
        <w:spacing w:after="0"/>
        <w:tabs>
          <w:tab w:leader="none" w:pos="110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223" w:lineRule="exact"/>
        <w:rPr>
          <w:rFonts w:ascii="Times New Roman" w:cs="Times New Roman" w:eastAsia="Times New Roman" w:hAnsi="Times New Roman"/>
          <w:sz w:val="21"/>
          <w:szCs w:val="21"/>
          <w:color w:val="auto"/>
        </w:rPr>
      </w:pPr>
    </w:p>
    <w:p>
      <w:pPr>
        <w:ind w:firstLine="624"/>
        <w:spacing w:after="0" w:line="283" w:lineRule="auto"/>
        <w:tabs>
          <w:tab w:leader="none" w:pos="1137"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compliance with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xml:space="preserve"> in respect of Loan Parties, Liens on the assets of Foreign Subsidiaries that are Restricted Subsidiaries securing Indebtedness permitted under </w:t>
      </w:r>
      <w:r>
        <w:rPr>
          <w:rFonts w:ascii="Times New Roman" w:cs="Times New Roman" w:eastAsia="Times New Roman" w:hAnsi="Times New Roman"/>
          <w:sz w:val="21"/>
          <w:szCs w:val="21"/>
          <w:u w:val="single" w:color="auto"/>
          <w:color w:val="auto"/>
        </w:rPr>
        <w:t>Section 7.03(i)</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jc w:val="both"/>
        <w:ind w:firstLine="624"/>
        <w:spacing w:after="0" w:line="250" w:lineRule="auto"/>
        <w:tabs>
          <w:tab w:leader="none" w:pos="1085"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cash set aside with respect to any Indebtedness in connection with a prepayment permitted hereunder (subject, in the case of the Senior Notes Indebtedness and any Indebtedness incurred pursuant to </w:t>
      </w:r>
      <w:r>
        <w:rPr>
          <w:rFonts w:ascii="Times New Roman" w:cs="Times New Roman" w:eastAsia="Times New Roman" w:hAnsi="Times New Roman"/>
          <w:sz w:val="21"/>
          <w:szCs w:val="21"/>
          <w:u w:val="single" w:color="auto"/>
          <w:color w:val="auto"/>
        </w:rPr>
        <w:t>Section 7.03(j)</w:t>
      </w:r>
      <w:r>
        <w:rPr>
          <w:rFonts w:ascii="Times New Roman" w:cs="Times New Roman" w:eastAsia="Times New Roman" w:hAnsi="Times New Roman"/>
          <w:sz w:val="21"/>
          <w:szCs w:val="21"/>
          <w:color w:val="auto"/>
        </w:rPr>
        <w:t xml:space="preserve">, to satisfaction of the requirements of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 xml:space="preserve"> as if such cash defeasance constituted a prepayment on the date of such defeasance), or government securities purchased with such cash, in either case, to the extent but only to the extent that such cash or government securities pre-fund the payment of principal and/or interest on such Indebtedness and are held in a collateral or escrow account or similar arrangement to be applied for such purpose;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Indebtedness is permitted to be defeased under the terms thereof at the time such cash is set aside or securities are purchased;</w:t>
      </w:r>
    </w:p>
    <w:p>
      <w:pPr>
        <w:spacing w:after="0" w:line="177" w:lineRule="exact"/>
        <w:rPr>
          <w:rFonts w:ascii="Times New Roman" w:cs="Times New Roman" w:eastAsia="Times New Roman" w:hAnsi="Times New Roman"/>
          <w:sz w:val="21"/>
          <w:szCs w:val="21"/>
          <w:color w:val="auto"/>
        </w:rPr>
      </w:pPr>
    </w:p>
    <w:p>
      <w:pPr>
        <w:ind w:firstLine="624"/>
        <w:spacing w:after="0" w:line="283" w:lineRule="auto"/>
        <w:tabs>
          <w:tab w:leader="none" w:pos="1033"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leases or subleases granted to others that do not materially interfere with the ordinary course of business of the Company and its Restricted Subsidiaries, taken as a whole;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84" w:name="page185"/>
    <w:bookmarkEnd w:id="184"/>
    <w:p>
      <w:pPr>
        <w:ind w:firstLine="624"/>
        <w:spacing w:after="0" w:line="283" w:lineRule="auto"/>
        <w:tabs>
          <w:tab w:leader="none" w:pos="1085"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of lessors in any property subject to any operating lease, including Liens arising from precautionary UCC financing statements or similar filings made in respect of such leases;</w:t>
      </w:r>
    </w:p>
    <w:p>
      <w:pPr>
        <w:spacing w:after="0" w:line="141" w:lineRule="exact"/>
        <w:rPr>
          <w:rFonts w:ascii="Times New Roman" w:cs="Times New Roman" w:eastAsia="Times New Roman" w:hAnsi="Times New Roman"/>
          <w:sz w:val="21"/>
          <w:szCs w:val="21"/>
          <w:color w:val="auto"/>
        </w:rPr>
      </w:pPr>
    </w:p>
    <w:p>
      <w:pPr>
        <w:jc w:val="both"/>
        <w:ind w:firstLine="624"/>
        <w:spacing w:after="0" w:line="253" w:lineRule="auto"/>
        <w:tabs>
          <w:tab w:leader="none" w:pos="1089"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property of a Person existing at the time such Person is merged into or consolidated with the Company or any Subsidiary or becomes a Subsidiary of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Liens were not created in contemplation of such merger, consolidation or Investment and do not extend to any assets other than those of the Person merged into or consolidated with the Company or such Subsidiary or acquired by the Company or such Subsidiary, and the applicable Indebtedness secured by such Lien is permitted under </w:t>
      </w:r>
      <w:r>
        <w:rPr>
          <w:rFonts w:ascii="Times New Roman" w:cs="Times New Roman" w:eastAsia="Times New Roman" w:hAnsi="Times New Roman"/>
          <w:sz w:val="21"/>
          <w:szCs w:val="21"/>
          <w:u w:val="single" w:color="auto"/>
          <w:color w:val="auto"/>
        </w:rPr>
        <w:t>Section 7.03(h)</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color w:val="auto"/>
        </w:rPr>
      </w:pPr>
    </w:p>
    <w:p>
      <w:pPr>
        <w:ind w:left="1020" w:hanging="396"/>
        <w:spacing w:after="0"/>
        <w:tabs>
          <w:tab w:leader="none" w:pos="102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any Loan Party;</w:t>
      </w:r>
    </w:p>
    <w:p>
      <w:pPr>
        <w:spacing w:after="0" w:line="223" w:lineRule="exact"/>
        <w:rPr>
          <w:rFonts w:ascii="Times New Roman" w:cs="Times New Roman" w:eastAsia="Times New Roman" w:hAnsi="Times New Roman"/>
          <w:sz w:val="21"/>
          <w:szCs w:val="21"/>
          <w:color w:val="auto"/>
        </w:rPr>
      </w:pPr>
    </w:p>
    <w:p>
      <w:pPr>
        <w:jc w:val="both"/>
        <w:ind w:firstLine="624"/>
        <w:spacing w:after="0" w:line="253" w:lineRule="auto"/>
        <w:tabs>
          <w:tab w:leader="none" w:pos="1026"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reimbursement obligations with respect to bankers’ acceptances or letters of credit that encumber documents and other property relating to such bankers’ acceptances or letters of credit and the products and proceeds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outstanding amount of all such obligations secured by Liens in reliance on this clause (t) shall not exceed, at the time of incurrence of such obligations (and after giving effect thereto), the greater of (i) $100,000,000 and (ii) an amount equal to 2% of Consolidated Total Assets at the time of such incurrence;</w:t>
      </w:r>
    </w:p>
    <w:p>
      <w:pPr>
        <w:spacing w:after="0" w:line="174" w:lineRule="exact"/>
        <w:rPr>
          <w:rFonts w:ascii="Times New Roman" w:cs="Times New Roman" w:eastAsia="Times New Roman" w:hAnsi="Times New Roman"/>
          <w:sz w:val="21"/>
          <w:szCs w:val="21"/>
          <w:color w:val="auto"/>
        </w:rPr>
      </w:pPr>
    </w:p>
    <w:p>
      <w:pPr>
        <w:ind w:firstLine="624"/>
        <w:spacing w:after="0" w:line="283" w:lineRule="auto"/>
        <w:tabs>
          <w:tab w:leader="none" w:pos="1175"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customs and revenue authorities arising as a matter of law to secure payment of customs duties in connection with the importation of goods;</w:t>
      </w:r>
    </w:p>
    <w:p>
      <w:pPr>
        <w:spacing w:after="0" w:line="141" w:lineRule="exact"/>
        <w:rPr>
          <w:rFonts w:ascii="Times New Roman" w:cs="Times New Roman" w:eastAsia="Times New Roman" w:hAnsi="Times New Roman"/>
          <w:sz w:val="21"/>
          <w:szCs w:val="21"/>
          <w:color w:val="auto"/>
        </w:rPr>
      </w:pPr>
    </w:p>
    <w:p>
      <w:pPr>
        <w:jc w:val="both"/>
        <w:ind w:firstLine="624"/>
        <w:spacing w:after="0" w:line="251" w:lineRule="auto"/>
        <w:tabs>
          <w:tab w:leader="none" w:pos="1111"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cash or Cash Equivalents encumbering customary initial deposits and margin deposits, and other Liens that are within the general parameters customary in the industry and incurred in the ordinary course of business, in each case, securing Indebtedness under Swap Contracts permitted pursuant to </w:t>
      </w:r>
      <w:r>
        <w:rPr>
          <w:rFonts w:ascii="Times New Roman" w:cs="Times New Roman" w:eastAsia="Times New Roman" w:hAnsi="Times New Roman"/>
          <w:sz w:val="21"/>
          <w:szCs w:val="21"/>
          <w:u w:val="single" w:color="auto"/>
          <w:color w:val="auto"/>
        </w:rPr>
        <w:t>Section 7.03(f)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aggregate outstanding amount of all Indebtedness secured by Liens in reliance on this clause (v) shall not exceed, at the time of incurrence of such Indebtedness (and after giving effect thereto), the greater of (i) $50,000,000 and (ii) an amount equal to 1% of Consolidated Total Assets at the time of such incurrence;</w:t>
      </w:r>
    </w:p>
    <w:p>
      <w:pPr>
        <w:spacing w:after="0" w:line="177" w:lineRule="exact"/>
        <w:rPr>
          <w:rFonts w:ascii="Times New Roman" w:cs="Times New Roman" w:eastAsia="Times New Roman" w:hAnsi="Times New Roman"/>
          <w:sz w:val="21"/>
          <w:szCs w:val="21"/>
          <w:color w:val="auto"/>
        </w:rPr>
      </w:pPr>
    </w:p>
    <w:p>
      <w:pPr>
        <w:jc w:val="both"/>
        <w:ind w:firstLine="624"/>
        <w:spacing w:after="0" w:line="263" w:lineRule="auto"/>
        <w:tabs>
          <w:tab w:leader="none" w:pos="1118"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out of conditional sale, title retention, consignment or similar arrangements for the sale of goods entered into by the Company or any of its Restricted Subsidiaries in the ordinary course of business in accordance with the past practices of the Company and its Restricted Subsidiaries prior to the Closing Date;</w:t>
      </w:r>
    </w:p>
    <w:p>
      <w:pPr>
        <w:spacing w:after="0" w:line="162" w:lineRule="exact"/>
        <w:rPr>
          <w:rFonts w:ascii="Times New Roman" w:cs="Times New Roman" w:eastAsia="Times New Roman" w:hAnsi="Times New Roman"/>
          <w:sz w:val="21"/>
          <w:szCs w:val="21"/>
          <w:color w:val="auto"/>
        </w:rPr>
      </w:pPr>
    </w:p>
    <w:p>
      <w:pPr>
        <w:ind w:firstLine="624"/>
        <w:spacing w:after="0" w:line="283" w:lineRule="auto"/>
        <w:tabs>
          <w:tab w:leader="none" w:pos="1201"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solely on cash earnest money deposits made in connection with any letter of intent or purchase agreement in connection with an Investment permitted hereunder;</w:t>
      </w:r>
    </w:p>
    <w:p>
      <w:pPr>
        <w:spacing w:after="0" w:line="141" w:lineRule="exact"/>
        <w:rPr>
          <w:rFonts w:ascii="Times New Roman" w:cs="Times New Roman" w:eastAsia="Times New Roman" w:hAnsi="Times New Roman"/>
          <w:sz w:val="21"/>
          <w:szCs w:val="21"/>
          <w:color w:val="auto"/>
        </w:rPr>
      </w:pPr>
    </w:p>
    <w:p>
      <w:pPr>
        <w:jc w:val="both"/>
        <w:ind w:firstLine="624"/>
        <w:spacing w:after="0" w:line="257" w:lineRule="auto"/>
        <w:tabs>
          <w:tab w:leader="none" w:pos="1098"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encumbrance or restriction (including put and call arrangements) with respect to capital stock of any joint venture or similar arrangement pursuant to any joint venture or similar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encumbrance or restriction does not prohibit the granting of a Lien by a Loan Party on any Collateral and any entity formed as part of such joint venture remains subject to the provisions of this Agreement to the extent provided herein;</w:t>
      </w:r>
    </w:p>
    <w:p>
      <w:pPr>
        <w:spacing w:after="0" w:line="167" w:lineRule="exact"/>
        <w:rPr>
          <w:rFonts w:ascii="Times New Roman" w:cs="Times New Roman" w:eastAsia="Times New Roman" w:hAnsi="Times New Roman"/>
          <w:sz w:val="21"/>
          <w:szCs w:val="21"/>
          <w:color w:val="auto"/>
        </w:rPr>
      </w:pPr>
    </w:p>
    <w:p>
      <w:pPr>
        <w:ind w:firstLine="624"/>
        <w:spacing w:after="0" w:line="283" w:lineRule="auto"/>
        <w:tabs>
          <w:tab w:leader="none" w:pos="1073"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cash reserves securing Indebtedness of the Company and its Subsidiaries in respect of surety bonds permitted by </w:t>
      </w:r>
      <w:r>
        <w:rPr>
          <w:rFonts w:ascii="Times New Roman" w:cs="Times New Roman" w:eastAsia="Times New Roman" w:hAnsi="Times New Roman"/>
          <w:sz w:val="21"/>
          <w:szCs w:val="21"/>
          <w:u w:val="single" w:color="auto"/>
          <w:color w:val="auto"/>
        </w:rPr>
        <w:t>Section 7.03(o)(i)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-57785</wp:posOffset>
            </wp:positionV>
            <wp:extent cx="33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0"/>
          <w:szCs w:val="20"/>
          <w:color w:val="auto"/>
        </w:rPr>
        <w:t xml:space="preserve">all such deposits and cash reserves provided by the Company and its Subsidiaries in respect of surety bonds permitted by </w:t>
      </w:r>
      <w:r>
        <w:rPr>
          <w:rFonts w:ascii="Times New Roman" w:cs="Times New Roman" w:eastAsia="Times New Roman" w:hAnsi="Times New Roman"/>
          <w:sz w:val="20"/>
          <w:szCs w:val="20"/>
          <w:u w:val="single" w:color="auto"/>
          <w:color w:val="auto"/>
        </w:rPr>
        <w:t>Section 7.03(o)</w:t>
      </w:r>
    </w:p>
    <w:p>
      <w:pPr>
        <w:spacing w:after="0" w:line="38" w:lineRule="exact"/>
        <w:rPr>
          <w:sz w:val="20"/>
          <w:szCs w:val="20"/>
          <w:color w:val="auto"/>
        </w:rPr>
      </w:pPr>
    </w:p>
    <w:p>
      <w:pPr>
        <w:ind w:left="260" w:hanging="257"/>
        <w:spacing w:after="0"/>
        <w:tabs>
          <w:tab w:leader="none" w:pos="260" w:val="left"/>
        </w:tabs>
        <w:numPr>
          <w:ilvl w:val="0"/>
          <w:numId w:val="18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shall not, at any time, exceed $50,000,000;</w:t>
      </w:r>
    </w:p>
    <w:p>
      <w:pPr>
        <w:spacing w:after="0" w:line="188" w:lineRule="exact"/>
        <w:rPr>
          <w:rFonts w:ascii="Times New Roman" w:cs="Times New Roman" w:eastAsia="Times New Roman" w:hAnsi="Times New Roman"/>
          <w:sz w:val="21"/>
          <w:szCs w:val="21"/>
          <w:u w:val="single" w:color="auto"/>
          <w:color w:val="auto"/>
        </w:rPr>
      </w:pPr>
    </w:p>
    <w:p>
      <w:pPr>
        <w:ind w:firstLine="624"/>
        <w:spacing w:after="0" w:line="283" w:lineRule="auto"/>
        <w:tabs>
          <w:tab w:leader="none" w:pos="1139"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Collateral securing Indebtedness permitted by </w:t>
      </w:r>
      <w:r>
        <w:rPr>
          <w:rFonts w:ascii="Times New Roman" w:cs="Times New Roman" w:eastAsia="Times New Roman" w:hAnsi="Times New Roman"/>
          <w:sz w:val="21"/>
          <w:szCs w:val="21"/>
          <w:u w:val="single" w:color="auto"/>
          <w:color w:val="auto"/>
        </w:rPr>
        <w:t>Section 7.03(r)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Liens are subject at all times to an intercreditor agreement in form and substance required by </w:t>
      </w:r>
      <w:r>
        <w:rPr>
          <w:rFonts w:ascii="Times New Roman" w:cs="Times New Roman" w:eastAsia="Times New Roman" w:hAnsi="Times New Roman"/>
          <w:sz w:val="21"/>
          <w:szCs w:val="21"/>
          <w:u w:val="single" w:color="auto"/>
          <w:color w:val="auto"/>
        </w:rPr>
        <w:t>Section 7.03(r)</w:t>
      </w:r>
      <w:r>
        <w:rPr>
          <w:rFonts w:ascii="Times New Roman" w:cs="Times New Roman" w:eastAsia="Times New Roman" w:hAnsi="Times New Roman"/>
          <w:sz w:val="21"/>
          <w:szCs w:val="21"/>
          <w:color w:val="auto"/>
        </w:rPr>
        <w:t>; and</w:t>
      </w:r>
    </w:p>
    <w:p>
      <w:pPr>
        <w:spacing w:after="0" w:line="141" w:lineRule="exact"/>
        <w:rPr>
          <w:rFonts w:ascii="Times New Roman" w:cs="Times New Roman" w:eastAsia="Times New Roman" w:hAnsi="Times New Roman"/>
          <w:sz w:val="21"/>
          <w:szCs w:val="21"/>
          <w:color w:val="auto"/>
        </w:rPr>
      </w:pPr>
    </w:p>
    <w:p>
      <w:pPr>
        <w:jc w:val="both"/>
        <w:ind w:firstLine="624"/>
        <w:spacing w:after="0" w:line="263" w:lineRule="auto"/>
        <w:tabs>
          <w:tab w:leader="none" w:pos="1201"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Liens;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outstanding amount of all Indebtedness or other obligations secured by Liens in reliance on this clause (bb) shall not exceed, at the time of incurrence of such Indebtedness or obligations (and after giving effect thereto), the greater of (i) $100,000,000 and (ii) an amount equal to 2% of Consolidated Total Assets at the time of such incurrence.</w:t>
      </w:r>
    </w:p>
    <w:p>
      <w:pPr>
        <w:spacing w:after="0" w:line="158"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7.02</w:t>
      </w:r>
      <w:r>
        <w:rPr>
          <w:sz w:val="20"/>
          <w:szCs w:val="20"/>
          <w:color w:val="auto"/>
        </w:rPr>
        <w:tab/>
      </w:r>
      <w:r>
        <w:rPr>
          <w:rFonts w:ascii="Times New Roman" w:cs="Times New Roman" w:eastAsia="Times New Roman" w:hAnsi="Times New Roman"/>
          <w:sz w:val="20"/>
          <w:szCs w:val="20"/>
          <w:b w:val="1"/>
          <w:bCs w:val="1"/>
          <w:color w:val="auto"/>
        </w:rPr>
        <w:t xml:space="preserve">Investments. </w:t>
      </w:r>
      <w:r>
        <w:rPr>
          <w:rFonts w:ascii="Times New Roman" w:cs="Times New Roman" w:eastAsia="Times New Roman" w:hAnsi="Times New Roman"/>
          <w:sz w:val="20"/>
          <w:szCs w:val="20"/>
          <w:color w:val="auto"/>
        </w:rPr>
        <w:t>Make or hold any Investments, except:</w:t>
      </w:r>
    </w:p>
    <w:p>
      <w:pPr>
        <w:spacing w:after="0" w:line="228" w:lineRule="exact"/>
        <w:rPr>
          <w:sz w:val="20"/>
          <w:szCs w:val="20"/>
          <w:color w:val="auto"/>
        </w:rPr>
      </w:pPr>
    </w:p>
    <w:p>
      <w:pPr>
        <w:ind w:left="1020" w:hanging="396"/>
        <w:spacing w:after="0"/>
        <w:tabs>
          <w:tab w:leader="none" w:pos="102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the form of Cash Equivalents;</w:t>
      </w:r>
    </w:p>
    <w:p>
      <w:pPr>
        <w:spacing w:after="0" w:line="223" w:lineRule="exact"/>
        <w:rPr>
          <w:rFonts w:ascii="Times New Roman" w:cs="Times New Roman" w:eastAsia="Times New Roman" w:hAnsi="Times New Roman"/>
          <w:sz w:val="21"/>
          <w:szCs w:val="21"/>
          <w:color w:val="auto"/>
        </w:rPr>
      </w:pPr>
    </w:p>
    <w:p>
      <w:pPr>
        <w:jc w:val="both"/>
        <w:ind w:firstLine="624"/>
        <w:spacing w:after="0" w:line="263" w:lineRule="auto"/>
        <w:tabs>
          <w:tab w:leader="none" w:pos="1214"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advances to officers, directors and employees of the Company and Restricted Subsidiaries for travel, entertainment, relocation and other matters that are reasonably expected at the time of such advances ultimately to be treated as expenses in accordance with GAAP;</w:t>
      </w:r>
    </w:p>
    <w:p>
      <w:pPr>
        <w:spacing w:after="0" w:line="162" w:lineRule="exact"/>
        <w:rPr>
          <w:rFonts w:ascii="Times New Roman" w:cs="Times New Roman" w:eastAsia="Times New Roman" w:hAnsi="Times New Roman"/>
          <w:sz w:val="21"/>
          <w:szCs w:val="21"/>
          <w:color w:val="auto"/>
        </w:rPr>
      </w:pPr>
    </w:p>
    <w:p>
      <w:pPr>
        <w:jc w:val="both"/>
        <w:ind w:firstLine="624"/>
        <w:spacing w:after="0" w:line="257" w:lineRule="auto"/>
        <w:tabs>
          <w:tab w:leader="none" w:pos="1022"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Investments by the Company and its Restricted Subsidiaries in their respective Subsidiaries and joint ventures outstanding on the date hereof and disclosed to the Lenders, (ii) additional Investments by the Company and its Restricted Subsidiaries in Loan Parties and (iii) additional Investments by Restricted Subsidiaries that are not Loan Parties in other Restricted Subsidiaries that are not Loan Parties, other than, in the case of (i), (ii) and (iii), Investments in Excluded Subsidiaries or Prohibited Subsidiaries;</w:t>
      </w:r>
    </w:p>
    <w:p>
      <w:pPr>
        <w:spacing w:after="0" w:line="167" w:lineRule="exact"/>
        <w:rPr>
          <w:rFonts w:ascii="Times New Roman" w:cs="Times New Roman" w:eastAsia="Times New Roman" w:hAnsi="Times New Roman"/>
          <w:sz w:val="21"/>
          <w:szCs w:val="21"/>
          <w:color w:val="auto"/>
        </w:rPr>
      </w:pPr>
    </w:p>
    <w:p>
      <w:pPr>
        <w:ind w:firstLine="624"/>
        <w:spacing w:after="0" w:line="283" w:lineRule="auto"/>
        <w:tabs>
          <w:tab w:leader="none" w:pos="1033"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by the Company and its Restricted Subsidiaries in entities other than their respective Subsidiaries existing on the date hereof and disclosed to the Lenders;</w:t>
      </w:r>
    </w:p>
    <w:p>
      <w:pPr>
        <w:spacing w:after="0" w:line="141" w:lineRule="exact"/>
        <w:rPr>
          <w:rFonts w:ascii="Times New Roman" w:cs="Times New Roman" w:eastAsia="Times New Roman" w:hAnsi="Times New Roman"/>
          <w:sz w:val="21"/>
          <w:szCs w:val="21"/>
          <w:color w:val="auto"/>
        </w:rPr>
      </w:pPr>
    </w:p>
    <w:p>
      <w:pPr>
        <w:jc w:val="both"/>
        <w:ind w:firstLine="624"/>
        <w:spacing w:after="0" w:line="263" w:lineRule="auto"/>
        <w:tabs>
          <w:tab w:leader="none" w:pos="1047"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62" w:lineRule="exact"/>
        <w:rPr>
          <w:rFonts w:ascii="Times New Roman" w:cs="Times New Roman" w:eastAsia="Times New Roman" w:hAnsi="Times New Roman"/>
          <w:sz w:val="21"/>
          <w:szCs w:val="21"/>
          <w:color w:val="auto"/>
        </w:rPr>
      </w:pPr>
    </w:p>
    <w:p>
      <w:pPr>
        <w:ind w:firstLine="624"/>
        <w:spacing w:after="0" w:line="283" w:lineRule="auto"/>
        <w:tabs>
          <w:tab w:leader="none" w:pos="1025"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Guarantees permitted by </w:t>
      </w:r>
      <w:r>
        <w:rPr>
          <w:rFonts w:ascii="Times New Roman" w:cs="Times New Roman" w:eastAsia="Times New Roman" w:hAnsi="Times New Roman"/>
          <w:sz w:val="21"/>
          <w:szCs w:val="21"/>
          <w:u w:val="single" w:color="auto"/>
          <w:color w:val="auto"/>
        </w:rPr>
        <w:t>Section 7.03(e)</w:t>
      </w:r>
      <w:r>
        <w:rPr>
          <w:rFonts w:ascii="Times New Roman" w:cs="Times New Roman" w:eastAsia="Times New Roman" w:hAnsi="Times New Roman"/>
          <w:sz w:val="21"/>
          <w:szCs w:val="21"/>
          <w:color w:val="auto"/>
        </w:rPr>
        <w:t xml:space="preserve"> and guarantees of obligations of the Company or its Restricted Subsidiaries that do not constitute Indebtedness that are otherwise permitted under this Agreement;</w:t>
      </w:r>
    </w:p>
    <w:p>
      <w:pPr>
        <w:spacing w:after="0" w:line="141"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Acquisitions;</w:t>
      </w:r>
    </w:p>
    <w:p>
      <w:pPr>
        <w:spacing w:after="0" w:line="223"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made as part of the Foreign Finance Company Plan;</w:t>
      </w:r>
    </w:p>
    <w:p>
      <w:pPr>
        <w:spacing w:after="0" w:line="223" w:lineRule="exact"/>
        <w:rPr>
          <w:rFonts w:ascii="Times New Roman" w:cs="Times New Roman" w:eastAsia="Times New Roman" w:hAnsi="Times New Roman"/>
          <w:sz w:val="21"/>
          <w:szCs w:val="21"/>
          <w:color w:val="auto"/>
        </w:rPr>
      </w:pPr>
    </w:p>
    <w:p>
      <w:pPr>
        <w:jc w:val="both"/>
        <w:ind w:firstLine="624"/>
        <w:spacing w:after="0" w:line="263" w:lineRule="auto"/>
        <w:tabs>
          <w:tab w:leader="none" w:pos="1091"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no Default then exists or would result therefrom, other Investments so long as the aggregate amount of such Investments at the time of incurrence (after giving effect to such Investment) does not exceed the sum of (i) the greater of (A) $500,000,000 and (B) an amount equal to 10% of Consolidated Total Assets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Excess Cash Flow Basket for each fiscal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86" w:name="page187"/>
    <w:bookmarkEnd w:id="186"/>
    <w:p>
      <w:pPr>
        <w:spacing w:after="0" w:line="270" w:lineRule="auto"/>
        <w:rPr>
          <w:sz w:val="20"/>
          <w:szCs w:val="20"/>
          <w:color w:val="auto"/>
        </w:rPr>
      </w:pPr>
      <w:r>
        <w:rPr>
          <w:rFonts w:ascii="Times New Roman" w:cs="Times New Roman" w:eastAsia="Times New Roman" w:hAnsi="Times New Roman"/>
          <w:sz w:val="21"/>
          <w:szCs w:val="21"/>
          <w:color w:val="auto"/>
        </w:rPr>
        <w:t xml:space="preserve">year ending after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Excess Cash Flow Basket shall not be less than zero in any relevant fiscal year for purposes of this clause (i);</w:t>
      </w:r>
    </w:p>
    <w:p>
      <w:pPr>
        <w:spacing w:after="0" w:line="154" w:lineRule="exact"/>
        <w:rPr>
          <w:sz w:val="20"/>
          <w:szCs w:val="20"/>
          <w:color w:val="auto"/>
        </w:rPr>
      </w:pPr>
    </w:p>
    <w:p>
      <w:pPr>
        <w:ind w:left="1000" w:hanging="376"/>
        <w:spacing w:after="0"/>
        <w:tabs>
          <w:tab w:leader="none" w:pos="100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obligations or securities received in satisfaction of judgments;</w:t>
      </w:r>
    </w:p>
    <w:p>
      <w:pPr>
        <w:spacing w:after="0" w:line="223"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223" w:lineRule="exact"/>
        <w:rPr>
          <w:rFonts w:ascii="Times New Roman" w:cs="Times New Roman" w:eastAsia="Times New Roman" w:hAnsi="Times New Roman"/>
          <w:sz w:val="21"/>
          <w:szCs w:val="21"/>
          <w:color w:val="auto"/>
        </w:rPr>
      </w:pPr>
    </w:p>
    <w:p>
      <w:pPr>
        <w:ind w:left="1000" w:hanging="376"/>
        <w:spacing w:after="0"/>
        <w:tabs>
          <w:tab w:leader="none" w:pos="100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Swap Contracts permitted pursuant to </w:t>
      </w:r>
      <w:r>
        <w:rPr>
          <w:rFonts w:ascii="Times New Roman" w:cs="Times New Roman" w:eastAsia="Times New Roman" w:hAnsi="Times New Roman"/>
          <w:sz w:val="21"/>
          <w:szCs w:val="21"/>
          <w:u w:val="single" w:color="auto"/>
          <w:color w:val="auto"/>
        </w:rPr>
        <w:t>Section 7.03(f)</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ind w:firstLine="624"/>
        <w:spacing w:after="0" w:line="309" w:lineRule="auto"/>
        <w:tabs>
          <w:tab w:leader="none" w:pos="1129"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to employees and officers of the Company or a Restricted Subsidiary made in the ordinary course of business not to exceed $2,000,000 in the aggregate at any one time outstanding in respect of the Company and all Restricted Subsidiaries taken together;</w:t>
      </w:r>
    </w:p>
    <w:p>
      <w:pPr>
        <w:spacing w:after="0" w:line="118" w:lineRule="exact"/>
        <w:rPr>
          <w:rFonts w:ascii="Times New Roman" w:cs="Times New Roman" w:eastAsia="Times New Roman" w:hAnsi="Times New Roman"/>
          <w:sz w:val="20"/>
          <w:szCs w:val="20"/>
          <w:color w:val="auto"/>
        </w:rPr>
      </w:pPr>
    </w:p>
    <w:p>
      <w:pPr>
        <w:ind w:firstLine="624"/>
        <w:spacing w:after="0" w:line="283" w:lineRule="auto"/>
        <w:tabs>
          <w:tab w:leader="none" w:pos="1085"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made by the Company or its Restricted Subsidiaries consisting of consideration received in connection with a Disposition permitted by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jc w:val="both"/>
        <w:ind w:firstLine="624"/>
        <w:spacing w:after="0" w:line="257" w:lineRule="auto"/>
        <w:tabs>
          <w:tab w:leader="none" w:pos="1085"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of a Person or any of its Subsidiaries existing at the time such Person becomes a Restricted Subsidiary of the Company or at the time such Person merges or consolidates with the Company or any of its Restricted Subsidiaries, in either case, in compliance with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Investments were not made by such Person in connection with, or in anticipation or contemplation of, such Person becoming a Restricted Subsidiary of the Company or such merger or consolidation; and</w:t>
      </w:r>
    </w:p>
    <w:p>
      <w:pPr>
        <w:spacing w:after="0" w:line="167"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repurchases of any Indebtedness to the extent such repurchase is permitted by this Agreement.</w:t>
      </w:r>
    </w:p>
    <w:p>
      <w:pPr>
        <w:spacing w:after="0" w:line="220"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7.03</w:t>
      </w:r>
      <w:r>
        <w:rPr>
          <w:sz w:val="20"/>
          <w:szCs w:val="20"/>
          <w:color w:val="auto"/>
        </w:rPr>
        <w:tab/>
      </w:r>
      <w:r>
        <w:rPr>
          <w:rFonts w:ascii="Times New Roman" w:cs="Times New Roman" w:eastAsia="Times New Roman" w:hAnsi="Times New Roman"/>
          <w:sz w:val="20"/>
          <w:szCs w:val="20"/>
          <w:b w:val="1"/>
          <w:bCs w:val="1"/>
          <w:color w:val="auto"/>
        </w:rPr>
        <w:t xml:space="preserve">Indebtedness. </w:t>
      </w:r>
      <w:r>
        <w:rPr>
          <w:rFonts w:ascii="Times New Roman" w:cs="Times New Roman" w:eastAsia="Times New Roman" w:hAnsi="Times New Roman"/>
          <w:sz w:val="20"/>
          <w:szCs w:val="20"/>
          <w:color w:val="auto"/>
        </w:rPr>
        <w:t>Create, incur, assume or suffer to exist any Indebtedness, except:</w:t>
      </w:r>
    </w:p>
    <w:p>
      <w:pPr>
        <w:spacing w:after="0" w:line="228" w:lineRule="exact"/>
        <w:rPr>
          <w:sz w:val="20"/>
          <w:szCs w:val="20"/>
          <w:color w:val="auto"/>
        </w:rPr>
      </w:pPr>
    </w:p>
    <w:p>
      <w:pPr>
        <w:ind w:left="1020" w:hanging="396"/>
        <w:spacing w:after="0"/>
        <w:tabs>
          <w:tab w:leader="none" w:pos="102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under the Loan Documents;</w:t>
      </w:r>
    </w:p>
    <w:p>
      <w:pPr>
        <w:spacing w:after="0" w:line="223"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Senior Notes Indebtedness;</w:t>
      </w:r>
    </w:p>
    <w:p>
      <w:pPr>
        <w:spacing w:after="0" w:line="223" w:lineRule="exact"/>
        <w:rPr>
          <w:rFonts w:ascii="Times New Roman" w:cs="Times New Roman" w:eastAsia="Times New Roman" w:hAnsi="Times New Roman"/>
          <w:sz w:val="21"/>
          <w:szCs w:val="21"/>
          <w:color w:val="auto"/>
        </w:rPr>
      </w:pPr>
    </w:p>
    <w:p>
      <w:pPr>
        <w:ind w:left="1020" w:hanging="396"/>
        <w:spacing w:after="0"/>
        <w:tabs>
          <w:tab w:leader="none" w:pos="102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respect of Permitted Standalone Letters of Credit;</w:t>
      </w:r>
    </w:p>
    <w:p>
      <w:pPr>
        <w:spacing w:after="0" w:line="223"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outstanding on the date hereof and listed on </w:t>
      </w:r>
      <w:r>
        <w:rPr>
          <w:rFonts w:ascii="Times New Roman" w:cs="Times New Roman" w:eastAsia="Times New Roman" w:hAnsi="Times New Roman"/>
          <w:sz w:val="21"/>
          <w:szCs w:val="21"/>
          <w:u w:val="single" w:color="auto"/>
          <w:color w:val="auto"/>
        </w:rPr>
        <w:t>Schedule 7.03</w:t>
      </w:r>
      <w:r>
        <w:rPr>
          <w:rFonts w:ascii="Times New Roman" w:cs="Times New Roman" w:eastAsia="Times New Roman" w:hAnsi="Times New Roman"/>
          <w:sz w:val="21"/>
          <w:szCs w:val="21"/>
          <w:color w:val="auto"/>
        </w:rPr>
        <w:t xml:space="preserve"> and any Permitted Refinancing thereof;</w:t>
      </w:r>
    </w:p>
    <w:p>
      <w:pPr>
        <w:spacing w:after="0" w:line="223" w:lineRule="exact"/>
        <w:rPr>
          <w:rFonts w:ascii="Times New Roman" w:cs="Times New Roman" w:eastAsia="Times New Roman" w:hAnsi="Times New Roman"/>
          <w:sz w:val="21"/>
          <w:szCs w:val="21"/>
          <w:color w:val="auto"/>
        </w:rPr>
      </w:pPr>
    </w:p>
    <w:p>
      <w:pPr>
        <w:jc w:val="both"/>
        <w:ind w:firstLine="624"/>
        <w:spacing w:after="0" w:line="263" w:lineRule="auto"/>
        <w:tabs>
          <w:tab w:leader="none" w:pos="1035"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Guarantees of the Company or any Loan Party in respect of Indebtedness otherwise permitted hereunder of the Company or any other Loan Party and (ii) Guarantees of any Restricted Subsidiary that is not a Loan Party in respect of Indebtedness otherwise permitted hereunder of any other Restricted Subsidiary that is not a Loan Party;</w:t>
      </w:r>
    </w:p>
    <w:p>
      <w:pPr>
        <w:spacing w:after="0" w:line="162" w:lineRule="exact"/>
        <w:rPr>
          <w:rFonts w:ascii="Times New Roman" w:cs="Times New Roman" w:eastAsia="Times New Roman" w:hAnsi="Times New Roman"/>
          <w:sz w:val="21"/>
          <w:szCs w:val="21"/>
          <w:color w:val="auto"/>
        </w:rPr>
      </w:pPr>
    </w:p>
    <w:p>
      <w:pPr>
        <w:jc w:val="both"/>
        <w:ind w:firstLine="624"/>
        <w:spacing w:after="0" w:line="253" w:lineRule="auto"/>
        <w:tabs>
          <w:tab w:leader="none" w:pos="1128"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obligations (contingent or otherwise) of the Company or any Restricted Subsidiary existing or arising under any Swap Contract,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and (ii) in the case of any Secured Hedge Agreement, such Swap Contract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87" w:name="page188"/>
    <w:bookmarkEnd w:id="187"/>
    <w:p>
      <w:pPr>
        <w:spacing w:after="0" w:line="270" w:lineRule="auto"/>
        <w:rPr>
          <w:sz w:val="20"/>
          <w:szCs w:val="20"/>
          <w:color w:val="auto"/>
        </w:rPr>
      </w:pPr>
      <w:r>
        <w:rPr>
          <w:rFonts w:ascii="Times New Roman" w:cs="Times New Roman" w:eastAsia="Times New Roman" w:hAnsi="Times New Roman"/>
          <w:sz w:val="21"/>
          <w:szCs w:val="21"/>
          <w:color w:val="auto"/>
        </w:rPr>
        <w:t>does not contain any provision exonerating the non-defaulting party from its obligation to make payments on outstanding transactions to the defaulting party;</w:t>
      </w:r>
    </w:p>
    <w:p>
      <w:pPr>
        <w:spacing w:after="0" w:line="154" w:lineRule="exact"/>
        <w:rPr>
          <w:sz w:val="20"/>
          <w:szCs w:val="20"/>
          <w:color w:val="auto"/>
        </w:rPr>
      </w:pPr>
    </w:p>
    <w:p>
      <w:pPr>
        <w:jc w:val="both"/>
        <w:ind w:firstLine="624"/>
        <w:spacing w:after="0" w:line="269" w:lineRule="auto"/>
        <w:tabs>
          <w:tab w:leader="none" w:pos="104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in respect of capital leases, Synthetic Lease Obligations and purchase money obligations for fixed or capital assets within the limitations set forth in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aggregate amount of all such Indebtedness, together with the aggregate amount of all Indebtedness outstanding pursuant to subclause (ii) of this clause (g), outstanding at the time of such incurrence (after giving effect to such Indebtedness) shall not exceed an amount equal to 10% of Consolidated Total Assets at the time of such incurrence; and (ii) Permitted Refinancings of Indebtedness incurred pursuant to the foregoing subclause (i) of this clause (g);</w:t>
      </w:r>
    </w:p>
    <w:p>
      <w:pPr>
        <w:spacing w:after="0" w:line="158" w:lineRule="exact"/>
        <w:rPr>
          <w:rFonts w:ascii="Times New Roman" w:cs="Times New Roman" w:eastAsia="Times New Roman" w:hAnsi="Times New Roman"/>
          <w:sz w:val="20"/>
          <w:szCs w:val="20"/>
          <w:color w:val="auto"/>
        </w:rPr>
      </w:pPr>
    </w:p>
    <w:p>
      <w:pPr>
        <w:jc w:val="both"/>
        <w:ind w:firstLine="624"/>
        <w:spacing w:after="0" w:line="253" w:lineRule="auto"/>
        <w:tabs>
          <w:tab w:leader="none" w:pos="1175"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any Person that becomes a Restricted Subsidiary of the Company after the date hereof pursuant to a Permitted Acquisition, which Indebtedness is existing at the time such Person becomes a Subsidiary of the Company (other than Indebtedness incurred solely in contemplation of such Person’s becoming a Subsidiary of the Company) and any Permitted Refinancings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immediately after giving effect to the incurrence of any such Indebtedness, the Company will be in compliance, calculated on a Pro Forma Basis pursuant to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with the financial covenants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color w:val="auto"/>
        </w:rPr>
      </w:pPr>
    </w:p>
    <w:p>
      <w:pPr>
        <w:jc w:val="both"/>
        <w:ind w:firstLine="624"/>
        <w:spacing w:after="0" w:line="250" w:lineRule="auto"/>
        <w:tabs>
          <w:tab w:leader="none" w:pos="1013"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Indebtedness (which may be secured or unsecured) of Foreign Restricted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and subject to other applicable restrictions under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xml:space="preserve">, that the aggregate amount of all such Indebtedness, together with the aggregate amount of all Indebtedness outstanding pursuant to subclause (ii) of this clause (i), outstanding at the time of such incurrence shall not exceed the greater of (A) the greater of (x) $100,000,000 and (y) an amount equal to 2% of Consolidated Total Assets at the time of such incurrence and (B) an amount equal to the maximum amount of Indebtedness that would not cause the Foreign Leverage Ratio to exceed 3.50 to 1.00 calculated on a Pro Forma Basis pursuant to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and (ii) Permitted Refinancings of Indebtedness incurred pursuant to the foregoing subclause (i) of this clause (i);</w:t>
      </w:r>
    </w:p>
    <w:p>
      <w:pPr>
        <w:spacing w:after="0" w:line="177" w:lineRule="exact"/>
        <w:rPr>
          <w:rFonts w:ascii="Times New Roman" w:cs="Times New Roman" w:eastAsia="Times New Roman" w:hAnsi="Times New Roman"/>
          <w:sz w:val="21"/>
          <w:szCs w:val="21"/>
          <w:color w:val="auto"/>
        </w:rPr>
      </w:pPr>
    </w:p>
    <w:p>
      <w:pPr>
        <w:jc w:val="both"/>
        <w:ind w:firstLine="624"/>
        <w:spacing w:after="0" w:line="250" w:lineRule="auto"/>
        <w:tabs>
          <w:tab w:leader="none" w:pos="1207"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unsecured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 immediately after giving effect to the incurrence of any such Indebtedness, the Company will be in compliance, calculated on a Pro Forma Basis pursuant to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with the financial covenants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(ii) such Indebtedness shall not mature earlier than the date that is 91 days after the latest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Indebtedness consisting of a customary bridge facility shall be deemed to satisfy this requirement so long as such Indebtedness automatically converts into long-term debt which satisfies this clause (ii), and (iii) such Indebtedness shall not be subject to any financial covenant which is more restrictive than the financial covenants in the Loan Documents at the time of the incurrence of such Indebtedness;</w:t>
      </w:r>
    </w:p>
    <w:p>
      <w:pPr>
        <w:spacing w:after="0" w:line="177" w:lineRule="exact"/>
        <w:rPr>
          <w:rFonts w:ascii="Times New Roman" w:cs="Times New Roman" w:eastAsia="Times New Roman" w:hAnsi="Times New Roman"/>
          <w:sz w:val="21"/>
          <w:szCs w:val="21"/>
          <w:color w:val="auto"/>
        </w:rPr>
      </w:pPr>
    </w:p>
    <w:p>
      <w:pPr>
        <w:ind w:firstLine="624"/>
        <w:spacing w:after="0" w:line="283" w:lineRule="auto"/>
        <w:tabs>
          <w:tab w:leader="none" w:pos="1033"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(which is unsecured if owed by a Loan Party) owed (i) to a Loan Party or (ii) to any other Restricted Subsidiary to the extent such Indebtedness is permitted as an Investment pursuant to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firstLine="624"/>
        <w:spacing w:after="0" w:line="283" w:lineRule="auto"/>
        <w:tabs>
          <w:tab w:leader="none" w:pos="1129"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arising from the honoring by a bank or other financial institution of a check, draft or similar instrument inadvertently drawn against insufficient funds in the ordinary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1"/>
          <w:szCs w:val="21"/>
          <w:color w:val="auto"/>
        </w:rPr>
        <w:t xml:space="preserve">course of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Indebtedness is extinguished within five Business Days of incurrence;</w:t>
      </w:r>
    </w:p>
    <w:p>
      <w:pPr>
        <w:spacing w:after="0" w:line="211" w:lineRule="exact"/>
        <w:rPr>
          <w:sz w:val="20"/>
          <w:szCs w:val="20"/>
          <w:color w:val="auto"/>
        </w:rPr>
      </w:pPr>
    </w:p>
    <w:p>
      <w:pPr>
        <w:jc w:val="both"/>
        <w:ind w:firstLine="624"/>
        <w:spacing w:after="0" w:line="263" w:lineRule="auto"/>
        <w:tabs>
          <w:tab w:leader="none" w:pos="1142"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indemnification, adjustment of purchase price, earnout or similar obligations (including any Earnout Obligations), in each case, on customary terms incurred or assumed in connection with any Permitted Acquisition or permitted Disposition of any business or assets of any Restricted Subsidiary or Equity Interests of a Restricted Subsidiary;</w:t>
      </w:r>
    </w:p>
    <w:p>
      <w:pPr>
        <w:spacing w:after="0" w:line="162"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customer deposits and advance payments received in the ordinary course of business;</w:t>
      </w:r>
    </w:p>
    <w:p>
      <w:pPr>
        <w:spacing w:after="0" w:line="223" w:lineRule="exact"/>
        <w:rPr>
          <w:rFonts w:ascii="Times New Roman" w:cs="Times New Roman" w:eastAsia="Times New Roman" w:hAnsi="Times New Roman"/>
          <w:sz w:val="21"/>
          <w:szCs w:val="21"/>
          <w:color w:val="auto"/>
        </w:rPr>
      </w:pPr>
    </w:p>
    <w:p>
      <w:pPr>
        <w:jc w:val="both"/>
        <w:ind w:firstLine="624"/>
        <w:spacing w:after="0" w:line="251" w:lineRule="auto"/>
        <w:tabs>
          <w:tab w:leader="none" w:pos="1059"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obligations of any Borrower and or Restricted Subsidiary under the Surety Credit Documents so long as such obligations remain subject to the terms of the Intercreditor Agreement, and (ii) other Surety Bond Obligations (including Surety Bond Obligations of any Person that are assumed or acquired in connection with a Permitted Acquisition);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Surety Bond Obligations incurred under this clause (ii) for which the related Liens have not been terminated or made subject to an Intercreditor Agreement within 270 days (or such longer period as may be approved by the Administrative Agent) of the incurrence (or assumption or acquisition, as applicable) therefor may not exceed $200,000,000 in the aggregate;</w:t>
      </w:r>
    </w:p>
    <w:p>
      <w:pPr>
        <w:spacing w:after="0" w:line="177" w:lineRule="exact"/>
        <w:rPr>
          <w:rFonts w:ascii="Times New Roman" w:cs="Times New Roman" w:eastAsia="Times New Roman" w:hAnsi="Times New Roman"/>
          <w:sz w:val="21"/>
          <w:szCs w:val="21"/>
          <w:color w:val="auto"/>
        </w:rPr>
      </w:pPr>
    </w:p>
    <w:p>
      <w:pPr>
        <w:jc w:val="both"/>
        <w:ind w:firstLine="624"/>
        <w:spacing w:after="0" w:line="257" w:lineRule="auto"/>
        <w:tabs>
          <w:tab w:leader="none" w:pos="1059"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constituting reimbursement obligations with respect to letters of credit, bankers’ acceptances, bank guarantees and similar obligations;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aggregate principal amount of all Indebtedness incurred in reliance on this clause (p) shall not exceed, at the time of such incurrence (and after giving effect thereto), the greater of (i) $100,000,000 and (ii) an amount equal to 2% of Consolidated Total Assets at the time of such incurrence;</w:t>
      </w:r>
    </w:p>
    <w:p>
      <w:pPr>
        <w:spacing w:after="0" w:line="167" w:lineRule="exact"/>
        <w:rPr>
          <w:rFonts w:ascii="Times New Roman" w:cs="Times New Roman" w:eastAsia="Times New Roman" w:hAnsi="Times New Roman"/>
          <w:sz w:val="21"/>
          <w:szCs w:val="21"/>
          <w:color w:val="auto"/>
        </w:rPr>
      </w:pPr>
    </w:p>
    <w:p>
      <w:pPr>
        <w:ind w:firstLine="624"/>
        <w:spacing w:after="0" w:line="283" w:lineRule="auto"/>
        <w:tabs>
          <w:tab w:leader="none" w:pos="1033"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repurchase or indemnification obligations arising as a result of any breach of any covenant or representation made as part of any Permitted Receivables Transaction;</w:t>
      </w:r>
    </w:p>
    <w:p>
      <w:pPr>
        <w:spacing w:after="0" w:line="141" w:lineRule="exact"/>
        <w:rPr>
          <w:rFonts w:ascii="Times New Roman" w:cs="Times New Roman" w:eastAsia="Times New Roman" w:hAnsi="Times New Roman"/>
          <w:sz w:val="21"/>
          <w:szCs w:val="21"/>
          <w:color w:val="auto"/>
        </w:rPr>
      </w:pPr>
    </w:p>
    <w:p>
      <w:pPr>
        <w:jc w:val="both"/>
        <w:ind w:firstLine="624"/>
        <w:spacing w:after="0" w:line="260" w:lineRule="auto"/>
        <w:tabs>
          <w:tab w:leader="none" w:pos="99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the form of secured notes and/or term loans (and/or commitments in respect thereof) issued or incurred by the Borrowers in lieu of Incremental Increases (such notes or loans, “</w:t>
      </w:r>
      <w:r>
        <w:rPr>
          <w:rFonts w:ascii="Times New Roman" w:cs="Times New Roman" w:eastAsia="Times New Roman" w:hAnsi="Times New Roman"/>
          <w:sz w:val="20"/>
          <w:szCs w:val="20"/>
          <w:u w:val="single" w:color="auto"/>
          <w:color w:val="auto"/>
        </w:rPr>
        <w:t>Incremental Equivalent Indebtedness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where applicable, to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(i) the aggregate initial principal amount of any Incremental Equivalent Indebtedness shall not exceed the Incremental Facilities Limit (after giving effect to such Incremental Equivalent Indebtedness and any Incremental Increase incurred concurrently therewith), (ii) any Incremental Equivalent Indebtedness shall be in an aggregate amount of not less than $25,000,000 or any whole multiple of $5,000,000 in excess thereof or, if less, the entire remaining amount of the Incremental Facilities Limit, (iii) any Incremental Equivalent Indebtedness that is secured shall be secured only by the Collateral and on a pari passu basis with the Collateral securing the Obligations and subject to an intercreditor agreement in form and substance reasonably satisfactory to the Administrative Agent, which such intercreditor agreement shall provide that any Liens securing such Incremental Equivalent Indebtedness shall rank no higher in priority than the Liens securing the Term Loans, (iv) the weighted average life to maturity of such Incremental Equivalent Indebtedness shall be no shorter than the remaining weighted average life to maturity of the then existing Term Loans, (v) such Incremental Equivalent Indebtedness shall not mature earlier than the latest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Incremental Equivalent Indebtedness consisting of a customary bridge facility shall be deemed to satisfy this requirement so long as such Incremental Equivalent Indebtedness automatically converts into long-term debt which satisfies this clause (v), (vi) no Incremental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89" w:name="page190"/>
    <w:bookmarkEnd w:id="189"/>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Equivalent Indebtedness may be guaranteed by any Person that is not a Loan Party or secured by any assets other than the Collateral, (vii) no Incremental Equivalent Indebtedness shall contain any financial performance “maintenance” covenants (whether stated as a covenant, default or otherwise, although “incurrence-based” financial tests may be included) (other than any financial performance “maintenance” covenant that is only applicable after the latest Maturity Date), (viii) such Incremental Equivalent Indebtedness shall be on terms and conditions (other than pricing, rate floors, discounts, fees, premiums and optional prepayment or redemption provisions) that in the good faith determination of the Borrowers are not materially less favorable (when taken as a whole) to the Borrowers than the terms and conditions of the Loan Documents and the Senior Notes Documents (in each case, when taken as a whole) and (ix) no Default shall exist on the date such Indebtedness is incurred immediately prior to or after giving effect thereto or from the application of the proceeds thereof and, after giving effect to the incurrence of such Indebtedness and any transaction to be consummated using the proceeds thereof and assuming that all commitments in respect thereof are fully drawn at such time, the Company and its Restricted Subsidiaries shall be in compliance, calculated on a Pro Forma Basis pursuant to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with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and</w:t>
      </w:r>
    </w:p>
    <w:p>
      <w:pPr>
        <w:spacing w:after="0" w:line="169" w:lineRule="exact"/>
        <w:rPr>
          <w:sz w:val="20"/>
          <w:szCs w:val="20"/>
          <w:color w:val="auto"/>
        </w:rPr>
      </w:pPr>
    </w:p>
    <w:p>
      <w:pPr>
        <w:jc w:val="both"/>
        <w:ind w:firstLine="624"/>
        <w:spacing w:after="0" w:line="263" w:lineRule="auto"/>
        <w:tabs>
          <w:tab w:leader="none" w:pos="1140"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aggregate outstanding principal amount of all Indebtedness incurred in reliance on this clause (s) shall not exceed, at the time of such incurrence (and after giving effect thereto), the greater of (i) $100,000,000 and (ii) an amount equal to 2% of Consolidated Total Assets at the time of such incurrence.</w:t>
      </w:r>
    </w:p>
    <w:p>
      <w:pPr>
        <w:spacing w:after="0" w:line="158"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7.04 Fundamental Changes. </w:t>
      </w:r>
      <w:r>
        <w:rPr>
          <w:rFonts w:ascii="Times New Roman" w:cs="Times New Roman" w:eastAsia="Times New Roman" w:hAnsi="Times New Roman"/>
          <w:sz w:val="21"/>
          <w:szCs w:val="21"/>
          <w:color w:val="auto"/>
        </w:rPr>
        <w:t>Merge, dissolve, liquidate, consolidate with or into another Person, or Dispose of (whether in one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 or in a series of transactions) all or substantially all of its assets (whether now owned or hereafter acquired) to or in favor of any Person, except that, so long as no Default exists or would result therefrom and all representations and warranties hereunder would remain true and correct after giving effect to such transactions:</w:t>
      </w:r>
    </w:p>
    <w:p>
      <w:pPr>
        <w:spacing w:after="0" w:line="167" w:lineRule="exact"/>
        <w:rPr>
          <w:sz w:val="20"/>
          <w:szCs w:val="20"/>
          <w:color w:val="auto"/>
        </w:rPr>
      </w:pPr>
    </w:p>
    <w:p>
      <w:pPr>
        <w:jc w:val="both"/>
        <w:ind w:firstLine="624"/>
        <w:spacing w:after="0" w:line="251" w:lineRule="auto"/>
        <w:tabs>
          <w:tab w:leader="none" w:pos="1112"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Restricted Subsidiary may merge into or consolidate with (i)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shall be the continuing or surviving Person, or (ii) any one or more other Restricted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when any Subsidiary Guarantor is merging into or consolidating with another Restricted Subsidiary that is not a Subsidiary Guarantor, the Subsidiary Guarantor shall be the continuing or surviving Person (unless simultaneously with the consummation of the closing of such merger or consolidation the Restricted Subsidiary shall become a Subsidiary Guarantor in which case the Restricted Subsidiary may be permitted to be the continuing or surviving Person);</w:t>
      </w:r>
    </w:p>
    <w:p>
      <w:pPr>
        <w:spacing w:after="0" w:line="177" w:lineRule="exact"/>
        <w:rPr>
          <w:rFonts w:ascii="Times New Roman" w:cs="Times New Roman" w:eastAsia="Times New Roman" w:hAnsi="Times New Roman"/>
          <w:sz w:val="21"/>
          <w:szCs w:val="21"/>
          <w:color w:val="auto"/>
        </w:rPr>
      </w:pPr>
    </w:p>
    <w:p>
      <w:pPr>
        <w:jc w:val="both"/>
        <w:ind w:firstLine="624"/>
        <w:spacing w:after="0" w:line="263" w:lineRule="auto"/>
        <w:tabs>
          <w:tab w:leader="none" w:pos="1046"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Restricted Subsidiary may Dispose of all or substantially all of its assets (upon voluntary liquidation or otherwise) to the Company or to another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transferor in such a transaction is a Loan Party, then the transferee must either be the Company or another Loan Party;</w:t>
      </w:r>
    </w:p>
    <w:p>
      <w:pPr>
        <w:spacing w:after="0" w:line="162" w:lineRule="exact"/>
        <w:rPr>
          <w:rFonts w:ascii="Times New Roman" w:cs="Times New Roman" w:eastAsia="Times New Roman" w:hAnsi="Times New Roman"/>
          <w:sz w:val="21"/>
          <w:szCs w:val="21"/>
          <w:color w:val="auto"/>
        </w:rPr>
      </w:pPr>
    </w:p>
    <w:p>
      <w:pPr>
        <w:jc w:val="both"/>
        <w:ind w:firstLine="624"/>
        <w:spacing w:after="0" w:line="257" w:lineRule="auto"/>
        <w:tabs>
          <w:tab w:leader="none" w:pos="1022"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any Permitted Acquisition, any Restricted Subsidiary of the Company may merge into or consolidate with any other Person or permit any other Person to merge into or consolidate with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Person surviving such merger or consolidation shall be a Restricted Subsidiary of the Company and (ii) in the case of any such merger or consolidation to which any Subsidiary Guarantor is a party, the Subsidiary Guarantor shall be the continuing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90" w:name="page191"/>
    <w:bookmarkEnd w:id="190"/>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surviving Person (unless simultaneously with the consummation of the closing of such merger or consolidation the other merging or consolidating Person shall become a Subsidiary Guarantor and shall deliver all of the documentation required by </w:t>
      </w:r>
      <w:r>
        <w:rPr>
          <w:rFonts w:ascii="Times New Roman" w:cs="Times New Roman" w:eastAsia="Times New Roman" w:hAnsi="Times New Roman"/>
          <w:sz w:val="21"/>
          <w:szCs w:val="21"/>
          <w:u w:val="single" w:color="auto"/>
          <w:color w:val="auto"/>
        </w:rPr>
        <w:t>Section 6.12(d)</w:t>
      </w:r>
      <w:r>
        <w:rPr>
          <w:rFonts w:ascii="Times New Roman" w:cs="Times New Roman" w:eastAsia="Times New Roman" w:hAnsi="Times New Roman"/>
          <w:sz w:val="21"/>
          <w:szCs w:val="21"/>
          <w:color w:val="auto"/>
        </w:rPr>
        <w:t>, in which case such merging or consolidating Person may be permitted to be the continuing or surviving Person); and</w:t>
      </w:r>
    </w:p>
    <w:p>
      <w:pPr>
        <w:spacing w:after="0" w:line="167" w:lineRule="exact"/>
        <w:rPr>
          <w:sz w:val="20"/>
          <w:szCs w:val="20"/>
          <w:color w:val="auto"/>
        </w:rPr>
      </w:pPr>
    </w:p>
    <w:p>
      <w:pPr>
        <w:jc w:val="both"/>
        <w:ind w:firstLine="624"/>
        <w:spacing w:after="0" w:line="247" w:lineRule="auto"/>
        <w:tabs>
          <w:tab w:leader="none" w:pos="1072"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Company and any of its Restricted Subsidiaries may merge into or consolidate with any other Person or permit any other Person to merge into or consolidate with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merger or consolidation is a permitted Investment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7.02(g)</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(and, if under </w:t>
      </w:r>
      <w:r>
        <w:rPr>
          <w:rFonts w:ascii="Times New Roman" w:cs="Times New Roman" w:eastAsia="Times New Roman" w:hAnsi="Times New Roman"/>
          <w:sz w:val="21"/>
          <w:szCs w:val="21"/>
          <w:u w:val="single" w:color="auto"/>
          <w:color w:val="auto"/>
        </w:rPr>
        <w:t>Section 7.02(i)</w:t>
      </w:r>
      <w:r>
        <w:rPr>
          <w:rFonts w:ascii="Times New Roman" w:cs="Times New Roman" w:eastAsia="Times New Roman" w:hAnsi="Times New Roman"/>
          <w:sz w:val="21"/>
          <w:szCs w:val="21"/>
          <w:color w:val="auto"/>
        </w:rPr>
        <w:t xml:space="preserve">, such merger or consolidation is part of a transaction or series of transactions that would satisfy the requirements set forth in the definition of “Permitted Acquisition”, if such merger or consolidation were an Acquisition, and does not conflict with any other provision of this Agreement)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each case, immediately after giving effect thereto (i) in the case of any such merger or consolidation to which the Company is a party, the Company is the surviving Person and (ii) in the case of any merger or consolidation to which the Company is not a party, (A) the Person surviving such merger or consolidation shall be a Restricted Subsidiary and (B) in the case of any such merger or consolidation to which any Subsidiary Guarantor is a party, the Subsidiary Guarantor shall be the continuing or surviving Person (unless simultaneously with the consummation of the closing of such merger or consolidation the other merging or consolidating Person shall become a Subsidiary Guarantor and shall deliver all of the documentation required by </w:t>
      </w:r>
      <w:r>
        <w:rPr>
          <w:rFonts w:ascii="Times New Roman" w:cs="Times New Roman" w:eastAsia="Times New Roman" w:hAnsi="Times New Roman"/>
          <w:sz w:val="21"/>
          <w:szCs w:val="21"/>
          <w:u w:val="single" w:color="auto"/>
          <w:color w:val="auto"/>
        </w:rPr>
        <w:t>Section 6.12(d)</w:t>
      </w:r>
      <w:r>
        <w:rPr>
          <w:rFonts w:ascii="Times New Roman" w:cs="Times New Roman" w:eastAsia="Times New Roman" w:hAnsi="Times New Roman"/>
          <w:sz w:val="21"/>
          <w:szCs w:val="21"/>
          <w:color w:val="auto"/>
        </w:rPr>
        <w:t>, in which case such merging or consolidating Person may be permitted to be the continuing or surviving Person).</w:t>
      </w:r>
    </w:p>
    <w:p>
      <w:pPr>
        <w:spacing w:after="0" w:line="179"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7.05</w:t>
      </w:r>
      <w:r>
        <w:rPr>
          <w:sz w:val="20"/>
          <w:szCs w:val="20"/>
          <w:color w:val="auto"/>
        </w:rPr>
        <w:tab/>
      </w:r>
      <w:r>
        <w:rPr>
          <w:rFonts w:ascii="Times New Roman" w:cs="Times New Roman" w:eastAsia="Times New Roman" w:hAnsi="Times New Roman"/>
          <w:sz w:val="20"/>
          <w:szCs w:val="20"/>
          <w:b w:val="1"/>
          <w:bCs w:val="1"/>
          <w:color w:val="auto"/>
        </w:rPr>
        <w:t xml:space="preserve">Dispositions. </w:t>
      </w:r>
      <w:r>
        <w:rPr>
          <w:rFonts w:ascii="Times New Roman" w:cs="Times New Roman" w:eastAsia="Times New Roman" w:hAnsi="Times New Roman"/>
          <w:sz w:val="20"/>
          <w:szCs w:val="20"/>
          <w:color w:val="auto"/>
        </w:rPr>
        <w:t>Make any Disposition or enter into any agreement to make any Disposition, except:</w:t>
      </w:r>
    </w:p>
    <w:p>
      <w:pPr>
        <w:spacing w:after="0" w:line="228" w:lineRule="exact"/>
        <w:rPr>
          <w:sz w:val="20"/>
          <w:szCs w:val="20"/>
          <w:color w:val="auto"/>
        </w:rPr>
      </w:pPr>
    </w:p>
    <w:p>
      <w:pPr>
        <w:ind w:firstLine="624"/>
        <w:spacing w:after="0" w:line="283" w:lineRule="auto"/>
        <w:tabs>
          <w:tab w:leader="none" w:pos="1022"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obsolete, worn out, excess, surplus or idle property or property no longer used in the business of such Person, whether now owned or hereafter acquired, in the ordinary course of business;</w:t>
      </w:r>
    </w:p>
    <w:p>
      <w:pPr>
        <w:spacing w:after="0" w:line="141"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inventory in the ordinary course of business;</w:t>
      </w:r>
    </w:p>
    <w:p>
      <w:pPr>
        <w:spacing w:after="0" w:line="223" w:lineRule="exact"/>
        <w:rPr>
          <w:rFonts w:ascii="Times New Roman" w:cs="Times New Roman" w:eastAsia="Times New Roman" w:hAnsi="Times New Roman"/>
          <w:sz w:val="21"/>
          <w:szCs w:val="21"/>
          <w:color w:val="auto"/>
        </w:rPr>
      </w:pPr>
    </w:p>
    <w:p>
      <w:pPr>
        <w:jc w:val="both"/>
        <w:ind w:firstLine="624"/>
        <w:spacing w:after="0" w:line="263" w:lineRule="auto"/>
        <w:tabs>
          <w:tab w:leader="none" w:pos="1073"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62" w:lineRule="exact"/>
        <w:rPr>
          <w:rFonts w:ascii="Times New Roman" w:cs="Times New Roman" w:eastAsia="Times New Roman" w:hAnsi="Times New Roman"/>
          <w:sz w:val="21"/>
          <w:szCs w:val="21"/>
          <w:color w:val="auto"/>
        </w:rPr>
      </w:pPr>
    </w:p>
    <w:p>
      <w:pPr>
        <w:jc w:val="both"/>
        <w:ind w:firstLine="624"/>
        <w:spacing w:after="0" w:line="263" w:lineRule="auto"/>
        <w:tabs>
          <w:tab w:leader="none" w:pos="1046"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of property by any Restricted Subsidiary to the Company or to a Restricted Subsidiary (other than an Excluded Subsidiary or a Prohibited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transferor of such property is a Loan Party, the transferee thereof must either be the Company or another Loan Party;</w:t>
      </w:r>
    </w:p>
    <w:p>
      <w:pPr>
        <w:spacing w:after="0" w:line="162" w:lineRule="exact"/>
        <w:rPr>
          <w:rFonts w:ascii="Times New Roman" w:cs="Times New Roman" w:eastAsia="Times New Roman" w:hAnsi="Times New Roman"/>
          <w:sz w:val="21"/>
          <w:szCs w:val="21"/>
          <w:color w:val="auto"/>
        </w:rPr>
      </w:pPr>
    </w:p>
    <w:p>
      <w:pPr>
        <w:ind w:left="1020" w:hanging="396"/>
        <w:spacing w:after="0"/>
        <w:tabs>
          <w:tab w:leader="none" w:pos="102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permitted by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ind w:left="1000" w:hanging="376"/>
        <w:spacing w:after="0"/>
        <w:tabs>
          <w:tab w:leader="none" w:pos="100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made as part of the Foreign Finance Company Plan;</w:t>
      </w:r>
    </w:p>
    <w:p>
      <w:pPr>
        <w:spacing w:after="0" w:line="223" w:lineRule="exact"/>
        <w:rPr>
          <w:rFonts w:ascii="Times New Roman" w:cs="Times New Roman" w:eastAsia="Times New Roman" w:hAnsi="Times New Roman"/>
          <w:sz w:val="21"/>
          <w:szCs w:val="21"/>
          <w:color w:val="auto"/>
        </w:rPr>
      </w:pPr>
    </w:p>
    <w:p>
      <w:pPr>
        <w:jc w:val="both"/>
        <w:ind w:firstLine="624"/>
        <w:spacing w:after="0" w:line="263" w:lineRule="auto"/>
        <w:tabs>
          <w:tab w:leader="none" w:pos="1033"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by the Company and its Restricted Subsidiaries not otherwise permitted under this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Disposition, (i) no Default shall exist or would result from such Disposition, (ii) the aggregate book value of all property Disposed of 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91" w:name="page192"/>
    <w:bookmarkEnd w:id="191"/>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reliance on this clause (g) (after giving effect to such Disposition) after the Closing Date shall not exceed an amount equal to (x) 35% of Consolidated Total Assets at the time of such Disposition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(y) the aggregate book value of any Specified Mexican Pipeline Assets and (iii) the aggregate book value of all property Disposed of in reliance on this clause (g) (after giving effect to such Disposition) after the Closing Date in a single Disposition transaction shall not exceed an amount equal to (x) 20% of Consolidated Total Assets at the time of such Disposition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(y) the aggregate book value of any Specified Mexican Pipeline Assets;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no Disposition under this clause (g) may be made to any Excluded Subsidiary or any Prohibited Subsidiary;</w:t>
      </w:r>
    </w:p>
    <w:p>
      <w:pPr>
        <w:spacing w:after="0" w:line="176" w:lineRule="exact"/>
        <w:rPr>
          <w:sz w:val="20"/>
          <w:szCs w:val="20"/>
          <w:color w:val="auto"/>
        </w:rPr>
      </w:pPr>
    </w:p>
    <w:p>
      <w:pPr>
        <w:jc w:val="both"/>
        <w:ind w:firstLine="624"/>
        <w:spacing w:after="0" w:line="263" w:lineRule="auto"/>
        <w:tabs>
          <w:tab w:leader="none" w:pos="1085"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non-exclusive licenses or sublicenses of IP Rights in the ordinary course of business and substantially consistent with past practice, and leases or subleases granted to others that do not materially interfere with the ordinary course of business of the Company or any of its Restricted Subsidiaries;</w:t>
      </w:r>
    </w:p>
    <w:p>
      <w:pPr>
        <w:spacing w:after="0" w:line="162" w:lineRule="exact"/>
        <w:rPr>
          <w:rFonts w:ascii="Times New Roman" w:cs="Times New Roman" w:eastAsia="Times New Roman" w:hAnsi="Times New Roman"/>
          <w:sz w:val="21"/>
          <w:szCs w:val="21"/>
          <w:color w:val="auto"/>
        </w:rPr>
      </w:pPr>
    </w:p>
    <w:p>
      <w:pPr>
        <w:jc w:val="both"/>
        <w:ind w:firstLine="624"/>
        <w:spacing w:after="0" w:line="257" w:lineRule="auto"/>
        <w:tabs>
          <w:tab w:leader="none" w:pos="1065"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of non-core assets acquired in a Permitted Acquisition by the Company or any of its Restricted Subsidiaries within 18 months of such Permitted Acquisition;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non-core assets, in the aggregate, do not exceed 40% of the consolidated net assets (measured using the definition of “Consolidated Net Assets”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and measured as of the date of such Permitted Acquisition) acquired pursuant to such Permitted Acquisition;</w:t>
      </w:r>
    </w:p>
    <w:p>
      <w:pPr>
        <w:spacing w:after="0" w:line="167" w:lineRule="exact"/>
        <w:rPr>
          <w:rFonts w:ascii="Times New Roman" w:cs="Times New Roman" w:eastAsia="Times New Roman" w:hAnsi="Times New Roman"/>
          <w:sz w:val="21"/>
          <w:szCs w:val="21"/>
          <w:color w:val="auto"/>
        </w:rPr>
      </w:pPr>
    </w:p>
    <w:p>
      <w:pPr>
        <w:ind w:firstLine="624"/>
        <w:spacing w:after="0" w:line="283" w:lineRule="auto"/>
        <w:tabs>
          <w:tab w:leader="none" w:pos="1104"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settlement of or payment in respect of, or series of settlements or payments in respect of, any property or casualty insurance claim or any condemnation proceeding relating to any asset of the Company or any of its Restricted Subsidiaries;</w:t>
      </w:r>
    </w:p>
    <w:p>
      <w:pPr>
        <w:spacing w:after="0" w:line="141" w:lineRule="exact"/>
        <w:rPr>
          <w:rFonts w:ascii="Times New Roman" w:cs="Times New Roman" w:eastAsia="Times New Roman" w:hAnsi="Times New Roman"/>
          <w:sz w:val="21"/>
          <w:szCs w:val="21"/>
          <w:color w:val="auto"/>
        </w:rPr>
      </w:pPr>
    </w:p>
    <w:p>
      <w:pPr>
        <w:ind w:firstLine="624"/>
        <w:spacing w:after="0" w:line="283" w:lineRule="auto"/>
        <w:tabs>
          <w:tab w:leader="none" w:pos="1072"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of property constituting the making of Investments permitted under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and Dispositions of property constituting the making of Restricted Payments permitted by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firstLine="624"/>
        <w:spacing w:after="0" w:line="283" w:lineRule="auto"/>
        <w:tabs>
          <w:tab w:leader="none" w:pos="1104"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sale of past due accounts receivable in the ordinary course of business consistent with the practices of similarly situated companies and (ii) Dispositions made as part of a Permitted Receivables Transaction; and</w:t>
      </w:r>
    </w:p>
    <w:p>
      <w:pPr>
        <w:spacing w:after="0" w:line="141" w:lineRule="exact"/>
        <w:rPr>
          <w:rFonts w:ascii="Times New Roman" w:cs="Times New Roman" w:eastAsia="Times New Roman" w:hAnsi="Times New Roman"/>
          <w:sz w:val="21"/>
          <w:szCs w:val="21"/>
          <w:color w:val="auto"/>
        </w:rPr>
      </w:pPr>
    </w:p>
    <w:p>
      <w:pPr>
        <w:ind w:left="1100" w:hanging="476"/>
        <w:spacing w:after="0"/>
        <w:tabs>
          <w:tab w:leader="none" w:pos="110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Sale Leaseback Transactions permitted by </w:t>
      </w:r>
      <w:r>
        <w:rPr>
          <w:rFonts w:ascii="Times New Roman" w:cs="Times New Roman" w:eastAsia="Times New Roman" w:hAnsi="Times New Roman"/>
          <w:sz w:val="21"/>
          <w:szCs w:val="21"/>
          <w:u w:val="single" w:color="auto"/>
          <w:color w:val="auto"/>
        </w:rPr>
        <w:t>Section 7.17</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Disposition pursuant to clauses (a) through (m) shall be for fair market value.</w:t>
      </w:r>
    </w:p>
    <w:p>
      <w:pPr>
        <w:spacing w:after="0" w:line="20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7.06 Restricted Payments. </w:t>
      </w:r>
      <w:r>
        <w:rPr>
          <w:rFonts w:ascii="Times New Roman" w:cs="Times New Roman" w:eastAsia="Times New Roman" w:hAnsi="Times New Roman"/>
          <w:sz w:val="21"/>
          <w:szCs w:val="21"/>
          <w:color w:val="auto"/>
        </w:rPr>
        <w:t>Declare or make, directly or indirectly, any Restricted Payment, or incur any obligation (contingent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otherwise) to do so, except that, so long as no Default shall have occurred and be continuing at the time of any action described below or would result therefrom:</w:t>
      </w:r>
    </w:p>
    <w:p>
      <w:pPr>
        <w:spacing w:after="0" w:line="160" w:lineRule="exact"/>
        <w:rPr>
          <w:sz w:val="20"/>
          <w:szCs w:val="20"/>
          <w:color w:val="auto"/>
        </w:rPr>
      </w:pPr>
    </w:p>
    <w:p>
      <w:pPr>
        <w:jc w:val="both"/>
        <w:ind w:firstLine="624"/>
        <w:spacing w:after="0" w:line="263" w:lineRule="auto"/>
        <w:tabs>
          <w:tab w:leader="none" w:pos="1047"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Restricted Subsidiary may make Restricted Payments to the Company, any other Loan Party and any other Person that owns an Equity Interest in such Restricted Subsidiary, ratably according to their respective holdings of the type of Equity Interest in respect of which such Restricted Payment is being made;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92" w:name="page193"/>
    <w:bookmarkEnd w:id="192"/>
    <w:p>
      <w:pPr>
        <w:ind w:firstLine="624"/>
        <w:spacing w:after="0" w:line="283" w:lineRule="auto"/>
        <w:tabs>
          <w:tab w:leader="none" w:pos="1046"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Restricted Subsidiary may declare and make dividend payments or other distributions payable solely in the common stock or other common Equity Interests of such Person;</w:t>
      </w:r>
    </w:p>
    <w:p>
      <w:pPr>
        <w:spacing w:after="0" w:line="141" w:lineRule="exact"/>
        <w:rPr>
          <w:rFonts w:ascii="Times New Roman" w:cs="Times New Roman" w:eastAsia="Times New Roman" w:hAnsi="Times New Roman"/>
          <w:sz w:val="21"/>
          <w:szCs w:val="21"/>
          <w:color w:val="auto"/>
        </w:rPr>
      </w:pPr>
    </w:p>
    <w:p>
      <w:pPr>
        <w:ind w:firstLine="624"/>
        <w:spacing w:after="0" w:line="283" w:lineRule="auto"/>
        <w:tabs>
          <w:tab w:leader="none" w:pos="1073"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Restricted Subsidiary may purchase, redeem or otherwise acquire Equity Interests issued by it with the proceeds received from the substantially concurrent issue of new shares of its common stock or other common Equity Interests;</w:t>
      </w:r>
    </w:p>
    <w:p>
      <w:pPr>
        <w:spacing w:after="0" w:line="141" w:lineRule="exact"/>
        <w:rPr>
          <w:rFonts w:ascii="Times New Roman" w:cs="Times New Roman" w:eastAsia="Times New Roman" w:hAnsi="Times New Roman"/>
          <w:sz w:val="21"/>
          <w:szCs w:val="21"/>
          <w:color w:val="auto"/>
        </w:rPr>
      </w:pPr>
    </w:p>
    <w:p>
      <w:pPr>
        <w:jc w:val="both"/>
        <w:ind w:firstLine="624"/>
        <w:spacing w:after="0" w:line="263" w:lineRule="auto"/>
        <w:tabs>
          <w:tab w:leader="none" w:pos="1098"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may make Restricted Payments, so long as the Consolidated Leverage Ratio shall be less than 2.50 to 1.00, calculated on a Pro Forma Basis pursuant to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after giving effect to any Indebtedness incurred or to be incurred in connection with such Restricted Payment;</w:t>
      </w:r>
    </w:p>
    <w:p>
      <w:pPr>
        <w:spacing w:after="0" w:line="162" w:lineRule="exact"/>
        <w:rPr>
          <w:rFonts w:ascii="Times New Roman" w:cs="Times New Roman" w:eastAsia="Times New Roman" w:hAnsi="Times New Roman"/>
          <w:sz w:val="21"/>
          <w:szCs w:val="21"/>
          <w:color w:val="auto"/>
        </w:rPr>
      </w:pPr>
    </w:p>
    <w:p>
      <w:pPr>
        <w:jc w:val="both"/>
        <w:ind w:firstLine="624"/>
        <w:spacing w:after="0" w:line="253" w:lineRule="auto"/>
        <w:tabs>
          <w:tab w:leader="none" w:pos="1022"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may make Restricted Payments, if after giving effect thereto the aggregate amount of Restricted Payments paid or made after the Closing Date would be less than the sum of $350,000,000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50% of Consolidated Net Income (or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50% if negative) for each fiscal year ending on or after December 31, 2018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100% of the net cash proceeds received by the Company with respect to the sale or issuance of any Equity Interest in the Company after the Closing Date (other than any proceeds described in the foregoing clause (c) or any proceeds used for Capital Expenditures); and</w:t>
      </w:r>
    </w:p>
    <w:p>
      <w:pPr>
        <w:spacing w:after="0" w:line="174" w:lineRule="exact"/>
        <w:rPr>
          <w:rFonts w:ascii="Times New Roman" w:cs="Times New Roman" w:eastAsia="Times New Roman" w:hAnsi="Times New Roman"/>
          <w:sz w:val="21"/>
          <w:szCs w:val="21"/>
          <w:color w:val="auto"/>
        </w:rPr>
      </w:pPr>
    </w:p>
    <w:p>
      <w:pPr>
        <w:ind w:left="1000" w:hanging="376"/>
        <w:spacing w:after="0"/>
        <w:tabs>
          <w:tab w:leader="none" w:pos="100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Restricted Subsidiary may make Restricted Payments as part of the Foreign Finance Company Plan.</w:t>
      </w:r>
    </w:p>
    <w:p>
      <w:pPr>
        <w:spacing w:after="0" w:line="220"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7.07 Change in Nature of Business. </w:t>
      </w:r>
      <w:r>
        <w:rPr>
          <w:rFonts w:ascii="Times New Roman" w:cs="Times New Roman" w:eastAsia="Times New Roman" w:hAnsi="Times New Roman"/>
          <w:sz w:val="21"/>
          <w:szCs w:val="21"/>
          <w:color w:val="auto"/>
        </w:rPr>
        <w:t>Engage in any material line of business substantially different from those lines of business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conducted by it on the Closing Date and any business or activities which are similar, related or incidental thereto.</w:t>
      </w:r>
    </w:p>
    <w:p>
      <w:pPr>
        <w:spacing w:after="0" w:line="133"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7.08 Transactions with Affiliates. </w:t>
      </w:r>
      <w:r>
        <w:rPr>
          <w:rFonts w:ascii="Times New Roman" w:cs="Times New Roman" w:eastAsia="Times New Roman" w:hAnsi="Times New Roman"/>
          <w:sz w:val="21"/>
          <w:szCs w:val="21"/>
          <w:color w:val="auto"/>
        </w:rPr>
        <w:t>Enter into any transaction of any kind with any Affiliate of the Company, whether or not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ordinary course of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restriction shall not apply to (a) the transactions contemplated by the Loan Documents; (b) payment of reasonable compensation to officers and employees for services actually rendered to Borrowers or their respective Subsidiaries; (c) payment of customary directors’ fees and indemnities; (d) transactions with Affiliates that were consummated prior to the date hereof and are set forth on </w:t>
      </w:r>
      <w:r>
        <w:rPr>
          <w:rFonts w:ascii="Times New Roman" w:cs="Times New Roman" w:eastAsia="Times New Roman" w:hAnsi="Times New Roman"/>
          <w:sz w:val="21"/>
          <w:szCs w:val="21"/>
          <w:u w:val="single" w:color="auto"/>
          <w:color w:val="auto"/>
        </w:rPr>
        <w:t>Schedule 7.08</w:t>
      </w:r>
      <w:r>
        <w:rPr>
          <w:rFonts w:ascii="Times New Roman" w:cs="Times New Roman" w:eastAsia="Times New Roman" w:hAnsi="Times New Roman"/>
          <w:sz w:val="21"/>
          <w:szCs w:val="21"/>
          <w:color w:val="auto"/>
        </w:rPr>
        <w:t xml:space="preserve">; (e) transactions with Affiliates upon fair and reasonable terms and are no less favorable to the Company or such Restricted Subsidiary than the Company or such Restricted Subsidiary would obtain in a comparable arm’s length transaction with a Person not an Affiliate of the Company or such Restricted Subsidiary, and (f) transactions between or among the Loan Parties and their Restricted Subsidiaries subject to compliance by such Subsidiaries with the other requirements of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7.09 Burdensome Agreements. </w:t>
      </w:r>
      <w:r>
        <w:rPr>
          <w:rFonts w:ascii="Times New Roman" w:cs="Times New Roman" w:eastAsia="Times New Roman" w:hAnsi="Times New Roman"/>
          <w:sz w:val="21"/>
          <w:szCs w:val="21"/>
          <w:color w:val="auto"/>
        </w:rPr>
        <w:t>Enter into or permit to exist any Contractual Obligation (other than this Agreement or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Loan Document) that (a) limits the ability (i) of any Restricted Subsidiary to make Restricted Payments to the Company or any other Loan Party or to otherwise transfer property to the Company or any other Loan Party, except in each case for any agreement in effect on the date hereof and set forth on </w:t>
      </w:r>
      <w:r>
        <w:rPr>
          <w:rFonts w:ascii="Times New Roman" w:cs="Times New Roman" w:eastAsia="Times New Roman" w:hAnsi="Times New Roman"/>
          <w:sz w:val="21"/>
          <w:szCs w:val="21"/>
          <w:u w:val="single" w:color="auto"/>
          <w:color w:val="auto"/>
        </w:rPr>
        <w:t>Schedule 7.09</w:t>
      </w:r>
      <w:r>
        <w:rPr>
          <w:rFonts w:ascii="Times New Roman" w:cs="Times New Roman" w:eastAsia="Times New Roman" w:hAnsi="Times New Roman"/>
          <w:sz w:val="21"/>
          <w:szCs w:val="21"/>
          <w:color w:val="auto"/>
        </w:rPr>
        <w:t>, (ii) of any Restricted Subsidiary to Guarantee the Indebtedness of the Company or any other Borrower or (iii) of the Company or 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93" w:name="page194"/>
    <w:bookmarkEnd w:id="193"/>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Restricted Subsidiary to create, incur, assume or suffer to exist Liens on property of such Person to secure the Obligations or (b) requires the grant of a Lien to secure an obligation of such Person if a Lien is granted to secure the Obligations;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7.09</w:t>
      </w:r>
      <w:r>
        <w:rPr>
          <w:rFonts w:ascii="Times New Roman" w:cs="Times New Roman" w:eastAsia="Times New Roman" w:hAnsi="Times New Roman"/>
          <w:sz w:val="21"/>
          <w:szCs w:val="21"/>
          <w:color w:val="auto"/>
        </w:rPr>
        <w:t xml:space="preserve"> shall not prohibit any restriction or requirement existing under or by reason of (i) applicable Law, (ii) any agreement relating to secured Indebtedness permitted under </w:t>
      </w:r>
      <w:r>
        <w:rPr>
          <w:rFonts w:ascii="Times New Roman" w:cs="Times New Roman" w:eastAsia="Times New Roman" w:hAnsi="Times New Roman"/>
          <w:sz w:val="21"/>
          <w:szCs w:val="21"/>
          <w:u w:val="single" w:color="auto"/>
          <w:color w:val="auto"/>
        </w:rPr>
        <w:t>Section 7.03(g)</w:t>
      </w:r>
      <w:r>
        <w:rPr>
          <w:rFonts w:ascii="Times New Roman" w:cs="Times New Roman" w:eastAsia="Times New Roman" w:hAnsi="Times New Roman"/>
          <w:sz w:val="21"/>
          <w:szCs w:val="21"/>
          <w:color w:val="auto"/>
        </w:rPr>
        <w:t xml:space="preserve"> to the extent relating to the property financed by or the subject of such Indebtedness, (iii) any agreement relating to secured Indebtedness permitted under </w:t>
      </w:r>
      <w:r>
        <w:rPr>
          <w:rFonts w:ascii="Times New Roman" w:cs="Times New Roman" w:eastAsia="Times New Roman" w:hAnsi="Times New Roman"/>
          <w:sz w:val="21"/>
          <w:szCs w:val="21"/>
          <w:u w:val="single" w:color="auto"/>
          <w:color w:val="auto"/>
        </w:rPr>
        <w:t>Section 7.03(h)</w:t>
      </w:r>
      <w:r>
        <w:rPr>
          <w:rFonts w:ascii="Times New Roman" w:cs="Times New Roman" w:eastAsia="Times New Roman" w:hAnsi="Times New Roman"/>
          <w:sz w:val="21"/>
          <w:szCs w:val="21"/>
          <w:color w:val="auto"/>
        </w:rPr>
        <w:t xml:space="preserve"> if such agreement (x) exists at the time the applicable Person becomes a Subsidiary of the Company, (y) is not entered into solely in contemplation of such Person’s becoming a Subsidiary of the Company and (z) does not extend to the assets of any Person other than the Person becoming a Subsidiary of the Company, (iv) any negative pledge or restriction on Liens in favor of any holder of Indebtedness permitted under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if the terms of such Indebtedness expressly permit Liens for the benefit of the Lenders with respect to the Obligations on a senior basis and do not require that such holders of such Indebtedness be secured by such Liens equally and ratably, (v) customary non-assignment provisions with respect to leases or licensing agreements entered into by any Borrower or any of its Subsidiaries, (vi) customary restrictions contained in an agreement related to the sale of property (to the extent such sale is permitted pursuant to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that limit the transfer of such property pending the consummation of such sale, (vii) customary provisions restricting assignment of any agreement entered into in the ordinary course of a business, (viii) customary provisions in joint venture agreements or other similar agreements applicable to joint ventures, (ix) customary restrictions contained in Indebtedness incurred pursuant to </w:t>
      </w:r>
      <w:r>
        <w:rPr>
          <w:rFonts w:ascii="Times New Roman" w:cs="Times New Roman" w:eastAsia="Times New Roman" w:hAnsi="Times New Roman"/>
          <w:sz w:val="21"/>
          <w:szCs w:val="21"/>
          <w:u w:val="single" w:color="auto"/>
          <w:color w:val="auto"/>
        </w:rPr>
        <w:t>Section 7.03(i)</w:t>
      </w:r>
      <w:r>
        <w:rPr>
          <w:rFonts w:ascii="Times New Roman" w:cs="Times New Roman" w:eastAsia="Times New Roman" w:hAnsi="Times New Roman"/>
          <w:sz w:val="21"/>
          <w:szCs w:val="21"/>
          <w:color w:val="auto"/>
        </w:rPr>
        <w:t xml:space="preserve"> (provided that such restrictions (A) are not, taken as a whole, materially more restrictive (as determined by the Company in good faith) than similar restrictions contained in this Agreement and (B) are applicable only to Foreign Subsidiaries), (x) applicable Law, or (xi) customary restrictions on cash or other deposits or net worth imposed by customers, suppliers or landlords or required by insurance, surety or bonding companies, in each case, under contracts entered into in the ordinary course of business.</w:t>
      </w:r>
    </w:p>
    <w:p>
      <w:pPr>
        <w:spacing w:after="0" w:line="18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7.10</w:t>
      </w:r>
      <w:r>
        <w:rPr>
          <w:sz w:val="20"/>
          <w:szCs w:val="20"/>
          <w:color w:val="auto"/>
        </w:rPr>
        <w:tab/>
      </w:r>
      <w:r>
        <w:rPr>
          <w:rFonts w:ascii="Times New Roman" w:cs="Times New Roman" w:eastAsia="Times New Roman" w:hAnsi="Times New Roman"/>
          <w:sz w:val="20"/>
          <w:szCs w:val="20"/>
          <w:b w:val="1"/>
          <w:bCs w:val="1"/>
          <w:color w:val="auto"/>
        </w:rPr>
        <w:t>Use of Proceeds.</w:t>
      </w:r>
    </w:p>
    <w:p>
      <w:pPr>
        <w:spacing w:after="0" w:line="228" w:lineRule="exact"/>
        <w:rPr>
          <w:sz w:val="20"/>
          <w:szCs w:val="20"/>
          <w:color w:val="auto"/>
        </w:rPr>
      </w:pPr>
    </w:p>
    <w:p>
      <w:pPr>
        <w:jc w:val="both"/>
        <w:ind w:firstLine="624"/>
        <w:spacing w:after="0" w:line="263" w:lineRule="auto"/>
        <w:tabs>
          <w:tab w:leader="none" w:pos="1022"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62" w:lineRule="exact"/>
        <w:rPr>
          <w:rFonts w:ascii="Times New Roman" w:cs="Times New Roman" w:eastAsia="Times New Roman" w:hAnsi="Times New Roman"/>
          <w:sz w:val="21"/>
          <w:szCs w:val="21"/>
          <w:color w:val="auto"/>
        </w:rPr>
      </w:pPr>
    </w:p>
    <w:p>
      <w:pPr>
        <w:jc w:val="both"/>
        <w:ind w:firstLine="624"/>
        <w:spacing w:after="0" w:line="251" w:lineRule="auto"/>
        <w:tabs>
          <w:tab w:leader="none" w:pos="1137"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to any Loan Party’s knowledge, indirectly,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to the extent in violation of applicable Sanctions, or in any other manner that will result in a violation by any individual or entity (including any individual or entity participating in the transaction, whether as Lender, Arranger, Administrative Agent, L/C Issuer, Swing Line Lender, or otherwise) of applicable Sanctions.</w:t>
      </w:r>
    </w:p>
    <w:p>
      <w:pPr>
        <w:spacing w:after="0" w:line="177" w:lineRule="exact"/>
        <w:rPr>
          <w:rFonts w:ascii="Times New Roman" w:cs="Times New Roman" w:eastAsia="Times New Roman" w:hAnsi="Times New Roman"/>
          <w:sz w:val="21"/>
          <w:szCs w:val="21"/>
          <w:color w:val="auto"/>
        </w:rPr>
      </w:pPr>
    </w:p>
    <w:p>
      <w:pPr>
        <w:ind w:firstLine="624"/>
        <w:spacing w:after="0" w:line="283" w:lineRule="auto"/>
        <w:tabs>
          <w:tab w:leader="none" w:pos="1022"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to any Loan Party’s knowledge, indirectly use the proceeds of any Credit Extension for any purpose which would breach any Anti-Corruption Law or any Anti-Money Laundering Law.</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94" w:name="page195"/>
    <w:bookmarkEnd w:id="194"/>
    <w:p>
      <w:pPr>
        <w:ind w:left="620"/>
        <w:spacing w:after="0"/>
        <w:tabs>
          <w:tab w:leader="none" w:pos="1120" w:val="left"/>
        </w:tabs>
        <w:rPr>
          <w:sz w:val="20"/>
          <w:szCs w:val="20"/>
          <w:color w:val="auto"/>
        </w:rPr>
      </w:pPr>
      <w:r>
        <w:rPr>
          <w:rFonts w:ascii="Times New Roman" w:cs="Times New Roman" w:eastAsia="Times New Roman" w:hAnsi="Times New Roman"/>
          <w:sz w:val="21"/>
          <w:szCs w:val="21"/>
          <w:b w:val="1"/>
          <w:bCs w:val="1"/>
          <w:color w:val="auto"/>
        </w:rPr>
        <w:t>7.11</w:t>
      </w:r>
      <w:r>
        <w:rPr>
          <w:sz w:val="20"/>
          <w:szCs w:val="20"/>
          <w:color w:val="auto"/>
        </w:rPr>
        <w:tab/>
      </w:r>
      <w:r>
        <w:rPr>
          <w:rFonts w:ascii="Times New Roman" w:cs="Times New Roman" w:eastAsia="Times New Roman" w:hAnsi="Times New Roman"/>
          <w:sz w:val="20"/>
          <w:szCs w:val="20"/>
          <w:b w:val="1"/>
          <w:bCs w:val="1"/>
          <w:color w:val="auto"/>
        </w:rPr>
        <w:t>Financial Covenants.</w:t>
      </w:r>
    </w:p>
    <w:p>
      <w:pPr>
        <w:spacing w:after="0" w:line="224" w:lineRule="exact"/>
        <w:rPr>
          <w:sz w:val="20"/>
          <w:szCs w:val="20"/>
          <w:color w:val="auto"/>
        </w:rPr>
      </w:pPr>
    </w:p>
    <w:p>
      <w:pPr>
        <w:ind w:firstLine="624"/>
        <w:spacing w:after="0" w:line="287" w:lineRule="auto"/>
        <w:tabs>
          <w:tab w:leader="none" w:pos="1047"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Consolidated Interest Coverage Ratio. </w:t>
      </w:r>
      <w:r>
        <w:rPr>
          <w:rFonts w:ascii="Times New Roman" w:cs="Times New Roman" w:eastAsia="Times New Roman" w:hAnsi="Times New Roman"/>
          <w:sz w:val="21"/>
          <w:szCs w:val="21"/>
          <w:color w:val="auto"/>
        </w:rPr>
        <w:t>Permit the Consolidated Interest Coverage Ratio as of the end of any fiscal quarter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Company to be less than 3.00 to 1.00.</w:t>
      </w:r>
    </w:p>
    <w:p>
      <w:pPr>
        <w:spacing w:after="0" w:line="133" w:lineRule="exact"/>
        <w:rPr>
          <w:rFonts w:ascii="Times New Roman" w:cs="Times New Roman" w:eastAsia="Times New Roman" w:hAnsi="Times New Roman"/>
          <w:sz w:val="21"/>
          <w:szCs w:val="21"/>
          <w:color w:val="auto"/>
        </w:rPr>
      </w:pPr>
    </w:p>
    <w:p>
      <w:pPr>
        <w:ind w:firstLine="624"/>
        <w:spacing w:after="0" w:line="287" w:lineRule="auto"/>
        <w:tabs>
          <w:tab w:leader="none" w:pos="1059"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Consolidated Leverage Ratio. </w:t>
      </w:r>
      <w:r>
        <w:rPr>
          <w:rFonts w:ascii="Times New Roman" w:cs="Times New Roman" w:eastAsia="Times New Roman" w:hAnsi="Times New Roman"/>
          <w:sz w:val="21"/>
          <w:szCs w:val="21"/>
          <w:color w:val="auto"/>
        </w:rPr>
        <w:t>Permit the Consolidated Leverage Ratio as of the end of any fiscal quarter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greater than 3.50 to 1.00.</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Notwithstanding the foregoing, if a Permitted Acquisition or series of Permitted Acquisitions with aggregate consideration of more than $100,000,000 occurs during a fiscal quarter ending on or after the Closing Date, the Company shall have the right to permit the Consolidated Leverage Ratio to exceed 3.50 to 1.00 during such fiscal quarter and the subsequent four fiscal quarters (such five fiscal quarters, an “</w:t>
      </w:r>
      <w:r>
        <w:rPr>
          <w:rFonts w:ascii="Times New Roman" w:cs="Times New Roman" w:eastAsia="Times New Roman" w:hAnsi="Times New Roman"/>
          <w:sz w:val="20"/>
          <w:szCs w:val="20"/>
          <w:u w:val="single" w:color="auto"/>
          <w:color w:val="auto"/>
        </w:rPr>
        <w:t>Elevated Ratio Period</w:t>
      </w:r>
      <w:r>
        <w:rPr>
          <w:rFonts w:ascii="Times New Roman" w:cs="Times New Roman" w:eastAsia="Times New Roman" w:hAnsi="Times New Roman"/>
          <w:sz w:val="20"/>
          <w:szCs w:val="20"/>
          <w:color w:val="auto"/>
        </w:rPr>
        <w:t>”) so long as (i) the Consolidated Leverage Ratio does not exceed 4.00 to 1.00 at any time during the Elevated Ratio Period, (ii) such right is not exercised more than two times during the term of this Agreement and (iii) there is at least one fiscal quarter between Elevated Ratio Periods during which the Consolidated Leverage Ratio is not in excess of 3.50 to 1.00 at any time.</w:t>
      </w:r>
    </w:p>
    <w:p>
      <w:pPr>
        <w:spacing w:after="0" w:line="158"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7.12</w:t>
      </w:r>
      <w:r>
        <w:rPr>
          <w:sz w:val="20"/>
          <w:szCs w:val="20"/>
          <w:color w:val="auto"/>
        </w:rPr>
        <w:tab/>
      </w:r>
      <w:r>
        <w:rPr>
          <w:rFonts w:ascii="Times New Roman" w:cs="Times New Roman" w:eastAsia="Times New Roman" w:hAnsi="Times New Roman"/>
          <w:sz w:val="20"/>
          <w:szCs w:val="20"/>
          <w:b w:val="1"/>
          <w:bCs w:val="1"/>
          <w:color w:val="auto"/>
        </w:rPr>
        <w:t>[Reserved.]</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7.13 Amendments of Organization Documents. </w:t>
      </w:r>
      <w:r>
        <w:rPr>
          <w:rFonts w:ascii="Times New Roman" w:cs="Times New Roman" w:eastAsia="Times New Roman" w:hAnsi="Times New Roman"/>
          <w:sz w:val="21"/>
          <w:szCs w:val="21"/>
          <w:color w:val="auto"/>
        </w:rPr>
        <w:t>Amend any of its Organization Documents, except for amendments that do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affect (a) the Company or such Restricted Subsidiary’s right and authority to enter into and perform its obligations under the Loan Documents to which it is a party, (b) the perfection of the Administrative Agent’s lien in any of the Collateral or (c) the authority and obligation of the Company or such Restricted Subsidiary to perform and pay the Obligations.</w:t>
      </w:r>
    </w:p>
    <w:p>
      <w:pPr>
        <w:spacing w:after="0" w:line="163"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7.14 Accounting Changes. </w:t>
      </w:r>
      <w:r>
        <w:rPr>
          <w:rFonts w:ascii="Times New Roman" w:cs="Times New Roman" w:eastAsia="Times New Roman" w:hAnsi="Times New Roman"/>
          <w:sz w:val="21"/>
          <w:szCs w:val="21"/>
          <w:color w:val="auto"/>
        </w:rPr>
        <w:t>Make any (a) significant change in accounting policies or reporting practices, except as required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 or GAAP, or (b) change in its fiscal year.</w:t>
      </w:r>
    </w:p>
    <w:p>
      <w:pPr>
        <w:spacing w:after="0" w:line="133"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7.15 Prepayments, Etc. of Indebtedness. </w:t>
      </w:r>
      <w:r>
        <w:rPr>
          <w:rFonts w:ascii="Times New Roman" w:cs="Times New Roman" w:eastAsia="Times New Roman" w:hAnsi="Times New Roman"/>
          <w:sz w:val="21"/>
          <w:szCs w:val="21"/>
          <w:color w:val="auto"/>
        </w:rPr>
        <w:t>Prepay, redeem, purchase, defease or otherwise satisfy prior to the scheduled maturity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thereof in any manner, or make any payment in violation of any subordination terms of, the Senior Notes Indebtedness or any Indebtedness incurred pursuant to </w:t>
      </w:r>
      <w:r>
        <w:rPr>
          <w:rFonts w:ascii="Times New Roman" w:cs="Times New Roman" w:eastAsia="Times New Roman" w:hAnsi="Times New Roman"/>
          <w:sz w:val="21"/>
          <w:szCs w:val="21"/>
          <w:u w:val="single" w:color="auto"/>
          <w:color w:val="auto"/>
        </w:rPr>
        <w:t>Section 7.03(j)</w:t>
      </w:r>
      <w:r>
        <w:rPr>
          <w:rFonts w:ascii="Times New Roman" w:cs="Times New Roman" w:eastAsia="Times New Roman" w:hAnsi="Times New Roman"/>
          <w:sz w:val="21"/>
          <w:szCs w:val="21"/>
          <w:color w:val="auto"/>
        </w:rPr>
        <w:t xml:space="preserve">, except (a) the prepayment, redemption or repurchase (not in violation of the subordination terms thereof) of any such Indebtedness, so long as after giving pro forma effect to such prepayment, redemption or repurchase, no Default shall exist or would result therefrom and the Available Liquidity will not be less than $50,000,000 and (b) any Permitted Refinancing of any Senior Notes Indebtedness or any Indebtedness incurred pursuant to </w:t>
      </w:r>
      <w:r>
        <w:rPr>
          <w:rFonts w:ascii="Times New Roman" w:cs="Times New Roman" w:eastAsia="Times New Roman" w:hAnsi="Times New Roman"/>
          <w:sz w:val="21"/>
          <w:szCs w:val="21"/>
          <w:u w:val="single" w:color="auto"/>
          <w:color w:val="auto"/>
        </w:rPr>
        <w:t>Section 7.03(j)</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7.16</w:t>
      </w:r>
      <w:r>
        <w:rPr>
          <w:sz w:val="20"/>
          <w:szCs w:val="20"/>
          <w:color w:val="auto"/>
        </w:rPr>
        <w:tab/>
      </w:r>
      <w:r>
        <w:rPr>
          <w:rFonts w:ascii="Times New Roman" w:cs="Times New Roman" w:eastAsia="Times New Roman" w:hAnsi="Times New Roman"/>
          <w:sz w:val="20"/>
          <w:szCs w:val="20"/>
          <w:b w:val="1"/>
          <w:bCs w:val="1"/>
          <w:color w:val="auto"/>
        </w:rPr>
        <w:t>Amendment, Etc. of Indebtedness.</w:t>
      </w:r>
    </w:p>
    <w:p>
      <w:pPr>
        <w:spacing w:after="0" w:line="228" w:lineRule="exact"/>
        <w:rPr>
          <w:sz w:val="20"/>
          <w:szCs w:val="20"/>
          <w:color w:val="auto"/>
        </w:rPr>
      </w:pPr>
    </w:p>
    <w:p>
      <w:pPr>
        <w:jc w:val="both"/>
        <w:ind w:firstLine="624"/>
        <w:spacing w:after="0" w:line="263" w:lineRule="auto"/>
        <w:tabs>
          <w:tab w:leader="none" w:pos="1073"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modify or change in any manner any term or condition of any Senior Notes Indebtedness or any Indebtedness set forth in </w:t>
      </w:r>
      <w:r>
        <w:rPr>
          <w:rFonts w:ascii="Times New Roman" w:cs="Times New Roman" w:eastAsia="Times New Roman" w:hAnsi="Times New Roman"/>
          <w:sz w:val="21"/>
          <w:szCs w:val="21"/>
          <w:u w:val="single" w:color="auto"/>
          <w:color w:val="auto"/>
        </w:rPr>
        <w:t>Schedule 7.03</w:t>
      </w:r>
      <w:r>
        <w:rPr>
          <w:rFonts w:ascii="Times New Roman" w:cs="Times New Roman" w:eastAsia="Times New Roman" w:hAnsi="Times New Roman"/>
          <w:sz w:val="21"/>
          <w:szCs w:val="21"/>
          <w:color w:val="auto"/>
        </w:rPr>
        <w:t>, except for an amendment, modification or change that complies with the requirements of the definition of Permitted Refinancing.</w:t>
      </w:r>
    </w:p>
    <w:p>
      <w:pPr>
        <w:spacing w:after="0" w:line="162" w:lineRule="exact"/>
        <w:rPr>
          <w:rFonts w:ascii="Times New Roman" w:cs="Times New Roman" w:eastAsia="Times New Roman" w:hAnsi="Times New Roman"/>
          <w:sz w:val="21"/>
          <w:szCs w:val="21"/>
          <w:color w:val="auto"/>
        </w:rPr>
      </w:pPr>
    </w:p>
    <w:p>
      <w:pPr>
        <w:jc w:val="both"/>
        <w:ind w:firstLine="624"/>
        <w:spacing w:after="0" w:line="263" w:lineRule="auto"/>
        <w:tabs>
          <w:tab w:leader="none" w:pos="1033"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or modify any of the terms of the Indemnity Agreement if such amendment or modification would add or change any terms in a manner adverse to the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7.16</w:t>
      </w:r>
      <w:r>
        <w:rPr>
          <w:rFonts w:ascii="Times New Roman" w:cs="Times New Roman" w:eastAsia="Times New Roman" w:hAnsi="Times New Roman"/>
          <w:sz w:val="21"/>
          <w:szCs w:val="21"/>
          <w:color w:val="auto"/>
        </w:rPr>
        <w:t xml:space="preserve"> shall not prohibit the issuance of Bonds (as defined in the Indemnity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1" w:right="239" w:bottom="1440" w:gutter="0" w:footer="0" w:header="0"/>
        </w:sectPr>
      </w:pPr>
    </w:p>
    <w:bookmarkStart w:id="195" w:name="page196"/>
    <w:bookmarkEnd w:id="195"/>
    <w:p>
      <w:pPr>
        <w:jc w:val="both"/>
        <w:spacing w:after="0" w:line="270" w:lineRule="auto"/>
        <w:rPr>
          <w:sz w:val="20"/>
          <w:szCs w:val="20"/>
          <w:color w:val="auto"/>
        </w:rPr>
      </w:pPr>
      <w:r>
        <w:rPr>
          <w:rFonts w:ascii="Times New Roman" w:cs="Times New Roman" w:eastAsia="Times New Roman" w:hAnsi="Times New Roman"/>
          <w:sz w:val="21"/>
          <w:szCs w:val="21"/>
          <w:color w:val="auto"/>
        </w:rPr>
        <w:t>the joinder of or other change in any parties to the Surety Credit Documents in accordance with their terms or any amendment or modifications which do not require the consent of any Loan Party or Subsidiary.</w:t>
      </w:r>
    </w:p>
    <w:p>
      <w:pPr>
        <w:spacing w:after="0" w:line="150"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7.17 Sale and Leaseback Transactions. </w:t>
      </w:r>
      <w:r>
        <w:rPr>
          <w:rFonts w:ascii="Times New Roman" w:cs="Times New Roman" w:eastAsia="Times New Roman" w:hAnsi="Times New Roman"/>
          <w:sz w:val="21"/>
          <w:szCs w:val="21"/>
          <w:color w:val="auto"/>
        </w:rPr>
        <w:t>Enter into any arrangement, directly or indirectly, whereby it shall sell or transfer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property, real or personal, used or useful in its business, whether now owned or hereinafter acquired, and thereafter rent or lease such property or other property that it intends to use for substantially the same purpose or purposes as the property sold or transferred (any such arrangement a “</w:t>
      </w:r>
      <w:r>
        <w:rPr>
          <w:rFonts w:ascii="Times New Roman" w:cs="Times New Roman" w:eastAsia="Times New Roman" w:hAnsi="Times New Roman"/>
          <w:sz w:val="21"/>
          <w:szCs w:val="21"/>
          <w:u w:val="single" w:color="auto"/>
          <w:color w:val="auto"/>
        </w:rPr>
        <w:t>Sale Leaseback Transaction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or any Restricted Subsidiary may enter into Sale Leaseback Transactions for equipment or real property so long as (i) no Default exists at the time of consummation of such Sale Leaseback Transaction and (ii) the aggregate fair market value of all equipment and real property sold by the Company and its Restricted Subsidiaries pursuant to a Sale Leaseback Transaction in any fiscal year does not exceed $10,000,000;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for the avoidance of doubt, this </w:t>
      </w:r>
      <w:r>
        <w:rPr>
          <w:rFonts w:ascii="Times New Roman" w:cs="Times New Roman" w:eastAsia="Times New Roman" w:hAnsi="Times New Roman"/>
          <w:sz w:val="21"/>
          <w:szCs w:val="21"/>
          <w:u w:val="single" w:color="auto"/>
          <w:color w:val="auto"/>
        </w:rPr>
        <w:t>Section 7.17</w:t>
      </w:r>
      <w:r>
        <w:rPr>
          <w:rFonts w:ascii="Times New Roman" w:cs="Times New Roman" w:eastAsia="Times New Roman" w:hAnsi="Times New Roman"/>
          <w:sz w:val="21"/>
          <w:szCs w:val="21"/>
          <w:color w:val="auto"/>
        </w:rPr>
        <w:t xml:space="preserve"> shall not prohibit Indebtedness in respect of capital leases that would otherwise be permitted to be incurred pursuant to </w:t>
      </w:r>
      <w:r>
        <w:rPr>
          <w:rFonts w:ascii="Times New Roman" w:cs="Times New Roman" w:eastAsia="Times New Roman" w:hAnsi="Times New Roman"/>
          <w:sz w:val="21"/>
          <w:szCs w:val="21"/>
          <w:u w:val="single" w:color="auto"/>
          <w:color w:val="auto"/>
        </w:rPr>
        <w:t>Section 7.03(g)</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7.18 Designation of Senior Debt. </w:t>
      </w:r>
      <w:r>
        <w:rPr>
          <w:rFonts w:ascii="Times New Roman" w:cs="Times New Roman" w:eastAsia="Times New Roman" w:hAnsi="Times New Roman"/>
          <w:sz w:val="21"/>
          <w:szCs w:val="21"/>
          <w:color w:val="auto"/>
        </w:rPr>
        <w:t>Designate any Indebtedness (other than the Indebtedness under the Loan Documents)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or any of its Restricted Subsidiaries as “Designated Senior Debt” (or any similar term) under, and as defined in, any documentation evidencing any other Indebtedness of the Company or any of its Restricted Subsidiaries in which such concept is applicable.</w:t>
      </w:r>
    </w:p>
    <w:p>
      <w:pPr>
        <w:spacing w:after="0" w:line="16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7.19 Holding Company. </w:t>
      </w:r>
      <w:r>
        <w:rPr>
          <w:rFonts w:ascii="Times New Roman" w:cs="Times New Roman" w:eastAsia="Times New Roman" w:hAnsi="Times New Roman"/>
          <w:sz w:val="20"/>
          <w:szCs w:val="20"/>
          <w:color w:val="auto"/>
        </w:rPr>
        <w:t>In the case of the Company, engage in any business or activity other than (a) the ownership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outstanding Equity Interests in its Subsidiaries, (b) maintaining its corporate existence, (c) participating in tax, accounting and other administrative activities as the parent of the consolidated group of companies, including the Loan Parties, (d) the execution and delivery of the Loan Documents to which it is a party and the performance of its obligations thereunder, (e) the incurrence of Liens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(f) the making of Investments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(g) the incurrence of Indebtedness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(h) businesses or activities of a type engaged in prior to the Closing Date and (i) businesses or activities incidental to the businesses or activities described in clauses (a) through (h) of this Section and within the scope of operations as of the Closing Date.</w:t>
      </w:r>
    </w:p>
    <w:p>
      <w:pPr>
        <w:spacing w:after="0" w:line="160"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7.20 Excluded Subsidiaries. </w:t>
      </w:r>
      <w:r>
        <w:rPr>
          <w:rFonts w:ascii="Times New Roman" w:cs="Times New Roman" w:eastAsia="Times New Roman" w:hAnsi="Times New Roman"/>
          <w:sz w:val="21"/>
          <w:szCs w:val="21"/>
          <w:color w:val="auto"/>
        </w:rPr>
        <w:t>In the case of Excluded Subsidiaries, engage in any business activity or own any assets, except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set forth on </w:t>
      </w:r>
      <w:r>
        <w:rPr>
          <w:rFonts w:ascii="Times New Roman" w:cs="Times New Roman" w:eastAsia="Times New Roman" w:hAnsi="Times New Roman"/>
          <w:sz w:val="21"/>
          <w:szCs w:val="21"/>
          <w:u w:val="single" w:color="auto"/>
          <w:color w:val="auto"/>
        </w:rPr>
        <w:t>Schedule 6.12(f)</w:t>
      </w:r>
      <w:r>
        <w:rPr>
          <w:rFonts w:ascii="Times New Roman" w:cs="Times New Roman" w:eastAsia="Times New Roman" w:hAnsi="Times New Roman"/>
          <w:sz w:val="21"/>
          <w:szCs w:val="21"/>
          <w:color w:val="auto"/>
        </w:rPr>
        <w:t>.</w:t>
      </w:r>
    </w:p>
    <w:p>
      <w:pPr>
        <w:spacing w:after="0" w:line="133"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7.21 Operations of US Holdco and Luxco. </w:t>
      </w:r>
      <w:r>
        <w:rPr>
          <w:rFonts w:ascii="Times New Roman" w:cs="Times New Roman" w:eastAsia="Times New Roman" w:hAnsi="Times New Roman"/>
          <w:sz w:val="21"/>
          <w:szCs w:val="21"/>
          <w:color w:val="auto"/>
        </w:rPr>
        <w:t>Permit US Holdco or Luxco to (i) own any material assets other than, in the case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 Holdco, the FFC Notes, one or more deposit accounts maintained in connection with the Foreign Finance Company Plan (and the assets held on deposit therein), the TPEC and 100% of the Equity Interests of Luxco and, in the case of Luxco, the FFC Notes, one or more deposit accounts maintained in connection with the Foreign Finance Company Plan (and the assets held on deposit therein) and the TPEC or (ii) engage in any business activity other than activities customary for special purpose vehicles engaging in transactions of the type contemplated by the Foreign Finance Company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EVENTS OF DEFAULT AND REMEDIES</w:t>
      </w:r>
    </w:p>
    <w:p>
      <w:pPr>
        <w:spacing w:after="0" w:line="22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8.01</w:t>
      </w:r>
      <w:r>
        <w:rPr>
          <w:sz w:val="20"/>
          <w:szCs w:val="20"/>
          <w:color w:val="auto"/>
        </w:rPr>
        <w:tab/>
      </w:r>
      <w:r>
        <w:rPr>
          <w:rFonts w:ascii="Times New Roman" w:cs="Times New Roman" w:eastAsia="Times New Roman" w:hAnsi="Times New Roman"/>
          <w:sz w:val="20"/>
          <w:szCs w:val="20"/>
          <w:b w:val="1"/>
          <w:bCs w:val="1"/>
          <w:color w:val="auto"/>
        </w:rPr>
        <w:t xml:space="preserve">Events of Default. </w:t>
      </w:r>
      <w:r>
        <w:rPr>
          <w:rFonts w:ascii="Times New Roman" w:cs="Times New Roman" w:eastAsia="Times New Roman" w:hAnsi="Times New Roman"/>
          <w:sz w:val="20"/>
          <w:szCs w:val="20"/>
          <w:color w:val="auto"/>
        </w:rPr>
        <w:t>Any of the following shall constitute an “Event of Default”:</w:t>
      </w:r>
    </w:p>
    <w:p>
      <w:pPr>
        <w:spacing w:after="0" w:line="228" w:lineRule="exact"/>
        <w:rPr>
          <w:sz w:val="20"/>
          <w:szCs w:val="20"/>
          <w:color w:val="auto"/>
        </w:rPr>
      </w:pPr>
    </w:p>
    <w:p>
      <w:pPr>
        <w:jc w:val="both"/>
        <w:ind w:firstLine="624"/>
        <w:spacing w:after="0" w:line="251" w:lineRule="auto"/>
        <w:tabs>
          <w:tab w:leader="none" w:pos="1099"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Non-Payment</w:t>
      </w:r>
      <w:r>
        <w:rPr>
          <w:rFonts w:ascii="Times New Roman" w:cs="Times New Roman" w:eastAsia="Times New Roman" w:hAnsi="Times New Roman"/>
          <w:sz w:val="21"/>
          <w:szCs w:val="21"/>
          <w:color w:val="auto"/>
        </w:rPr>
        <w:t xml:space="preserve">. Any Borrower or any other Loan Party fails to (i) pay when and as required to be paid herein, and in the currency required hereunder, any amount of principal of any Loan due on the final maturity date thereof or any L/C Obligation or deposit any funds as Cash Collateral in respect of L/C Obligations, (ii) pay within three Business Days after the same becomes due, any interest on any Loan or on any L/C Obligation, any fee due hereunder, or any amount of principal of any Term Loan due on the dates specified in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(other than the final maturity date thereof), or (iii) pay within five Business Days after the same becomes due, any other amount payable hereunder or under any other Loan Document; or</w:t>
      </w:r>
    </w:p>
    <w:p>
      <w:pPr>
        <w:spacing w:after="0" w:line="177" w:lineRule="exact"/>
        <w:rPr>
          <w:rFonts w:ascii="Times New Roman" w:cs="Times New Roman" w:eastAsia="Times New Roman" w:hAnsi="Times New Roman"/>
          <w:sz w:val="21"/>
          <w:szCs w:val="21"/>
          <w:color w:val="auto"/>
        </w:rPr>
      </w:pPr>
    </w:p>
    <w:p>
      <w:pPr>
        <w:ind w:firstLine="624"/>
        <w:spacing w:after="0" w:line="283" w:lineRule="auto"/>
        <w:tabs>
          <w:tab w:leader="none" w:pos="1137"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Covenants</w:t>
      </w:r>
      <w:r>
        <w:rPr>
          <w:rFonts w:ascii="Times New Roman" w:cs="Times New Roman" w:eastAsia="Times New Roman" w:hAnsi="Times New Roman"/>
          <w:sz w:val="21"/>
          <w:szCs w:val="21"/>
          <w:color w:val="auto"/>
        </w:rPr>
        <w:t xml:space="preserve">. (i) Any Borrower fails to perform or observe any term, covenant or agreement contained in any of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6.02(e)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6.03(b)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6.05</w:t>
      </w:r>
      <w:r>
        <w:rPr>
          <w:rFonts w:ascii="Times New Roman" w:cs="Times New Roman" w:eastAsia="Times New Roman" w:hAnsi="Times New Roman"/>
          <w:sz w:val="21"/>
          <w:szCs w:val="21"/>
          <w:color w:val="auto"/>
        </w:rPr>
        <w:t xml:space="preserve"> (in respect of any Loan Party), </w:t>
      </w:r>
      <w:r>
        <w:rPr>
          <w:rFonts w:ascii="Times New Roman" w:cs="Times New Roman" w:eastAsia="Times New Roman" w:hAnsi="Times New Roman"/>
          <w:sz w:val="21"/>
          <w:szCs w:val="21"/>
          <w:u w:val="single" w:color="auto"/>
          <w:color w:val="auto"/>
        </w:rPr>
        <w:t>6.10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6.16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or</w:t>
      </w:r>
    </w:p>
    <w:p>
      <w:pPr>
        <w:spacing w:after="0" w:line="141" w:lineRule="exact"/>
        <w:rPr>
          <w:rFonts w:ascii="Times New Roman" w:cs="Times New Roman" w:eastAsia="Times New Roman" w:hAnsi="Times New Roman"/>
          <w:sz w:val="21"/>
          <w:szCs w:val="21"/>
          <w:color w:val="auto"/>
        </w:rPr>
      </w:pPr>
    </w:p>
    <w:p>
      <w:pPr>
        <w:jc w:val="both"/>
        <w:ind w:firstLine="624"/>
        <w:spacing w:after="0" w:line="257" w:lineRule="auto"/>
        <w:tabs>
          <w:tab w:leader="none" w:pos="1035"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Defaults</w:t>
      </w:r>
      <w:r>
        <w:rPr>
          <w:rFonts w:ascii="Times New Roman" w:cs="Times New Roman" w:eastAsia="Times New Roman" w:hAnsi="Times New Roman"/>
          <w:sz w:val="21"/>
          <w:szCs w:val="21"/>
          <w:color w:val="auto"/>
        </w:rPr>
        <w:t>. Any Loan Party fails to perform or observe any other covenant or agreement (not specified in subsection (a) or (b) above) contained in any Loan Document on its part to be performed or observed and such failure continues for 30 days following the earlier to occur of (i) the date a Responsible Officer obtains knowledge of such failure and (ii) the date that a Responsible Officer receives notice from the Administrative Agent of such failure; or</w:t>
      </w:r>
    </w:p>
    <w:p>
      <w:pPr>
        <w:spacing w:after="0" w:line="167" w:lineRule="exact"/>
        <w:rPr>
          <w:rFonts w:ascii="Times New Roman" w:cs="Times New Roman" w:eastAsia="Times New Roman" w:hAnsi="Times New Roman"/>
          <w:sz w:val="21"/>
          <w:szCs w:val="21"/>
          <w:color w:val="auto"/>
        </w:rPr>
      </w:pPr>
    </w:p>
    <w:p>
      <w:pPr>
        <w:jc w:val="both"/>
        <w:ind w:firstLine="624"/>
        <w:spacing w:after="0" w:line="263" w:lineRule="auto"/>
        <w:tabs>
          <w:tab w:leader="none" w:pos="1046"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spacing w:after="0" w:line="162" w:lineRule="exact"/>
        <w:rPr>
          <w:rFonts w:ascii="Times New Roman" w:cs="Times New Roman" w:eastAsia="Times New Roman" w:hAnsi="Times New Roman"/>
          <w:sz w:val="21"/>
          <w:szCs w:val="21"/>
          <w:color w:val="auto"/>
        </w:rPr>
      </w:pPr>
    </w:p>
    <w:p>
      <w:pPr>
        <w:jc w:val="both"/>
        <w:ind w:firstLine="624"/>
        <w:spacing w:after="0" w:line="247" w:lineRule="auto"/>
        <w:tabs>
          <w:tab w:leader="none" w:pos="1177"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Cross-Default</w:t>
      </w:r>
      <w:r>
        <w:rPr>
          <w:rFonts w:ascii="Times New Roman" w:cs="Times New Roman" w:eastAsia="Times New Roman" w:hAnsi="Times New Roman"/>
          <w:sz w:val="21"/>
          <w:szCs w:val="21"/>
          <w:color w:val="auto"/>
        </w:rPr>
        <w:t>. (i) The Company or any Restricted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penal sums under any surety bond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847" w:right="239" w:bottom="1440" w:gutter="0" w:footer="0" w:header="0"/>
        </w:sectPr>
      </w:pPr>
    </w:p>
    <w:bookmarkStart w:id="197" w:name="page198"/>
    <w:bookmarkEnd w:id="197"/>
    <w:p>
      <w:pPr>
        <w:jc w:val="both"/>
        <w:spacing w:after="0" w:line="252" w:lineRule="auto"/>
        <w:rPr>
          <w:sz w:val="20"/>
          <w:szCs w:val="20"/>
          <w:color w:val="auto"/>
        </w:rPr>
      </w:pPr>
      <w:r>
        <w:rPr>
          <w:rFonts w:ascii="Times New Roman" w:cs="Times New Roman" w:eastAsia="Times New Roman" w:hAnsi="Times New Roman"/>
          <w:sz w:val="21"/>
          <w:szCs w:val="21"/>
          <w:color w:val="auto"/>
        </w:rPr>
        <w:t>or any Restricted Subsidiary is the Defaulting Party (as defined in such Swap Contract) or (B) any Termination Event (as so defined) under such Swap Contract as to which the Company or any Restricted Subsidiary is an Affected Party (as so defined) and, in either event, the Swap Termination Value owed by the Company or such Restricted Subsidiary as a result thereof is greater than the Threshold Amount; or</w:t>
      </w:r>
    </w:p>
    <w:p>
      <w:pPr>
        <w:spacing w:after="0" w:line="174" w:lineRule="exact"/>
        <w:rPr>
          <w:sz w:val="20"/>
          <w:szCs w:val="20"/>
          <w:color w:val="auto"/>
        </w:rPr>
      </w:pPr>
    </w:p>
    <w:p>
      <w:pPr>
        <w:jc w:val="both"/>
        <w:ind w:firstLine="624"/>
        <w:spacing w:after="0" w:line="250" w:lineRule="auto"/>
        <w:tabs>
          <w:tab w:leader="none" w:pos="1115"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Insolvency Proceedings, Etc.</w:t>
      </w:r>
      <w:r>
        <w:rPr>
          <w:rFonts w:ascii="Times New Roman" w:cs="Times New Roman" w:eastAsia="Times New Roman" w:hAnsi="Times New Roman"/>
          <w:sz w:val="21"/>
          <w:szCs w:val="21"/>
          <w:color w:val="auto"/>
        </w:rPr>
        <w:t xml:space="preserve"> The Company or any Restricted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77" w:lineRule="exact"/>
        <w:rPr>
          <w:rFonts w:ascii="Times New Roman" w:cs="Times New Roman" w:eastAsia="Times New Roman" w:hAnsi="Times New Roman"/>
          <w:sz w:val="21"/>
          <w:szCs w:val="21"/>
          <w:color w:val="auto"/>
        </w:rPr>
      </w:pPr>
    </w:p>
    <w:p>
      <w:pPr>
        <w:jc w:val="both"/>
        <w:ind w:firstLine="624"/>
        <w:spacing w:after="0" w:line="257" w:lineRule="auto"/>
        <w:tabs>
          <w:tab w:leader="none" w:pos="1072"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Inability to Pay Debts; Attachment</w:t>
      </w:r>
      <w:r>
        <w:rPr>
          <w:rFonts w:ascii="Times New Roman" w:cs="Times New Roman" w:eastAsia="Times New Roman" w:hAnsi="Times New Roman"/>
          <w:sz w:val="21"/>
          <w:szCs w:val="21"/>
          <w:color w:val="auto"/>
        </w:rPr>
        <w:t>. (i) The Company or any Restricted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67" w:lineRule="exact"/>
        <w:rPr>
          <w:rFonts w:ascii="Times New Roman" w:cs="Times New Roman" w:eastAsia="Times New Roman" w:hAnsi="Times New Roman"/>
          <w:sz w:val="21"/>
          <w:szCs w:val="21"/>
          <w:color w:val="auto"/>
        </w:rPr>
      </w:pPr>
    </w:p>
    <w:p>
      <w:pPr>
        <w:jc w:val="both"/>
        <w:ind w:firstLine="624"/>
        <w:spacing w:after="0" w:line="250" w:lineRule="auto"/>
        <w:tabs>
          <w:tab w:leader="none" w:pos="1046"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Judgments</w:t>
      </w:r>
      <w:r>
        <w:rPr>
          <w:rFonts w:ascii="Times New Roman" w:cs="Times New Roman" w:eastAsia="Times New Roman" w:hAnsi="Times New Roman"/>
          <w:sz w:val="21"/>
          <w:szCs w:val="21"/>
          <w:color w:val="auto"/>
        </w:rPr>
        <w:t xml:space="preserve">. There is entered against the Company or any Restricted Subsidiary (i) one or more final judgments or orders for the payment of money in an aggregate amount (as to all such judgments and orders) exceeding the Threshold Amount (to the extent not covered by independent third-party insurance as to which the insurer meets the requirements set forth in </w:t>
      </w:r>
      <w:r>
        <w:rPr>
          <w:rFonts w:ascii="Times New Roman" w:cs="Times New Roman" w:eastAsia="Times New Roman" w:hAnsi="Times New Roman"/>
          <w:sz w:val="21"/>
          <w:szCs w:val="21"/>
          <w:u w:val="single" w:color="auto"/>
          <w:color w:val="auto"/>
        </w:rPr>
        <w:t>Section 6.07</w:t>
      </w:r>
      <w:r>
        <w:rPr>
          <w:rFonts w:ascii="Times New Roman" w:cs="Times New Roman" w:eastAsia="Times New Roman" w:hAnsi="Times New Roman"/>
          <w:sz w:val="21"/>
          <w:szCs w:val="21"/>
          <w:color w:val="auto"/>
        </w:rPr>
        <w:t>,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77" w:lineRule="exact"/>
        <w:rPr>
          <w:rFonts w:ascii="Times New Roman" w:cs="Times New Roman" w:eastAsia="Times New Roman" w:hAnsi="Times New Roman"/>
          <w:sz w:val="21"/>
          <w:szCs w:val="21"/>
          <w:color w:val="auto"/>
        </w:rPr>
      </w:pPr>
    </w:p>
    <w:p>
      <w:pPr>
        <w:jc w:val="both"/>
        <w:ind w:firstLine="624"/>
        <w:spacing w:after="0" w:line="251" w:lineRule="auto"/>
        <w:tabs>
          <w:tab w:leader="none" w:pos="1091"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(i) An ERISA Event occurs with respect to a Pension Plan or Multiemployer Plan which has resulted or could reasonably be expected to result in liability of the Company or any Restricted Subsidiary under Title IV of ERISA to the Pension Plan, Multiemployer Plan or the PBGC in an aggregate amount during any period of twelve consecutive months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77" w:lineRule="exact"/>
        <w:rPr>
          <w:rFonts w:ascii="Times New Roman" w:cs="Times New Roman" w:eastAsia="Times New Roman" w:hAnsi="Times New Roman"/>
          <w:sz w:val="21"/>
          <w:szCs w:val="21"/>
          <w:color w:val="auto"/>
        </w:rPr>
      </w:pPr>
    </w:p>
    <w:p>
      <w:pPr>
        <w:jc w:val="both"/>
        <w:ind w:firstLine="624"/>
        <w:spacing w:after="0" w:line="263" w:lineRule="auto"/>
        <w:tabs>
          <w:tab w:leader="none" w:pos="1039"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Invalidity of Loan Documents</w:t>
      </w:r>
      <w:r>
        <w:rPr>
          <w:rFonts w:ascii="Times New Roman" w:cs="Times New Roman" w:eastAsia="Times New Roman" w:hAnsi="Times New Roman"/>
          <w:sz w:val="21"/>
          <w:szCs w:val="21"/>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98" w:name="page199"/>
    <w:bookmarkEnd w:id="198"/>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of any Loan Document; or any Loan Party or US Holdco denies that it has any or further liability or obligation under any Loan Document, or purports to revoke, terminate or rescind any Loan Document; or any Collateral Document after delivery thereof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6.12</w:t>
      </w:r>
      <w:r>
        <w:rPr>
          <w:rFonts w:ascii="Times New Roman" w:cs="Times New Roman" w:eastAsia="Times New Roman" w:hAnsi="Times New Roman"/>
          <w:sz w:val="21"/>
          <w:szCs w:val="21"/>
          <w:color w:val="auto"/>
        </w:rPr>
        <w:t xml:space="preserve"> shall for any reason (other than pursuant to the terms thereof) cease to create a valid and perfected first priority Lien (subject to Liens permitted by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on the Collateral purported to be covered thereby; or</w:t>
      </w:r>
    </w:p>
    <w:p>
      <w:pPr>
        <w:spacing w:after="0" w:line="174" w:lineRule="exact"/>
        <w:rPr>
          <w:sz w:val="20"/>
          <w:szCs w:val="20"/>
          <w:color w:val="auto"/>
        </w:rPr>
      </w:pPr>
    </w:p>
    <w:p>
      <w:pPr>
        <w:ind w:left="1040" w:hanging="416"/>
        <w:spacing w:after="0"/>
        <w:tabs>
          <w:tab w:leader="none" w:pos="1040"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There occurs any Change of Control; or</w:t>
      </w:r>
    </w:p>
    <w:p>
      <w:pPr>
        <w:spacing w:after="0" w:line="223" w:lineRule="exact"/>
        <w:rPr>
          <w:rFonts w:ascii="Times New Roman" w:cs="Times New Roman" w:eastAsia="Times New Roman" w:hAnsi="Times New Roman"/>
          <w:sz w:val="21"/>
          <w:szCs w:val="21"/>
          <w:color w:val="auto"/>
        </w:rPr>
      </w:pPr>
    </w:p>
    <w:p>
      <w:pPr>
        <w:ind w:firstLine="624"/>
        <w:spacing w:after="0" w:line="283" w:lineRule="auto"/>
        <w:tabs>
          <w:tab w:leader="none" w:pos="1013"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 under Indemnity Agreement</w:t>
      </w:r>
      <w:r>
        <w:rPr>
          <w:rFonts w:ascii="Times New Roman" w:cs="Times New Roman" w:eastAsia="Times New Roman" w:hAnsi="Times New Roman"/>
          <w:sz w:val="21"/>
          <w:szCs w:val="21"/>
          <w:color w:val="auto"/>
        </w:rPr>
        <w:t>. There shall occur a Default under, and as defined in, the Indemnity Agreement and the Company (as defined in the Indemnity Agreement) shall have exercised any remedies in respect thereof; or</w:t>
      </w:r>
    </w:p>
    <w:p>
      <w:pPr>
        <w:spacing w:after="0" w:line="141" w:lineRule="exact"/>
        <w:rPr>
          <w:rFonts w:ascii="Times New Roman" w:cs="Times New Roman" w:eastAsia="Times New Roman" w:hAnsi="Times New Roman"/>
          <w:sz w:val="21"/>
          <w:szCs w:val="21"/>
          <w:color w:val="auto"/>
        </w:rPr>
      </w:pPr>
    </w:p>
    <w:p>
      <w:pPr>
        <w:ind w:firstLine="624"/>
        <w:spacing w:after="0" w:line="283" w:lineRule="auto"/>
        <w:tabs>
          <w:tab w:leader="none" w:pos="1181"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Invalidity of Intercreditor Agreement</w:t>
      </w:r>
      <w:r>
        <w:rPr>
          <w:rFonts w:ascii="Times New Roman" w:cs="Times New Roman" w:eastAsia="Times New Roman" w:hAnsi="Times New Roman"/>
          <w:sz w:val="21"/>
          <w:szCs w:val="21"/>
          <w:color w:val="auto"/>
        </w:rPr>
        <w:t>. Any material provision of any Intercreditor Agreement shall, in whole or in part, terminate, cease to be effective or cease to be legally valid, binding and enforceable against the Surety party thereto.</w:t>
      </w:r>
    </w:p>
    <w:p>
      <w:pPr>
        <w:spacing w:after="0" w:line="137" w:lineRule="exact"/>
        <w:rPr>
          <w:sz w:val="20"/>
          <w:szCs w:val="20"/>
          <w:color w:val="auto"/>
        </w:rPr>
      </w:pPr>
    </w:p>
    <w:p>
      <w:pPr>
        <w:ind w:firstLine="620"/>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8.02 Remedies Upon Event of Default. </w:t>
      </w:r>
      <w:r>
        <w:rPr>
          <w:rFonts w:ascii="Times New Roman" w:cs="Times New Roman" w:eastAsia="Times New Roman" w:hAnsi="Times New Roman"/>
          <w:sz w:val="21"/>
          <w:szCs w:val="21"/>
          <w:color w:val="auto"/>
        </w:rPr>
        <w:t>If any Event of Default occurs and is continuing, the Administrative Agent shall, 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request of, or may, with the consent of, the Required Lenders, take any or all of the following actions:</w:t>
      </w:r>
    </w:p>
    <w:p>
      <w:pPr>
        <w:spacing w:after="0" w:line="137" w:lineRule="exact"/>
        <w:rPr>
          <w:sz w:val="20"/>
          <w:szCs w:val="20"/>
          <w:color w:val="auto"/>
        </w:rPr>
      </w:pPr>
    </w:p>
    <w:p>
      <w:pPr>
        <w:ind w:firstLine="624"/>
        <w:spacing w:after="0" w:line="283" w:lineRule="auto"/>
        <w:tabs>
          <w:tab w:leader="none" w:pos="1047"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the commitment of each Lender to make Loans and any obligation of the L/C Issuer to make L/C Credit Extensions to be terminated, whereupon such commitments and obligation shall be terminated;</w:t>
      </w:r>
    </w:p>
    <w:p>
      <w:pPr>
        <w:spacing w:after="0" w:line="141" w:lineRule="exact"/>
        <w:rPr>
          <w:rFonts w:ascii="Times New Roman" w:cs="Times New Roman" w:eastAsia="Times New Roman" w:hAnsi="Times New Roman"/>
          <w:sz w:val="21"/>
          <w:szCs w:val="21"/>
          <w:color w:val="auto"/>
        </w:rPr>
      </w:pPr>
    </w:p>
    <w:p>
      <w:pPr>
        <w:jc w:val="both"/>
        <w:ind w:firstLine="624"/>
        <w:spacing w:after="0" w:line="263" w:lineRule="auto"/>
        <w:tabs>
          <w:tab w:leader="none" w:pos="1059"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62" w:lineRule="exact"/>
        <w:rPr>
          <w:rFonts w:ascii="Times New Roman" w:cs="Times New Roman" w:eastAsia="Times New Roman" w:hAnsi="Times New Roman"/>
          <w:sz w:val="21"/>
          <w:szCs w:val="21"/>
          <w:color w:val="auto"/>
        </w:rPr>
      </w:pPr>
    </w:p>
    <w:p>
      <w:pPr>
        <w:ind w:left="1140" w:hanging="516"/>
        <w:spacing w:after="0"/>
        <w:tabs>
          <w:tab w:leader="none" w:pos="114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that the Company Cash Collateralize the L/C Obligations (in an amount equal to the then Outstanding Amount</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thereof); and</w:t>
      </w:r>
    </w:p>
    <w:p>
      <w:pPr>
        <w:spacing w:after="0" w:line="200" w:lineRule="exact"/>
        <w:rPr>
          <w:rFonts w:ascii="Times New Roman" w:cs="Times New Roman" w:eastAsia="Times New Roman" w:hAnsi="Times New Roman"/>
          <w:sz w:val="21"/>
          <w:szCs w:val="21"/>
          <w:color w:val="auto"/>
        </w:rPr>
      </w:pPr>
    </w:p>
    <w:p>
      <w:pPr>
        <w:ind w:firstLine="624"/>
        <w:spacing w:after="0" w:line="283" w:lineRule="auto"/>
        <w:tabs>
          <w:tab w:leader="none" w:pos="1085"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on behalf of itself, the Lenders and the L/C Issuer all rights and remedies available to it, the Lenders and the L/C Issuer under the Loan Documents;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15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8.03 Application of Funds. </w:t>
      </w:r>
      <w:r>
        <w:rPr>
          <w:rFonts w:ascii="Times New Roman" w:cs="Times New Roman" w:eastAsia="Times New Roman" w:hAnsi="Times New Roman"/>
          <w:sz w:val="21"/>
          <w:szCs w:val="21"/>
          <w:color w:val="auto"/>
        </w:rPr>
        <w:t>After the exercise of remedies provided for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after the Loans have automatically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become immediately due and payable and the L/C Obligations have automatically been required to be Cash Collateralized as set forth in the proviso to </w:t>
      </w:r>
      <w:r>
        <w:rPr>
          <w:rFonts w:ascii="Times New Roman" w:cs="Times New Roman" w:eastAsia="Times New Roman" w:hAnsi="Times New Roman"/>
          <w:sz w:val="21"/>
          <w:szCs w:val="21"/>
          <w:u w:val="single" w:color="auto"/>
          <w:color w:val="auto"/>
        </w:rPr>
        <w:t>Section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1"/>
          <w:szCs w:val="21"/>
          <w:u w:val="single" w:color="auto"/>
          <w:color w:val="auto"/>
        </w:rPr>
        <w:t>8.02</w:t>
      </w:r>
      <w:r>
        <w:rPr>
          <w:rFonts w:ascii="Times New Roman" w:cs="Times New Roman" w:eastAsia="Times New Roman" w:hAnsi="Times New Roman"/>
          <w:sz w:val="21"/>
          <w:szCs w:val="21"/>
          <w:color w:val="auto"/>
        </w:rPr>
        <w:t xml:space="preserve">), any amounts received on account of the Obligations shall, subject to the provisions of </w:t>
      </w:r>
      <w:r>
        <w:rPr>
          <w:rFonts w:ascii="Times New Roman" w:cs="Times New Roman" w:eastAsia="Times New Roman" w:hAnsi="Times New Roman"/>
          <w:sz w:val="21"/>
          <w:szCs w:val="21"/>
          <w:u w:val="single" w:color="auto"/>
          <w:color w:val="auto"/>
        </w:rPr>
        <w:t>Sections 2.16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2.17</w:t>
      </w:r>
      <w:r>
        <w:rPr>
          <w:rFonts w:ascii="Times New Roman" w:cs="Times New Roman" w:eastAsia="Times New Roman" w:hAnsi="Times New Roman"/>
          <w:sz w:val="21"/>
          <w:szCs w:val="21"/>
          <w:color w:val="auto"/>
        </w:rPr>
        <w:t>, be applied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Administrative Agent in the following order:</w:t>
      </w:r>
    </w:p>
    <w:p>
      <w:pPr>
        <w:spacing w:after="0" w:line="189"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payable to the Administrative Agent in its capacity as such;</w:t>
      </w:r>
    </w:p>
    <w:p>
      <w:pPr>
        <w:spacing w:after="0" w:line="167"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to payment of that portion of the Obligations constituting fees, indemnities and other amounts (other than principal, interest, Letter of Credit Fees and BA Fees) payable to the Lenders and the L/C Issuer (including fees, charges and disbursements of counsel to the respective Lenders and the L/C Issuer arising under the Loan Documents and amounts payable under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ratably among them in proportion to the respective amounts described in this clause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payable to them;</w:t>
      </w:r>
    </w:p>
    <w:p>
      <w:pPr>
        <w:spacing w:after="0" w:line="17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to payment of that portion of the Obligations constituting accrued and unpaid Letter of Credit Fees and BA Fees and interest on the Loans, L/C Borrowings and other Obligations arising under the Loan Documents, ratably among the Lenders and the L/C Issuer in proportion to the respective amounts described in this clause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payable to them;</w:t>
      </w:r>
    </w:p>
    <w:p>
      <w:pPr>
        <w:spacing w:after="0" w:line="167"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to payment of that portion of the Obligations constituting unpaid principal of the Loans, L/C Borrowings, Obligations then owing under Secured Hedge Agreements and Secured Cash Management Agreements and Obligations in the nature of drawn and unreimbursed amounts under Secured Permitted Standalone Letters of Credit, ratably among the Lenders, the L/C Issuer, the Hedge Banks, the Cash Management Banks and the PSLOC Banks in proportion to the respective amounts described in this clause </w:t>
      </w: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held by them;</w:t>
      </w:r>
    </w:p>
    <w:p>
      <w:pPr>
        <w:spacing w:after="0" w:line="176"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the Administrative Agent for the account of the L/C Issuer and to the PSLOC Banks, to Cash Collateralize that portion of L/C Obligations and outstanding Secured Permitted Standalone Letters of Credit comprised of the aggregate undrawn amount of Letters of Credit, Bankers’ Acceptances and Secured Permitted Standalone Letters of Credit to the extent not otherwise Cash Collateralized by the Company pursuant to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the terms of such Secured Permitted Standalone Letters of Credit, ratably among the L/C Issuers and the PSLOC Banks in proportion to the respective amounts described in this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held by them; and</w:t>
      </w:r>
    </w:p>
    <w:p>
      <w:pPr>
        <w:spacing w:after="0" w:line="16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u w:val="single" w:color="auto"/>
          <w:color w:val="auto"/>
        </w:rPr>
        <w:t>Last</w:t>
      </w:r>
      <w:r>
        <w:rPr>
          <w:rFonts w:ascii="Times New Roman" w:cs="Times New Roman" w:eastAsia="Times New Roman" w:hAnsi="Times New Roman"/>
          <w:sz w:val="21"/>
          <w:szCs w:val="21"/>
          <w:color w:val="auto"/>
        </w:rPr>
        <w:t>, the balance, if any, after all of the Obligations have been indefeasibly paid in full, to the Company or as otherwise required by Law.</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2.03(d)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amounts used to Cash Collateralize the aggregate undrawn amount of Letters of Credit or Bankers’ Acceptances pursuant to clause </w:t>
      </w: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xml:space="preserve"> above shall be applied to satisfy drawings under such Letters of Credit or Bankers’ Acceptances as they occur. If any amount remains on deposit as Cash Collateral after all Letters of Credit and Bankers’ Acceptances have either been fully drawn or expired, such remaining amount shall be applied to the other Obligations, if any, in the order set forth above.</w:t>
      </w:r>
    </w:p>
    <w:p>
      <w:pPr>
        <w:spacing w:after="0" w:line="1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Notwithstanding the foregoing, Obligations arising under Secured Cash Management Agreements, Secured Hedge Agreements and Secured Permitted Standalone Letters of Credit shall be excluded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00" w:name="page201"/>
    <w:bookmarkEnd w:id="200"/>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from the application described above if the Administrative Agent has not received written notice thereof, together with such supporting documentation as the Administrative Agent may request, from the applicable Cash Management Bank, Hedge Bank or PSLOC Bank, as the case may be. Each Cash Management Bank, Hedge Bank or PSLOC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for itself and its Affiliates as if a “Lender” party hereto.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ADMINISTRATIVE AGENT</w:t>
      </w:r>
    </w:p>
    <w:p>
      <w:pPr>
        <w:spacing w:after="0" w:line="22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9.01</w:t>
      </w:r>
      <w:r>
        <w:rPr>
          <w:sz w:val="20"/>
          <w:szCs w:val="20"/>
          <w:color w:val="auto"/>
        </w:rPr>
        <w:tab/>
      </w:r>
      <w:r>
        <w:rPr>
          <w:rFonts w:ascii="Times New Roman" w:cs="Times New Roman" w:eastAsia="Times New Roman" w:hAnsi="Times New Roman"/>
          <w:sz w:val="20"/>
          <w:szCs w:val="20"/>
          <w:b w:val="1"/>
          <w:bCs w:val="1"/>
          <w:color w:val="auto"/>
        </w:rPr>
        <w:t>Appointment and Authority.</w:t>
      </w:r>
    </w:p>
    <w:p>
      <w:pPr>
        <w:spacing w:after="0" w:line="228" w:lineRule="exact"/>
        <w:rPr>
          <w:sz w:val="20"/>
          <w:szCs w:val="20"/>
          <w:color w:val="auto"/>
        </w:rPr>
      </w:pPr>
    </w:p>
    <w:p>
      <w:pPr>
        <w:jc w:val="both"/>
        <w:ind w:firstLine="624"/>
        <w:spacing w:after="0" w:line="248" w:lineRule="auto"/>
        <w:tabs>
          <w:tab w:leader="none" w:pos="1215"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Borrower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3" w:lineRule="exact"/>
        <w:rPr>
          <w:rFonts w:ascii="Times New Roman" w:cs="Times New Roman" w:eastAsia="Times New Roman" w:hAnsi="Times New Roman"/>
          <w:sz w:val="21"/>
          <w:szCs w:val="21"/>
          <w:color w:val="auto"/>
        </w:rPr>
      </w:pPr>
    </w:p>
    <w:p>
      <w:pPr>
        <w:jc w:val="both"/>
        <w:ind w:firstLine="624"/>
        <w:spacing w:after="0" w:line="248" w:lineRule="auto"/>
        <w:tabs>
          <w:tab w:leader="none" w:pos="1150"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also act as the “</w:t>
      </w:r>
      <w:r>
        <w:rPr>
          <w:rFonts w:ascii="Times New Roman" w:cs="Times New Roman" w:eastAsia="Times New Roman" w:hAnsi="Times New Roman"/>
          <w:sz w:val="21"/>
          <w:szCs w:val="21"/>
          <w:u w:val="single" w:color="auto"/>
          <w:color w:val="auto"/>
        </w:rPr>
        <w:t>collateral agent</w:t>
      </w:r>
      <w:r>
        <w:rPr>
          <w:rFonts w:ascii="Times New Roman" w:cs="Times New Roman" w:eastAsia="Times New Roman" w:hAnsi="Times New Roman"/>
          <w:sz w:val="21"/>
          <w:szCs w:val="21"/>
          <w:color w:val="auto"/>
        </w:rPr>
        <w:t xml:space="preserve">” under the Loan Documents, and each of the Lenders (including in its capacities as a potential Hedge Bank, a potential Cash Management Bank and a potential PSLOC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1"/>
          <w:szCs w:val="21"/>
          <w:u w:val="single" w:color="auto"/>
          <w:color w:val="auto"/>
        </w:rPr>
        <w:t>Section 9.05</w:t>
      </w:r>
      <w:r>
        <w:rPr>
          <w:rFonts w:ascii="Times New Roman" w:cs="Times New Roman" w:eastAsia="Times New Roman" w:hAnsi="Times New Roman"/>
          <w:sz w:val="21"/>
          <w:szCs w:val="21"/>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(including </w:t>
      </w:r>
      <w:r>
        <w:rPr>
          <w:rFonts w:ascii="Times New Roman" w:cs="Times New Roman" w:eastAsia="Times New Roman" w:hAnsi="Times New Roman"/>
          <w:sz w:val="21"/>
          <w:szCs w:val="21"/>
          <w:u w:val="single" w:color="auto"/>
          <w:color w:val="auto"/>
        </w:rPr>
        <w:t>Section 10.04(c)</w:t>
      </w:r>
      <w:r>
        <w:rPr>
          <w:rFonts w:ascii="Times New Roman" w:cs="Times New Roman" w:eastAsia="Times New Roman" w:hAnsi="Times New Roman"/>
          <w:sz w:val="21"/>
          <w:szCs w:val="21"/>
          <w:color w:val="auto"/>
        </w:rPr>
        <w:t>, as though such co-agents, sub-agents and attorneys-in-fact were the “collateral agent” under the Loan Documents) as if set forth in full herein with respect thereto.</w:t>
      </w:r>
    </w:p>
    <w:p>
      <w:pPr>
        <w:spacing w:after="0" w:line="175"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9.02 Rights as a Lender. </w:t>
      </w:r>
      <w:r>
        <w:rPr>
          <w:rFonts w:ascii="Times New Roman" w:cs="Times New Roman" w:eastAsia="Times New Roman" w:hAnsi="Times New Roman"/>
          <w:sz w:val="21"/>
          <w:szCs w:val="21"/>
          <w:color w:val="auto"/>
        </w:rPr>
        <w:t>The Person serving as the Administrative Agent hereunder shall have the same rights and powers in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01" w:name="page202"/>
    <w:bookmarkEnd w:id="201"/>
    <w:p>
      <w:pPr>
        <w:jc w:val="both"/>
        <w:spacing w:after="0" w:line="296" w:lineRule="auto"/>
        <w:rPr>
          <w:sz w:val="20"/>
          <w:szCs w:val="20"/>
          <w:color w:val="auto"/>
        </w:rPr>
      </w:pPr>
      <w:r>
        <w:rPr>
          <w:rFonts w:ascii="Times New Roman" w:cs="Times New Roman" w:eastAsia="Times New Roman" w:hAnsi="Times New Roman"/>
          <w:sz w:val="20"/>
          <w:szCs w:val="20"/>
          <w:color w:val="auto"/>
        </w:rPr>
        <w:t>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2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9.03 Exculpatory Provisions. </w:t>
      </w:r>
      <w:r>
        <w:rPr>
          <w:rFonts w:ascii="Times New Roman" w:cs="Times New Roman" w:eastAsia="Times New Roman" w:hAnsi="Times New Roman"/>
          <w:sz w:val="21"/>
          <w:szCs w:val="21"/>
          <w:color w:val="auto"/>
        </w:rPr>
        <w:t>The Administrative Agent shall not have any duties or obligations except those expressly set forth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herein and in the other Loan Documents, and its duties hereunder shall be administrative in nature. Without limiting the generality of the foregoing, the Administrative Agent:</w:t>
      </w:r>
    </w:p>
    <w:p>
      <w:pPr>
        <w:spacing w:after="0" w:line="160" w:lineRule="exact"/>
        <w:rPr>
          <w:sz w:val="20"/>
          <w:szCs w:val="20"/>
          <w:color w:val="auto"/>
        </w:rPr>
      </w:pPr>
    </w:p>
    <w:p>
      <w:pPr>
        <w:ind w:left="1020" w:hanging="396"/>
        <w:spacing w:after="0"/>
        <w:tabs>
          <w:tab w:leader="none" w:pos="102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be subject to any fiduciary or other implied duties, regardless of whether a Default has occurred and is continuing;</w:t>
      </w:r>
    </w:p>
    <w:p>
      <w:pPr>
        <w:spacing w:after="0" w:line="223" w:lineRule="exact"/>
        <w:rPr>
          <w:rFonts w:ascii="Times New Roman" w:cs="Times New Roman" w:eastAsia="Times New Roman" w:hAnsi="Times New Roman"/>
          <w:sz w:val="21"/>
          <w:szCs w:val="21"/>
          <w:color w:val="auto"/>
        </w:rPr>
      </w:pPr>
    </w:p>
    <w:p>
      <w:pPr>
        <w:jc w:val="both"/>
        <w:ind w:firstLine="624"/>
        <w:spacing w:after="0" w:line="265" w:lineRule="auto"/>
        <w:tabs>
          <w:tab w:leader="none" w:pos="104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60" w:lineRule="exact"/>
        <w:rPr>
          <w:rFonts w:ascii="Times New Roman" w:cs="Times New Roman" w:eastAsia="Times New Roman" w:hAnsi="Times New Roman"/>
          <w:sz w:val="20"/>
          <w:szCs w:val="20"/>
          <w:color w:val="auto"/>
        </w:rPr>
      </w:pPr>
    </w:p>
    <w:p>
      <w:pPr>
        <w:jc w:val="both"/>
        <w:ind w:firstLine="624"/>
        <w:spacing w:after="0" w:line="263" w:lineRule="auto"/>
        <w:tabs>
          <w:tab w:leader="none" w:pos="106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162"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1"/>
          <w:szCs w:val="21"/>
          <w:u w:val="single" w:color="auto"/>
          <w:color w:val="auto"/>
        </w:rPr>
        <w:t>Sections 10.01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8.02</w:t>
      </w:r>
      <w:r>
        <w:rPr>
          <w:rFonts w:ascii="Times New Roman" w:cs="Times New Roman" w:eastAsia="Times New Roman" w:hAnsi="Times New Roman"/>
          <w:sz w:val="21"/>
          <w:szCs w:val="21"/>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the L/C Issuer.</w:t>
      </w:r>
    </w:p>
    <w:p>
      <w:pPr>
        <w:spacing w:after="0" w:line="176"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1"/>
          <w:szCs w:val="21"/>
          <w:color w:val="auto"/>
        </w:rPr>
        <w:t xml:space="preserve">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or elsewhere herein, other than to confirm receipt of items expressly required to be delivered to the Administrative Agent.</w:t>
      </w:r>
    </w:p>
    <w:p>
      <w:pPr>
        <w:spacing w:after="0" w:line="207"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9.04 Reliance by Administrative Agent. </w:t>
      </w:r>
      <w:r>
        <w:rPr>
          <w:rFonts w:ascii="Times New Roman" w:cs="Times New Roman" w:eastAsia="Times New Roman" w:hAnsi="Times New Roman"/>
          <w:sz w:val="21"/>
          <w:szCs w:val="21"/>
          <w:color w:val="auto"/>
        </w:rPr>
        <w:t>The Administrative Agent shall be entitled to rely upon, and shall not incur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or Bankers’ Acceptance,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or Bankers’ Acceptance.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83"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9.05 Delegation of Duties. </w:t>
      </w:r>
      <w:r>
        <w:rPr>
          <w:rFonts w:ascii="Times New Roman" w:cs="Times New Roman" w:eastAsia="Times New Roman" w:hAnsi="Times New Roman"/>
          <w:sz w:val="21"/>
          <w:szCs w:val="21"/>
          <w:color w:val="auto"/>
        </w:rPr>
        <w:t>The Administrative Agent may perform any and all of its duties and exercise its rights and powers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4"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9.06 Resignation of Administrative Agent. </w:t>
      </w:r>
      <w:r>
        <w:rPr>
          <w:rFonts w:ascii="Times New Roman" w:cs="Times New Roman" w:eastAsia="Times New Roman" w:hAnsi="Times New Roman"/>
          <w:sz w:val="21"/>
          <w:szCs w:val="21"/>
          <w:color w:val="auto"/>
        </w:rPr>
        <w:t>The Administrative Agent may at any time give notice of its resignation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Lenders, the L/C Issuer and the Company. Upon receipt of any such notice of resignation, the Required Lenders shall have the right to appoint a successor, which shall be a bank (a) with an office in the United States, or an Affiliate of any such bank with an office in the United States, and (b) prior to an Event of Default pursuant to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approved by the Company.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Administrative Agent shall notify the Company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(except that in the case of any collateral security held by the Administrative Agent on behalf of the Lenders or the 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03" w:name="page204"/>
    <w:bookmarkEnd w:id="203"/>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C Issuer under any of the Loan Documents, the retiring Administrative Agent shall continue to hold such collateral security until such time as a successor Administrative Agent is appointed) and (2) except for any indemnity payments or other amounts then owed to the retiring Administrative Agent,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Times New Roman" w:cs="Times New Roman" w:eastAsia="Times New Roman" w:hAnsi="Times New Roman"/>
          <w:sz w:val="21"/>
          <w:szCs w:val="21"/>
          <w:u w:val="single" w:color="auto"/>
          <w:color w:val="auto"/>
        </w:rPr>
        <w:t>Section 3.01(g)</w:t>
      </w:r>
      <w:r>
        <w:rPr>
          <w:rFonts w:ascii="Times New Roman" w:cs="Times New Roman" w:eastAsia="Times New Roman" w:hAnsi="Times New Roman"/>
          <w:sz w:val="21"/>
          <w:szCs w:val="21"/>
          <w:color w:val="auto"/>
        </w:rPr>
        <w:t xml:space="preserve"> and other than any rights to indemnity payments or other amounts owed to the retiring Administrative Agent as of the effective date of such resignation),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shall continue in effect for the benefit of such retiring Administrative Agent, its sub 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89"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20"/>
          <w:szCs w:val="20"/>
          <w:color w:val="auto"/>
        </w:rPr>
        <w:t>Any resignation by Bank of America as Administrative Agent pursuant to this Section shall also constitute its resignation as L/C Issuer and Swing Line Lender. Upon the acceptance of a successor’s appointment as Administrative Agent hereunder, (a) such successor shall succeed to and become vested with all of the rights, powers, privileges and duties of the retiring L/C Issuer and Swing Line Lender,</w:t>
      </w:r>
    </w:p>
    <w:p>
      <w:pPr>
        <w:spacing w:after="0" w:line="2" w:lineRule="exact"/>
        <w:rPr>
          <w:sz w:val="20"/>
          <w:szCs w:val="20"/>
          <w:color w:val="auto"/>
        </w:rPr>
      </w:pPr>
    </w:p>
    <w:p>
      <w:pPr>
        <w:jc w:val="both"/>
        <w:ind w:firstLine="3"/>
        <w:spacing w:after="0" w:line="244" w:lineRule="auto"/>
        <w:tabs>
          <w:tab w:leader="none" w:pos="314"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retiring L/C Issuer and Swing Line Lender shall be discharged from all of their respective duties and obligations hereunder or under the other Loan Documents, and (c) the successor L/C Issuer shall issue letters of credit and bankers’ acceptances in substitution for the Letters of Credit and Bankers’ Acceptances, if any, outstanding at the time of such succession or make other arrangements satisfactory to the retiring L/C Issuer to effectively assume the obligations of the retiring L/C Issuer with respect to such Letters of Credit or Bankers’ Acceptances. Notwithstanding the foregoing, so long as another Lender is willing to act as a swing line lender, such successor shall not be required to succeed to and become vested with all of the rights, powers, privileges and duties of the retiring Swing Line Lender. Notwithstanding the foregoing, so long as another L/C Issuer is willing to and has satisfied the provisions of clause (c) of the preceding sentence, such successor shall not be required to succeed to and become vested with all of the rights, powers, privileges and duties of the retiring L/C Issuer nor satisfy the requirements of such clause (c).</w:t>
      </w:r>
    </w:p>
    <w:p>
      <w:pPr>
        <w:spacing w:after="0" w:line="18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9.07 Non-Reliance on Administrative Agent and Other Lenders. </w:t>
      </w:r>
      <w:r>
        <w:rPr>
          <w:rFonts w:ascii="Times New Roman" w:cs="Times New Roman" w:eastAsia="Times New Roman" w:hAnsi="Times New Roman"/>
          <w:sz w:val="21"/>
          <w:szCs w:val="21"/>
          <w:color w:val="auto"/>
        </w:rPr>
        <w:t>Each Lender and the L/C Issuer acknowledges that it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independently and without reliance upon the Administrative Agent or any other Lender or any of their Related Parties and based on such documents and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6" w:right="239" w:bottom="1440" w:gutter="0" w:footer="0" w:header="0"/>
        </w:sectPr>
      </w:pPr>
    </w:p>
    <w:bookmarkStart w:id="204" w:name="page205"/>
    <w:bookmarkEnd w:id="204"/>
    <w:p>
      <w:pPr>
        <w:jc w:val="both"/>
        <w:spacing w:after="0" w:line="250" w:lineRule="auto"/>
        <w:rPr>
          <w:sz w:val="20"/>
          <w:szCs w:val="20"/>
          <w:color w:val="auto"/>
        </w:rPr>
      </w:pPr>
      <w:r>
        <w:rPr>
          <w:rFonts w:ascii="Times New Roman" w:cs="Times New Roman" w:eastAsia="Times New Roman" w:hAnsi="Times New Roman"/>
          <w:sz w:val="21"/>
          <w:szCs w:val="21"/>
          <w:color w:val="auto"/>
        </w:rPr>
        <w:t>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9.08 No Other Duties, Etc. </w:t>
      </w:r>
      <w:r>
        <w:rPr>
          <w:rFonts w:ascii="Times New Roman" w:cs="Times New Roman" w:eastAsia="Times New Roman" w:hAnsi="Times New Roman"/>
          <w:sz w:val="21"/>
          <w:szCs w:val="21"/>
          <w:color w:val="auto"/>
        </w:rPr>
        <w:t>Anything herein to the contrary notwithstanding, none of the Co-Syndication Agents, Co-Documentation Agents, the Joint Lead Arrangers or Joint Bookrunners listed on the cover page hereof shall have any powers, duties or responsibilities under this Agreement or any of the other Loan Documents, except in its capacity, as applicable, as the Administrative Agent, a Lender or the L/C Issuer hereunder.</w:t>
      </w:r>
    </w:p>
    <w:p>
      <w:pPr>
        <w:spacing w:after="0" w:line="163"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9.09 Administrative Agent May File Proofs of Claim; Credit Bidding. </w:t>
      </w:r>
      <w:r>
        <w:rPr>
          <w:rFonts w:ascii="Times New Roman" w:cs="Times New Roman" w:eastAsia="Times New Roman" w:hAnsi="Times New Roman"/>
          <w:sz w:val="21"/>
          <w:szCs w:val="21"/>
          <w:color w:val="auto"/>
        </w:rPr>
        <w:t>In case of the pendency of any proceeding under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73" w:lineRule="exact"/>
        <w:rPr>
          <w:sz w:val="20"/>
          <w:szCs w:val="20"/>
          <w:color w:val="auto"/>
        </w:rPr>
      </w:pPr>
    </w:p>
    <w:p>
      <w:pPr>
        <w:jc w:val="both"/>
        <w:ind w:firstLine="624"/>
        <w:spacing w:after="0" w:line="250" w:lineRule="auto"/>
        <w:tabs>
          <w:tab w:leader="none" w:pos="106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1"/>
          <w:szCs w:val="21"/>
          <w:u w:val="single" w:color="auto"/>
          <w:color w:val="auto"/>
        </w:rPr>
        <w:t>Sections 2.03(i)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and</w:t>
      </w:r>
    </w:p>
    <w:p>
      <w:pPr>
        <w:spacing w:after="0" w:line="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2.10(b)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 allowed in such judicial proceeding; and</w:t>
      </w:r>
    </w:p>
    <w:p>
      <w:pPr>
        <w:spacing w:after="0" w:line="188" w:lineRule="exact"/>
        <w:rPr>
          <w:rFonts w:ascii="Times New Roman" w:cs="Times New Roman" w:eastAsia="Times New Roman" w:hAnsi="Times New Roman"/>
          <w:sz w:val="21"/>
          <w:szCs w:val="21"/>
          <w:color w:val="auto"/>
        </w:rPr>
      </w:pPr>
    </w:p>
    <w:p>
      <w:pPr>
        <w:ind w:left="1040" w:hanging="416"/>
        <w:spacing w:after="0"/>
        <w:tabs>
          <w:tab w:leader="none" w:pos="104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 distribute the same;</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1"/>
          <w:szCs w:val="21"/>
          <w:u w:val="single" w:color="auto"/>
          <w:color w:val="auto"/>
        </w:rPr>
        <w:t>Sections 2.09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2.10(b)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or authorize the Administrative Agent to vote in respect of the claim of any Lender or the L/C Issuer in any such proceeding.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05" w:name="page206"/>
    <w:bookmarkEnd w:id="205"/>
    <w:p>
      <w:pPr>
        <w:jc w:val="both"/>
        <w:ind w:firstLine="620"/>
        <w:spacing w:after="0" w:line="245" w:lineRule="auto"/>
        <w:rPr>
          <w:sz w:val="20"/>
          <w:szCs w:val="20"/>
          <w:color w:val="auto"/>
        </w:rPr>
      </w:pPr>
      <w:r>
        <w:rPr>
          <w:rFonts w:ascii="Times New Roman" w:cs="Times New Roman" w:eastAsia="Times New Roman" w:hAnsi="Times New Roman"/>
          <w:sz w:val="21"/>
          <w:szCs w:val="21"/>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1"/>
          <w:szCs w:val="21"/>
          <w:u w:val="single" w:color="auto"/>
          <w:color w:val="auto"/>
        </w:rPr>
        <w:t>clauses (a) through (i)</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7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9.10 Collateral and Guaranty Matters. </w:t>
      </w:r>
      <w:r>
        <w:rPr>
          <w:rFonts w:ascii="Times New Roman" w:cs="Times New Roman" w:eastAsia="Times New Roman" w:hAnsi="Times New Roman"/>
          <w:sz w:val="21"/>
          <w:szCs w:val="21"/>
          <w:color w:val="auto"/>
        </w:rPr>
        <w:t>Without limiting the provisions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each of the Lenders (including in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capacities as a potential Cash Management Bank, a potential Hedge Bank and a potential PSLOC Bank) and the L/C Issuer irrevocably authorize the Administrative Agent, at its option and in its discretion,</w:t>
      </w:r>
    </w:p>
    <w:p>
      <w:pPr>
        <w:spacing w:after="0" w:line="160" w:lineRule="exact"/>
        <w:rPr>
          <w:sz w:val="20"/>
          <w:szCs w:val="20"/>
          <w:color w:val="auto"/>
        </w:rPr>
      </w:pPr>
    </w:p>
    <w:p>
      <w:pPr>
        <w:jc w:val="both"/>
        <w:ind w:firstLine="624"/>
        <w:spacing w:after="0" w:line="263" w:lineRule="auto"/>
        <w:tabs>
          <w:tab w:leader="none" w:pos="1060"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release any Lien on any property granted to or held by the Administrative Agent under any Loan Document (i) upon the occurrence of the Facility Termination Date, (ii) that is sold or otherwise Disposed of or to be sold or otherwise Disposed as part of or in connection with any sale or other Disposition permitted hereunder or under any other Loan Document to a Person that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1"/>
          <w:szCs w:val="21"/>
          <w:color w:val="auto"/>
        </w:rPr>
        <w:t xml:space="preserve">is not a Loan Party, or (iii) if approved, authorized or ratified in writing in accordance with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firstLine="624"/>
        <w:spacing w:after="0" w:line="283" w:lineRule="auto"/>
        <w:tabs>
          <w:tab w:leader="none" w:pos="1085"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1"/>
          <w:szCs w:val="21"/>
          <w:u w:val="single" w:color="auto"/>
          <w:color w:val="auto"/>
        </w:rPr>
        <w:t>Section 7.01(i)</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jc w:val="both"/>
        <w:ind w:firstLine="624"/>
        <w:spacing w:after="0" w:line="263" w:lineRule="auto"/>
        <w:tabs>
          <w:tab w:leader="none" w:pos="1035"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release any Subsidiary Guarantor from its obligations under the Loan Documents if such Person ceases to be a Subsidiary as a result of a transaction permitted hereunder (including any release of Subsidiary Guarantor deemed to be an Unrestricted Subsidiary pursuant to </w:t>
      </w:r>
      <w:r>
        <w:rPr>
          <w:rFonts w:ascii="Times New Roman" w:cs="Times New Roman" w:eastAsia="Times New Roman" w:hAnsi="Times New Roman"/>
          <w:sz w:val="21"/>
          <w:szCs w:val="21"/>
          <w:u w:val="single" w:color="auto"/>
          <w:color w:val="auto"/>
        </w:rPr>
        <w:t>Section 6.12(i)</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color w:val="auto"/>
        </w:rPr>
      </w:pPr>
    </w:p>
    <w:p>
      <w:pPr>
        <w:jc w:val="both"/>
        <w:ind w:firstLine="624"/>
        <w:spacing w:after="0" w:line="253" w:lineRule="auto"/>
        <w:tabs>
          <w:tab w:leader="none" w:pos="1085"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Incremental Term Loans or any loans made under an Incremental Revolving Tranche are intended to rank junior in right of payment and/or in respect of lien priority as to the Collateral with the outstanding Loans or if any Incremental Equivalent Indebtedness is incurred, to enter into an intercreditor agreement (or amend, supplement or modify an existing intercreditor agreement) as may be necessary or appropriate, in the reasonable opinion of the Administrative Agent, to effect the terms of any such Incremental Term Loans, loans under an Incremental Revolving Tranche or Incremental Equivalent Indebtedness; and</w:t>
      </w:r>
    </w:p>
    <w:p>
      <w:pPr>
        <w:spacing w:after="0" w:line="174" w:lineRule="exact"/>
        <w:rPr>
          <w:rFonts w:ascii="Times New Roman" w:cs="Times New Roman" w:eastAsia="Times New Roman" w:hAnsi="Times New Roman"/>
          <w:sz w:val="21"/>
          <w:szCs w:val="21"/>
          <w:color w:val="auto"/>
        </w:rPr>
      </w:pPr>
    </w:p>
    <w:p>
      <w:pPr>
        <w:jc w:val="both"/>
        <w:ind w:firstLine="624"/>
        <w:spacing w:after="0" w:line="263" w:lineRule="auto"/>
        <w:tabs>
          <w:tab w:leader="none" w:pos="1177"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perform its obligations under and amend, supplement, modify or replace the Indemnity Agreement or the Intercreditor Agreement, or enter into similar arrangements as may be necessary or appropriate in the reasonable opinion of the Administrative Agent.</w:t>
      </w:r>
    </w:p>
    <w:p>
      <w:pPr>
        <w:spacing w:after="0" w:line="162"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Subsidiary Guaranty pursuant to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In each case as specified in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Subsidiary Guarantor from its obligations under the Subsidiary Guaranty, in each case in accordance with the terms of the Loan Documents and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9.11 Secured Cash Management Agreements, Secured Hedge Agreements and Secured Permitted Standalone Letter of Credit. </w:t>
      </w:r>
      <w:r>
        <w:rPr>
          <w:rFonts w:ascii="Times New Roman" w:cs="Times New Roman" w:eastAsia="Times New Roman" w:hAnsi="Times New Roman"/>
          <w:sz w:val="21"/>
          <w:szCs w:val="21"/>
          <w:color w:val="auto"/>
        </w:rPr>
        <w:t>No Cash Management Bank, Hedge Bank or PSLOC Bank that obtains the benefit of the provisions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Subsidiary Guaranty or any Collateral by virtue of the provisions hereof or of the Subsidiary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Subsidiary Guaranty or any Collateral Document) other than in its capacity as a Lender, the L/C Issuer or the Administrative Agent and, in such case, only to the extent expressly provided in the Loan Documents. Notwithstanding any other provision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to the contrary, the Administrative Agent shall not be required to verify the payment of, or that other satisfactory arrangements have been made with respect to, Obligations arising under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07" w:name="page208"/>
    <w:bookmarkEnd w:id="207"/>
    <w:p>
      <w:pPr>
        <w:jc w:val="both"/>
        <w:spacing w:after="0" w:line="257" w:lineRule="auto"/>
        <w:rPr>
          <w:sz w:val="20"/>
          <w:szCs w:val="20"/>
          <w:color w:val="auto"/>
        </w:rPr>
      </w:pPr>
      <w:r>
        <w:rPr>
          <w:rFonts w:ascii="Times New Roman" w:cs="Times New Roman" w:eastAsia="Times New Roman" w:hAnsi="Times New Roman"/>
          <w:sz w:val="21"/>
          <w:szCs w:val="21"/>
          <w:color w:val="auto"/>
        </w:rPr>
        <w:t>Secured Cash Management Agreements, Secured Hedge Agreements and Secured Permitted Standalone Letters of Credit unless the Administrative Agent has received written notice of such Obligations, together with such supporting documentation as the Administrative Agent may request, from the applicable Cash Management Bank, Hedge Bank or PSLOC Bank, as the case may be.</w:t>
      </w:r>
    </w:p>
    <w:p>
      <w:pPr>
        <w:spacing w:after="0" w:line="163"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9.12</w:t>
      </w:r>
      <w:r>
        <w:rPr>
          <w:sz w:val="20"/>
          <w:szCs w:val="20"/>
          <w:color w:val="auto"/>
        </w:rPr>
        <w:tab/>
      </w:r>
      <w:r>
        <w:rPr>
          <w:rFonts w:ascii="Times New Roman" w:cs="Times New Roman" w:eastAsia="Times New Roman" w:hAnsi="Times New Roman"/>
          <w:sz w:val="20"/>
          <w:szCs w:val="20"/>
          <w:b w:val="1"/>
          <w:bCs w:val="1"/>
          <w:color w:val="auto"/>
        </w:rPr>
        <w:t>Certain ERISA Matters.</w:t>
      </w:r>
    </w:p>
    <w:p>
      <w:pPr>
        <w:spacing w:after="0" w:line="228" w:lineRule="exact"/>
        <w:rPr>
          <w:sz w:val="20"/>
          <w:szCs w:val="20"/>
          <w:color w:val="auto"/>
        </w:rPr>
      </w:pPr>
    </w:p>
    <w:p>
      <w:pPr>
        <w:jc w:val="both"/>
        <w:ind w:firstLine="624"/>
        <w:spacing w:after="0" w:line="257" w:lineRule="auto"/>
        <w:tabs>
          <w:tab w:leader="none" w:pos="1086"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at least one of the following is and will be true:</w:t>
      </w:r>
    </w:p>
    <w:p>
      <w:pPr>
        <w:spacing w:after="0" w:line="167" w:lineRule="exact"/>
        <w:rPr>
          <w:rFonts w:ascii="Times New Roman" w:cs="Times New Roman" w:eastAsia="Times New Roman" w:hAnsi="Times New Roman"/>
          <w:sz w:val="21"/>
          <w:szCs w:val="21"/>
          <w:color w:val="auto"/>
        </w:rPr>
      </w:pPr>
    </w:p>
    <w:p>
      <w:pPr>
        <w:jc w:val="both"/>
        <w:ind w:left="860" w:firstLine="616"/>
        <w:spacing w:after="0" w:line="263" w:lineRule="auto"/>
        <w:tabs>
          <w:tab w:leader="none" w:pos="1847"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62" w:lineRule="exact"/>
        <w:rPr>
          <w:rFonts w:ascii="Times New Roman" w:cs="Times New Roman" w:eastAsia="Times New Roman" w:hAnsi="Times New Roman"/>
          <w:sz w:val="21"/>
          <w:szCs w:val="21"/>
          <w:color w:val="auto"/>
        </w:rPr>
      </w:pPr>
    </w:p>
    <w:p>
      <w:pPr>
        <w:jc w:val="both"/>
        <w:ind w:left="860" w:firstLine="616"/>
        <w:spacing w:after="0" w:line="250" w:lineRule="auto"/>
        <w:tabs>
          <w:tab w:leader="none" w:pos="2034"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7" w:lineRule="exact"/>
        <w:rPr>
          <w:rFonts w:ascii="Times New Roman" w:cs="Times New Roman" w:eastAsia="Times New Roman" w:hAnsi="Times New Roman"/>
          <w:sz w:val="21"/>
          <w:szCs w:val="21"/>
          <w:color w:val="auto"/>
        </w:rPr>
      </w:pPr>
    </w:p>
    <w:p>
      <w:pPr>
        <w:jc w:val="both"/>
        <w:ind w:left="860" w:firstLine="616"/>
        <w:spacing w:after="0" w:line="249" w:lineRule="auto"/>
        <w:tabs>
          <w:tab w:leader="none" w:pos="2117"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9" w:lineRule="exact"/>
        <w:rPr>
          <w:rFonts w:ascii="Times New Roman" w:cs="Times New Roman" w:eastAsia="Times New Roman" w:hAnsi="Times New Roman"/>
          <w:sz w:val="21"/>
          <w:szCs w:val="21"/>
          <w:color w:val="auto"/>
        </w:rPr>
      </w:pPr>
    </w:p>
    <w:p>
      <w:pPr>
        <w:ind w:left="860" w:firstLine="616"/>
        <w:spacing w:after="0" w:line="283" w:lineRule="auto"/>
        <w:tabs>
          <w:tab w:leader="none" w:pos="1977"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Administrative Agent, in its sole discretion, and such Lender.</w:t>
      </w:r>
    </w:p>
    <w:p>
      <w:pPr>
        <w:spacing w:after="0" w:line="141" w:lineRule="exact"/>
        <w:rPr>
          <w:rFonts w:ascii="Times New Roman" w:cs="Times New Roman" w:eastAsia="Times New Roman" w:hAnsi="Times New Roman"/>
          <w:sz w:val="21"/>
          <w:szCs w:val="21"/>
          <w:color w:val="auto"/>
        </w:rPr>
      </w:pPr>
    </w:p>
    <w:p>
      <w:pPr>
        <w:jc w:val="both"/>
        <w:ind w:firstLine="624"/>
        <w:spacing w:after="0" w:line="263" w:lineRule="auto"/>
        <w:tabs>
          <w:tab w:leader="none" w:pos="1072"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unless either (1) </w:t>
      </w:r>
      <w:r>
        <w:rPr>
          <w:rFonts w:ascii="Times New Roman" w:cs="Times New Roman" w:eastAsia="Times New Roman" w:hAnsi="Times New Roman"/>
          <w:sz w:val="21"/>
          <w:szCs w:val="21"/>
          <w:u w:val="single" w:color="auto"/>
          <w:color w:val="auto"/>
        </w:rPr>
        <w:t>sub-clause (i)</w:t>
      </w:r>
      <w:r>
        <w:rPr>
          <w:rFonts w:ascii="Times New Roman" w:cs="Times New Roman" w:eastAsia="Times New Roman" w:hAnsi="Times New Roman"/>
          <w:sz w:val="21"/>
          <w:szCs w:val="21"/>
          <w:color w:val="auto"/>
        </w:rPr>
        <w:t xml:space="preserve"> in the immediately preceding clause (a) is true with respect to a Lender or (2) a Lender has provided another representation, warranty and covenant in accordance with </w:t>
      </w:r>
      <w:r>
        <w:rPr>
          <w:rFonts w:ascii="Times New Roman" w:cs="Times New Roman" w:eastAsia="Times New Roman" w:hAnsi="Times New Roman"/>
          <w:sz w:val="21"/>
          <w:szCs w:val="21"/>
          <w:u w:val="single" w:color="auto"/>
          <w:color w:val="auto"/>
        </w:rPr>
        <w:t>sub-clause (iv)</w:t>
      </w:r>
      <w:r>
        <w:rPr>
          <w:rFonts w:ascii="Times New Roman" w:cs="Times New Roman" w:eastAsia="Times New Roman" w:hAnsi="Times New Roman"/>
          <w:sz w:val="21"/>
          <w:szCs w:val="21"/>
          <w:color w:val="auto"/>
        </w:rPr>
        <w:t xml:space="preserve"> in the immediately preceding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such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08" w:name="page209"/>
    <w:bookmarkEnd w:id="208"/>
    <w:p>
      <w:pPr>
        <w:jc w:val="both"/>
        <w:spacing w:after="0" w:line="248" w:lineRule="auto"/>
        <w:rPr>
          <w:sz w:val="20"/>
          <w:szCs w:val="20"/>
          <w:color w:val="auto"/>
        </w:rPr>
      </w:pPr>
      <w:r>
        <w:rPr>
          <w:rFonts w:ascii="Times New Roman" w:cs="Times New Roman" w:eastAsia="Times New Roman" w:hAnsi="Times New Roman"/>
          <w:sz w:val="21"/>
          <w:szCs w:val="21"/>
          <w:color w:val="auto"/>
        </w:rPr>
        <w:t>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223"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10.01 Amendments, Etc. </w:t>
      </w:r>
      <w:r>
        <w:rPr>
          <w:rFonts w:ascii="Times New Roman" w:cs="Times New Roman" w:eastAsia="Times New Roman" w:hAnsi="Times New Roman"/>
          <w:sz w:val="21"/>
          <w:szCs w:val="21"/>
          <w:color w:val="auto"/>
        </w:rPr>
        <w:t>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3.03(c)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last paragraph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no amendment or waiver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provision of this Agreement or any other Loan Document, and no consent to any departure by the Company or any other Loan Party therefrom, shall be effective unless in writing signed by the Required Lenders (or by the Administrative Agent with the consent of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amendment, waiver or consent shall:</w:t>
      </w:r>
    </w:p>
    <w:p>
      <w:pPr>
        <w:spacing w:after="0" w:line="175" w:lineRule="exact"/>
        <w:rPr>
          <w:sz w:val="20"/>
          <w:szCs w:val="20"/>
          <w:color w:val="auto"/>
        </w:rPr>
      </w:pPr>
    </w:p>
    <w:p>
      <w:pPr>
        <w:ind w:left="1020" w:hanging="396"/>
        <w:spacing w:after="0"/>
        <w:tabs>
          <w:tab w:leader="none" w:pos="1020"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waive any condition set forth in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 xml:space="preserve"> without the written consent of each Lender;</w:t>
      </w:r>
    </w:p>
    <w:p>
      <w:pPr>
        <w:spacing w:after="0" w:line="223" w:lineRule="exact"/>
        <w:rPr>
          <w:rFonts w:ascii="Times New Roman" w:cs="Times New Roman" w:eastAsia="Times New Roman" w:hAnsi="Times New Roman"/>
          <w:sz w:val="21"/>
          <w:szCs w:val="21"/>
          <w:color w:val="auto"/>
        </w:rPr>
      </w:pPr>
    </w:p>
    <w:p>
      <w:pPr>
        <w:ind w:firstLine="624"/>
        <w:spacing w:after="0" w:line="283" w:lineRule="auto"/>
        <w:tabs>
          <w:tab w:leader="none" w:pos="1137"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extend or increase any Commitment of any Lender (or reinstate any Commitment terminated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without the written consent of such Lender;</w:t>
      </w:r>
    </w:p>
    <w:p>
      <w:pPr>
        <w:spacing w:after="0" w:line="141" w:lineRule="exact"/>
        <w:rPr>
          <w:rFonts w:ascii="Times New Roman" w:cs="Times New Roman" w:eastAsia="Times New Roman" w:hAnsi="Times New Roman"/>
          <w:sz w:val="21"/>
          <w:szCs w:val="21"/>
          <w:color w:val="auto"/>
        </w:rPr>
      </w:pPr>
    </w:p>
    <w:p>
      <w:pPr>
        <w:jc w:val="both"/>
        <w:ind w:firstLine="624"/>
        <w:spacing w:after="0" w:line="263" w:lineRule="auto"/>
        <w:tabs>
          <w:tab w:leader="none" w:pos="1241"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postpone any date fixed by this Agreement or any other Loan Document for any payment (excluding mandatory prepayments) of principal, interest, fees or other amounts due to the Lenders (or any of them) hereunder or under any other Loan Document (except as expressly provided in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without the written consent of each Lender entitled to such payment;</w:t>
      </w:r>
    </w:p>
    <w:p>
      <w:pPr>
        <w:spacing w:after="0" w:line="162" w:lineRule="exact"/>
        <w:rPr>
          <w:rFonts w:ascii="Times New Roman" w:cs="Times New Roman" w:eastAsia="Times New Roman" w:hAnsi="Times New Roman"/>
          <w:sz w:val="21"/>
          <w:szCs w:val="21"/>
          <w:color w:val="auto"/>
        </w:rPr>
      </w:pPr>
    </w:p>
    <w:p>
      <w:pPr>
        <w:jc w:val="both"/>
        <w:ind w:firstLine="624"/>
        <w:spacing w:after="0" w:line="251" w:lineRule="auto"/>
        <w:tabs>
          <w:tab w:leader="none" w:pos="1033"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reduce the principal of, or the rate of interest specified herein on, any Loan or L/C Borrowing, or (subject to clause (iv) of the second proviso to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only the consent of the Required Lenders shall be necessary (i) to amend the definition of “Default Rate” or to waive any obligation of any Borrower to pay interest, Letter of Credit Fees or BA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77" w:lineRule="exact"/>
        <w:rPr>
          <w:rFonts w:ascii="Times New Roman" w:cs="Times New Roman" w:eastAsia="Times New Roman" w:hAnsi="Times New Roman"/>
          <w:sz w:val="21"/>
          <w:szCs w:val="21"/>
          <w:color w:val="auto"/>
        </w:rPr>
      </w:pPr>
    </w:p>
    <w:p>
      <w:pPr>
        <w:jc w:val="both"/>
        <w:ind w:firstLine="624"/>
        <w:spacing w:after="0" w:line="263" w:lineRule="auto"/>
        <w:tabs>
          <w:tab w:leader="none" w:pos="1073"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(i)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in a manner that would alter the pro rata sharing of payments required thereby without the written consent of each Lender or (ii)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in a manner that would alter the order of application of any prepayments of Term Loans without the written consent of each Term Loan Lender;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09" w:name="page210"/>
    <w:bookmarkEnd w:id="209"/>
    <w:p>
      <w:pPr>
        <w:jc w:val="both"/>
        <w:ind w:firstLine="624"/>
        <w:spacing w:after="0" w:line="253" w:lineRule="auto"/>
        <w:tabs>
          <w:tab w:leader="none" w:pos="1025"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(i) any provision of this Section or the definition of “Required Lenders” or any other provision hereof specifying the number or percentage of Lenders required to amend, waive or otherwise modify any rights hereunder or make any determination or grant any consent hereunder (other than as provided in subclause (ii) of this clause (f)), without the written consent of each Lender or (ii) the definition of “Required (USD) Lenders”, “Required (MC) Lenders” or “Required Term Loan Lenders” without the written consent of each Committed (USD) Lender, each Committed (MC) Lender or each Term Loan Lender, as the case may be;</w:t>
      </w:r>
    </w:p>
    <w:p>
      <w:pPr>
        <w:spacing w:after="0" w:line="174" w:lineRule="exact"/>
        <w:rPr>
          <w:rFonts w:ascii="Times New Roman" w:cs="Times New Roman" w:eastAsia="Times New Roman" w:hAnsi="Times New Roman"/>
          <w:sz w:val="21"/>
          <w:szCs w:val="21"/>
          <w:color w:val="auto"/>
        </w:rPr>
      </w:pPr>
    </w:p>
    <w:p>
      <w:pPr>
        <w:jc w:val="both"/>
        <w:ind w:firstLine="624"/>
        <w:spacing w:after="0" w:line="263" w:lineRule="auto"/>
        <w:tabs>
          <w:tab w:leader="none" w:pos="1033"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any greater restriction on the ability of any Lender under a Facility to assign any of its rights or obligations hereunder without the written consent of the Required (USD) Lenders, in the case of the Committed (USD) Facility, the Required (MC) Lenders, in the case of the Committed (MC) Facility, or the Required Term Loan Lenders, in the case of the Term Loan Facility;</w:t>
      </w:r>
    </w:p>
    <w:p>
      <w:pPr>
        <w:spacing w:after="0" w:line="162" w:lineRule="exact"/>
        <w:rPr>
          <w:rFonts w:ascii="Times New Roman" w:cs="Times New Roman" w:eastAsia="Times New Roman" w:hAnsi="Times New Roman"/>
          <w:sz w:val="21"/>
          <w:szCs w:val="21"/>
          <w:color w:val="auto"/>
        </w:rPr>
      </w:pPr>
    </w:p>
    <w:p>
      <w:pPr>
        <w:ind w:firstLine="624"/>
        <w:spacing w:after="0" w:line="283" w:lineRule="auto"/>
        <w:tabs>
          <w:tab w:leader="none" w:pos="1046"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all or substantially all of the Collateral in any transaction or series of related transactions without the written consent of each Lender; or</w:t>
      </w:r>
    </w:p>
    <w:p>
      <w:pPr>
        <w:spacing w:after="0" w:line="141" w:lineRule="exact"/>
        <w:rPr>
          <w:rFonts w:ascii="Times New Roman" w:cs="Times New Roman" w:eastAsia="Times New Roman" w:hAnsi="Times New Roman"/>
          <w:sz w:val="21"/>
          <w:szCs w:val="21"/>
          <w:color w:val="auto"/>
        </w:rPr>
      </w:pPr>
    </w:p>
    <w:p>
      <w:pPr>
        <w:jc w:val="both"/>
        <w:ind w:firstLine="624"/>
        <w:spacing w:after="0" w:line="263" w:lineRule="auto"/>
        <w:tabs>
          <w:tab w:leader="none" w:pos="1026"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release all or substantially all of the value of the Subsidiary Guaranty without the written consent of each Lender, except to the extent the release of any Subsidiary Guarantor is permitted pursuant to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(in which case such release may be made by the Administrative Agent acting alone);</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 no amendment, waiver or consent shall, unless in writing and signed by the L/C Issuer in addition to the Lenders required above, affect the rights or duties of the L/C Issuer under this Agreement or any Issuer Document relating to any Letter of Credit or Bankers’ Acceptance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w:t>
      </w:r>
    </w:p>
    <w:p>
      <w:pPr>
        <w:spacing w:after="0" w:line="4" w:lineRule="exact"/>
        <w:rPr>
          <w:sz w:val="20"/>
          <w:szCs w:val="20"/>
          <w:color w:val="auto"/>
        </w:rPr>
      </w:pPr>
    </w:p>
    <w:p>
      <w:pPr>
        <w:jc w:val="both"/>
        <w:ind w:firstLine="3"/>
        <w:spacing w:after="0" w:line="244" w:lineRule="auto"/>
        <w:tabs>
          <w:tab w:leader="none" w:pos="388"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(x) no Commitment of any Defaulting Lender may be increased or extended without the consent of such Lender and (y) any waiver, amendment or modification requiring the consent of all Lenders or each affected Lender or all Lenders or each affected Lender under a Facility that by its terms affects any Defaulting Lender more adversely than other affected Lenders shall require the consent of such Defaulting Lender. In addition, notwithstanding the foregoing, (1) this Agreement may be amended with the written consent of the Administrative Agent, the Company and the Incremental Lenders providing the relevant Incremental Increase to permit the Incremental Amendment in accordance with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and (2) the Letter of Credit Sublimit and the Swing Line Sublimit may be increased by the L/C Issuer or the Swing Line Lender, as applicable, in accordance with </w:t>
      </w:r>
      <w:r>
        <w:rPr>
          <w:rFonts w:ascii="Times New Roman" w:cs="Times New Roman" w:eastAsia="Times New Roman" w:hAnsi="Times New Roman"/>
          <w:sz w:val="21"/>
          <w:szCs w:val="21"/>
          <w:u w:val="single" w:color="auto"/>
          <w:color w:val="auto"/>
        </w:rPr>
        <w:t>Section 2.15(d)</w:t>
      </w:r>
      <w:r>
        <w:rPr>
          <w:rFonts w:ascii="Times New Roman" w:cs="Times New Roman" w:eastAsia="Times New Roman" w:hAnsi="Times New Roman"/>
          <w:sz w:val="21"/>
          <w:szCs w:val="21"/>
          <w:color w:val="auto"/>
        </w:rPr>
        <w:t xml:space="preserve"> without the consent of any Lender.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6" w:right="239" w:bottom="1440" w:gutter="0" w:footer="0" w:header="0"/>
        </w:sectPr>
      </w:pPr>
    </w:p>
    <w:bookmarkStart w:id="210" w:name="page211"/>
    <w:bookmarkEnd w:id="210"/>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Notwithstanding any provision herein to the contrary, if the Administrative Agent and the Borrowers acting together identify any ambiguity, omission, mistake, typographical error or other defect in any provision of this Agreement or any other Loan Document (including the schedules and exhibits thereto), then the Administrative Agent and the Borrowers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72"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10.02</w:t>
      </w:r>
      <w:r>
        <w:rPr>
          <w:sz w:val="20"/>
          <w:szCs w:val="20"/>
          <w:color w:val="auto"/>
        </w:rPr>
        <w:tab/>
      </w:r>
      <w:r>
        <w:rPr>
          <w:rFonts w:ascii="Times New Roman" w:cs="Times New Roman" w:eastAsia="Times New Roman" w:hAnsi="Times New Roman"/>
          <w:sz w:val="20"/>
          <w:szCs w:val="20"/>
          <w:b w:val="1"/>
          <w:bCs w:val="1"/>
          <w:color w:val="auto"/>
        </w:rPr>
        <w:t>Notices; Effectiveness; Electronic Communication.</w:t>
      </w:r>
    </w:p>
    <w:p>
      <w:pPr>
        <w:spacing w:after="0" w:line="228" w:lineRule="exact"/>
        <w:rPr>
          <w:sz w:val="20"/>
          <w:szCs w:val="20"/>
          <w:color w:val="auto"/>
        </w:rPr>
      </w:pPr>
    </w:p>
    <w:p>
      <w:pPr>
        <w:jc w:val="both"/>
        <w:ind w:firstLine="624"/>
        <w:spacing w:after="0" w:line="253" w:lineRule="auto"/>
        <w:tabs>
          <w:tab w:leader="none" w:pos="1022"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Generally</w:t>
      </w:r>
      <w:r>
        <w:rPr>
          <w:rFonts w:ascii="Times New Roman" w:cs="Times New Roman" w:eastAsia="Times New Roman" w:hAnsi="Times New Roman"/>
          <w:sz w:val="21"/>
          <w:szCs w:val="21"/>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4"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672"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to a Borrower, the Administrative Agent or Bank of America, in its capacity as an L/C Issuer or the Swing Line Lender, to the address, telecopier number, electronic mail address or telephone number specified for such Person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10.02</w:t>
      </w:r>
      <w:r>
        <w:rPr>
          <w:rFonts w:ascii="Times New Roman" w:cs="Times New Roman" w:eastAsia="Times New Roman" w:hAnsi="Times New Roman"/>
          <w:sz w:val="21"/>
          <w:szCs w:val="21"/>
          <w:color w:val="auto"/>
        </w:rPr>
        <w:t>; and</w:t>
      </w:r>
    </w:p>
    <w:p>
      <w:pPr>
        <w:spacing w:after="0" w:line="162"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04"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other Lender or L/C Issuer,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76" w:lineRule="exact"/>
        <w:rPr>
          <w:sz w:val="20"/>
          <w:szCs w:val="20"/>
          <w:color w:val="auto"/>
        </w:rPr>
      </w:pPr>
    </w:p>
    <w:p>
      <w:pPr>
        <w:jc w:val="both"/>
        <w:ind w:firstLine="624"/>
        <w:spacing w:after="0" w:line="265" w:lineRule="auto"/>
        <w:tabs>
          <w:tab w:leader="none" w:pos="1188"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11" w:name="page212"/>
    <w:bookmarkEnd w:id="211"/>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2" w:lineRule="exact"/>
        <w:rPr>
          <w:sz w:val="20"/>
          <w:szCs w:val="20"/>
          <w:color w:val="auto"/>
        </w:rPr>
      </w:pPr>
    </w:p>
    <w:p>
      <w:pPr>
        <w:ind w:left="1220" w:hanging="596"/>
        <w:spacing w:after="0"/>
        <w:tabs>
          <w:tab w:leader="none" w:pos="122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Platform</w:t>
      </w:r>
      <w:r>
        <w:rPr>
          <w:rFonts w:ascii="Times New Roman" w:cs="Times New Roman" w:eastAsia="Times New Roman" w:hAnsi="Times New Roman"/>
          <w:sz w:val="21"/>
          <w:szCs w:val="21"/>
          <w:color w:val="auto"/>
        </w:rPr>
        <w:t>. THE PLATFORM IS PROVIDED “AS IS” AND “AS AVAILABLE.” THE AGENT PARTIES (AS</w:t>
      </w:r>
    </w:p>
    <w:p>
      <w:pPr>
        <w:spacing w:after="0" w:line="26" w:lineRule="exact"/>
        <w:rPr>
          <w:rFonts w:ascii="Times New Roman" w:cs="Times New Roman" w:eastAsia="Times New Roman" w:hAnsi="Times New Roman"/>
          <w:sz w:val="21"/>
          <w:szCs w:val="21"/>
          <w:color w:val="auto"/>
        </w:rPr>
      </w:pPr>
    </w:p>
    <w:p>
      <w:pPr>
        <w:jc w:val="both"/>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174" w:lineRule="exact"/>
        <w:rPr>
          <w:rFonts w:ascii="Times New Roman" w:cs="Times New Roman" w:eastAsia="Times New Roman" w:hAnsi="Times New Roman"/>
          <w:sz w:val="21"/>
          <w:szCs w:val="21"/>
          <w:color w:val="auto"/>
        </w:rPr>
      </w:pPr>
    </w:p>
    <w:p>
      <w:pPr>
        <w:jc w:val="both"/>
        <w:ind w:firstLine="624"/>
        <w:spacing w:after="0" w:line="247" w:lineRule="auto"/>
        <w:tabs>
          <w:tab w:leader="none" w:pos="1072"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Address, Etc</w:t>
      </w:r>
      <w:r>
        <w:rPr>
          <w:rFonts w:ascii="Times New Roman" w:cs="Times New Roman" w:eastAsia="Times New Roman" w:hAnsi="Times New Roman"/>
          <w:sz w:val="21"/>
          <w:szCs w:val="21"/>
          <w:color w:val="auto"/>
        </w:rPr>
        <w:t>. Each of the Borrowers,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12" w:name="page213"/>
    <w:bookmarkEnd w:id="212"/>
    <w:p>
      <w:pPr>
        <w:spacing w:after="0" w:line="270" w:lineRule="auto"/>
        <w:rPr>
          <w:sz w:val="20"/>
          <w:szCs w:val="20"/>
          <w:color w:val="auto"/>
        </w:rPr>
      </w:pPr>
      <w:r>
        <w:rPr>
          <w:rFonts w:ascii="Times New Roman" w:cs="Times New Roman" w:eastAsia="Times New Roman" w:hAnsi="Times New Roman"/>
          <w:sz w:val="21"/>
          <w:szCs w:val="21"/>
          <w:color w:val="auto"/>
        </w:rPr>
        <w:t>“Public Side Information” portion of the Platform and that may contain material non-public information with respect to any Borrower or its securities for purposes of United States Federal or state securities laws.</w:t>
      </w:r>
    </w:p>
    <w:p>
      <w:pPr>
        <w:spacing w:after="0" w:line="154" w:lineRule="exact"/>
        <w:rPr>
          <w:sz w:val="20"/>
          <w:szCs w:val="20"/>
          <w:color w:val="auto"/>
        </w:rPr>
      </w:pPr>
    </w:p>
    <w:p>
      <w:pPr>
        <w:jc w:val="both"/>
        <w:ind w:firstLine="624"/>
        <w:spacing w:after="0" w:line="248" w:lineRule="auto"/>
        <w:tabs>
          <w:tab w:leader="none" w:pos="1047"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Reliance by Administrative Agent, L/C Issuer and Lenders</w:t>
      </w:r>
      <w:r>
        <w:rPr>
          <w:rFonts w:ascii="Times New Roman" w:cs="Times New Roman" w:eastAsia="Times New Roman" w:hAnsi="Times New Roman"/>
          <w:sz w:val="21"/>
          <w:szCs w:val="21"/>
          <w:color w:val="auto"/>
        </w:rPr>
        <w:t>. The Administrative Agent, the L/C Issuer and the Lenders shall be entitled to rely and act upon any notices (including telephonic or electronic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79"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10.03 No Waiver; Cumulative Remedies; Enforcement. </w:t>
      </w:r>
      <w:r>
        <w:rPr>
          <w:rFonts w:ascii="Times New Roman" w:cs="Times New Roman" w:eastAsia="Times New Roman" w:hAnsi="Times New Roman"/>
          <w:sz w:val="21"/>
          <w:szCs w:val="21"/>
          <w:color w:val="auto"/>
        </w:rPr>
        <w:t>No failure by any Lender, the L/C Issuer or the Administrative Agent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5"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for the benefit of all the Lenders and the L/C Issuer;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 (ii) in addition to the matters set forth in clauses (b),</w:t>
      </w:r>
    </w:p>
    <w:p>
      <w:pPr>
        <w:spacing w:after="0" w:line="1" w:lineRule="exact"/>
        <w:rPr>
          <w:sz w:val="20"/>
          <w:szCs w:val="20"/>
          <w:color w:val="auto"/>
        </w:rPr>
      </w:pPr>
    </w:p>
    <w:p>
      <w:pPr>
        <w:ind w:firstLine="3"/>
        <w:spacing w:after="0" w:line="248" w:lineRule="auto"/>
        <w:tabs>
          <w:tab w:leader="none" w:pos="288"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and (d) of the preceding proviso and subject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13" w:name="page214"/>
    <w:bookmarkEnd w:id="213"/>
    <w:p>
      <w:pPr>
        <w:ind w:left="620"/>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10.04</w:t>
      </w:r>
      <w:r>
        <w:rPr>
          <w:sz w:val="20"/>
          <w:szCs w:val="20"/>
          <w:color w:val="auto"/>
        </w:rPr>
        <w:tab/>
      </w:r>
      <w:r>
        <w:rPr>
          <w:rFonts w:ascii="Times New Roman" w:cs="Times New Roman" w:eastAsia="Times New Roman" w:hAnsi="Times New Roman"/>
          <w:sz w:val="20"/>
          <w:szCs w:val="20"/>
          <w:b w:val="1"/>
          <w:bCs w:val="1"/>
          <w:color w:val="auto"/>
        </w:rPr>
        <w:t>Expenses; Indemnity; Damage Waiver.</w:t>
      </w:r>
    </w:p>
    <w:p>
      <w:pPr>
        <w:spacing w:after="0" w:line="228" w:lineRule="exact"/>
        <w:rPr>
          <w:sz w:val="20"/>
          <w:szCs w:val="20"/>
          <w:color w:val="auto"/>
        </w:rPr>
      </w:pPr>
    </w:p>
    <w:p>
      <w:pPr>
        <w:jc w:val="both"/>
        <w:ind w:firstLine="624"/>
        <w:spacing w:after="0" w:line="246" w:lineRule="auto"/>
        <w:tabs>
          <w:tab w:leader="none" w:pos="1177"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Costs and Expenses</w:t>
      </w:r>
      <w:r>
        <w:rPr>
          <w:rFonts w:ascii="Times New Roman" w:cs="Times New Roman" w:eastAsia="Times New Roman" w:hAnsi="Times New Roman"/>
          <w:sz w:val="21"/>
          <w:szCs w:val="21"/>
          <w:color w:val="auto"/>
        </w:rPr>
        <w:t>. The Borrowers shall, jointly and severally, pay (i) all reasonable and documented out-of-pocket expenses incurred by the Administrative Agent and its Affiliates (limited in respect of legal fees to reasonable fees, charges and disbursements of counsel to the Administrative Agent, and of a single regulatory counsel and single local counsel in each appropriate jurisdiction which may include a special counsel acting in multiple jurisdictions),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renewal or extension of any Letter of Credit, Bankers’ Acceptance or any demand for payment thereunder and (iii) all out-of-pocket expenses incurred by the Administrative Agent, any Lender or the L/C Issuer (limited in respect of legal fees to the fees, charges and disbursements of one counsel and one local counsel and one applicable regulatory counsel in each relevant jurisdiction for the Administrative Agent and one counsel and one local counsel and one applicable regulatory counsel in each relevant jurisdiction for the Lenders (and, in the case of a conflict of interest, one additional counsel to all such affected Lenders similarly situated, taken as a whole)), in connection with the enforcement or protection of its rights (A) in connection with this Agreement and the other Loan Documents, including its rights under this Section, or (B) in connection with Loans made or Letters of Credit or Bankers’ Acceptances issued hereunder, including all such out-of-pocket expenses incurred during any workout, restructuring or negotiations in respect of such Loans, Letters of Credit or Bankers’ Acceptances.</w:t>
      </w:r>
    </w:p>
    <w:p>
      <w:pPr>
        <w:spacing w:after="0" w:line="187" w:lineRule="exact"/>
        <w:rPr>
          <w:rFonts w:ascii="Times New Roman" w:cs="Times New Roman" w:eastAsia="Times New Roman" w:hAnsi="Times New Roman"/>
          <w:sz w:val="21"/>
          <w:szCs w:val="21"/>
          <w:color w:val="auto"/>
        </w:rPr>
      </w:pPr>
    </w:p>
    <w:p>
      <w:pPr>
        <w:jc w:val="both"/>
        <w:ind w:firstLine="624"/>
        <w:spacing w:after="0" w:line="246" w:lineRule="auto"/>
        <w:tabs>
          <w:tab w:leader="none" w:pos="1059"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Borrowers</w:t>
      </w:r>
      <w:r>
        <w:rPr>
          <w:rFonts w:ascii="Times New Roman" w:cs="Times New Roman" w:eastAsia="Times New Roman" w:hAnsi="Times New Roman"/>
          <w:sz w:val="21"/>
          <w:szCs w:val="21"/>
          <w:color w:val="auto"/>
        </w:rPr>
        <w:t>. The Borrowers shall, jointly and severally,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against, and hold each Indemnitee harmless from, any and all losses, claims, damages, liabilities and related expenses (including the fees, charges and disbursements of counsel),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(ii) any Loan, Letter of Credit or Bankers’ Acceptance or the use or proposed use of the proceeds therefrom (including any refusal by the L/C Issuer to honor a demand for payment under a Letter of Credit or Bankers’ Acceptance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(other than any such presence, alleged presence, release or Environmental Liability resulting solely from acts or omissions by Persons other than any Borrower or any of its Subsidiaries after the Administrative Agent sells the applicable property pursuant to 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1" w:right="239" w:bottom="1440" w:gutter="0" w:footer="0" w:header="0"/>
        </w:sectPr>
      </w:pPr>
    </w:p>
    <w:bookmarkStart w:id="214" w:name="page215"/>
    <w:bookmarkEnd w:id="214"/>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foreclosure or has accepted a deed in lieu of foreclosure), or (iv) any actual or prospective claim, litigation, investigation or proceeding relating to any of the foregoing, whether based on contract, tort or any other theory, whether brought by a third party or by any Borrower or any other Loan Party, and regardless of whether any Indemnitee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losses, claims, damages, liabilities or related expenses (w) relate to the matters referred to in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(which Sections set forth the sole remedies in respect of the matters set forth therein) or relate to any other Taxes (other than Taxes that represent losses, claims, damages, liabilities or related expenses arising from a non-Tax claim), (x) are determined by a court of competent jurisdiction by final and nonappealable judgment to have resulted from the gross negligence or willful misconduct of such Indemnitee, (y) result from a claim brought by any Borrower or any other Loan Party against an Indemnitee for breach in bad faith of such Indemnitee’s obligations hereunder or under any other Loan Document, if such Borrower or such other Loan Party has obtained a final and nonappealable judgment in its favor on such claim as determined by a court of competent jurisdiction or (z) arise out of, or in connection with, any proceeding that does not involve an act or omission by a Borrower or any of its Affiliates that is brought by an Indemnitee against any other Indemnitee (other than any proceeding against any Indemnitee in its capacity or fulfilling its role as the Administrative Agent, an Arranger, the L/C Issuer or any similar role);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reimbursement of fees, charges and disbursements of counsel shall be limited to one counsel and one local counsel and one applicable regulatory counsel in each relevant jurisdiction for the Administrative Agent and one counsel and one local counsel and one applicable regulatory counsel in each relevant jurisdiction for the other Indemnitees (and, in the case of a conflict of interest, one additional counsel to all such affected Indemnitees similarly situated, taken as a whole).</w:t>
      </w:r>
    </w:p>
    <w:p>
      <w:pPr>
        <w:spacing w:after="0" w:line="202" w:lineRule="exact"/>
        <w:rPr>
          <w:sz w:val="20"/>
          <w:szCs w:val="20"/>
          <w:color w:val="auto"/>
        </w:rPr>
      </w:pPr>
    </w:p>
    <w:p>
      <w:pPr>
        <w:ind w:left="1080" w:hanging="456"/>
        <w:spacing w:after="0"/>
        <w:tabs>
          <w:tab w:leader="none" w:pos="108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by Lenders</w:t>
      </w:r>
      <w:r>
        <w:rPr>
          <w:rFonts w:ascii="Times New Roman" w:cs="Times New Roman" w:eastAsia="Times New Roman" w:hAnsi="Times New Roman"/>
          <w:sz w:val="21"/>
          <w:szCs w:val="21"/>
          <w:color w:val="auto"/>
        </w:rPr>
        <w:t>. To the extent that the Borrowers for any reason fail to indefeasibly pay any amount required</w:t>
      </w:r>
    </w:p>
    <w:p>
      <w:pPr>
        <w:spacing w:after="0" w:line="68" w:lineRule="exact"/>
        <w:rPr>
          <w:rFonts w:ascii="Times New Roman" w:cs="Times New Roman" w:eastAsia="Times New Roman" w:hAnsi="Times New Roman"/>
          <w:sz w:val="21"/>
          <w:szCs w:val="21"/>
          <w:color w:val="auto"/>
        </w:rPr>
      </w:pPr>
    </w:p>
    <w:p>
      <w:pPr>
        <w:jc w:val="both"/>
        <w:spacing w:after="0" w:line="28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under subsection (a) or (b)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L/C Issuer or the Swing Line Lender in connection with such capacity. The obligations of the Lenders under this subsection (c) are subject to the provisions of </w:t>
      </w:r>
      <w:r>
        <w:rPr>
          <w:rFonts w:ascii="Times New Roman" w:cs="Times New Roman" w:eastAsia="Times New Roman" w:hAnsi="Times New Roman"/>
          <w:sz w:val="21"/>
          <w:szCs w:val="21"/>
          <w:u w:val="single" w:color="auto"/>
          <w:color w:val="auto"/>
        </w:rPr>
        <w:t>Section 2.12(d)</w:t>
      </w:r>
      <w:r>
        <w:rPr>
          <w:rFonts w:ascii="Times New Roman" w:cs="Times New Roman" w:eastAsia="Times New Roman" w:hAnsi="Times New Roman"/>
          <w:sz w:val="21"/>
          <w:szCs w:val="21"/>
          <w:color w:val="auto"/>
        </w:rPr>
        <w:t>.</w:t>
      </w:r>
    </w:p>
    <w:p>
      <w:pPr>
        <w:spacing w:after="0" w:line="166" w:lineRule="exact"/>
        <w:rPr>
          <w:rFonts w:ascii="Times New Roman" w:cs="Times New Roman" w:eastAsia="Times New Roman" w:hAnsi="Times New Roman"/>
          <w:sz w:val="21"/>
          <w:szCs w:val="21"/>
          <w:color w:val="auto"/>
        </w:rPr>
      </w:pPr>
    </w:p>
    <w:p>
      <w:pPr>
        <w:jc w:val="both"/>
        <w:ind w:firstLine="624"/>
        <w:spacing w:after="0" w:line="257" w:lineRule="auto"/>
        <w:tabs>
          <w:tab w:leader="none" w:pos="1046"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Consequential Damages, Etc</w:t>
      </w:r>
      <w:r>
        <w:rPr>
          <w:rFonts w:ascii="Times New Roman" w:cs="Times New Roman" w:eastAsia="Times New Roman" w:hAnsi="Times New Roman"/>
          <w:sz w:val="21"/>
          <w:szCs w:val="21"/>
          <w:color w:val="auto"/>
        </w:rPr>
        <w:t>. To the fullest extent permitted by applicable law, no Borrower shall assert, and each Borrower hereby waives, any claim against any Indemnitee, and no Indemnitee shall assert, and each Indemnitee hereby waives, any claim against any Loan Party, in each case on any theory of liability, for special, indirect, consequential or punitive damages (as opposed to direct or actual damages) arising out of, in connection with, or as a result of, this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15" w:name="page216"/>
    <w:bookmarkEnd w:id="215"/>
    <w:p>
      <w:pPr>
        <w:jc w:val="both"/>
        <w:spacing w:after="0" w:line="248" w:lineRule="auto"/>
        <w:rPr>
          <w:sz w:val="20"/>
          <w:szCs w:val="20"/>
          <w:color w:val="auto"/>
        </w:rPr>
      </w:pPr>
      <w:r>
        <w:rPr>
          <w:rFonts w:ascii="Times New Roman" w:cs="Times New Roman" w:eastAsia="Times New Roman" w:hAnsi="Times New Roman"/>
          <w:sz w:val="21"/>
          <w:szCs w:val="21"/>
          <w:color w:val="auto"/>
        </w:rPr>
        <w:t>Agreement, any other Loan Document or any agreement or instrument contemplated hereby, the transactions contemplated hereby or thereby, any Loan, Letter of Credit or Bankers’ Acceptance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78" w:lineRule="exact"/>
        <w:rPr>
          <w:sz w:val="20"/>
          <w:szCs w:val="20"/>
          <w:color w:val="auto"/>
        </w:rPr>
      </w:pPr>
    </w:p>
    <w:p>
      <w:pPr>
        <w:ind w:left="1020" w:hanging="396"/>
        <w:spacing w:after="0"/>
        <w:tabs>
          <w:tab w:leader="none" w:pos="102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All amounts due under this Section shall be payable not later than ten Business Days after demand therefor.</w:t>
      </w:r>
    </w:p>
    <w:p>
      <w:pPr>
        <w:spacing w:after="0" w:line="223" w:lineRule="exact"/>
        <w:rPr>
          <w:rFonts w:ascii="Times New Roman" w:cs="Times New Roman" w:eastAsia="Times New Roman" w:hAnsi="Times New Roman"/>
          <w:sz w:val="21"/>
          <w:szCs w:val="21"/>
          <w:color w:val="auto"/>
        </w:rPr>
      </w:pPr>
    </w:p>
    <w:p>
      <w:pPr>
        <w:jc w:val="both"/>
        <w:ind w:firstLine="624"/>
        <w:spacing w:after="0" w:line="263" w:lineRule="auto"/>
        <w:tabs>
          <w:tab w:leader="none" w:pos="999"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The agreements in this Section and the indemnity provisions of </w:t>
      </w:r>
      <w:r>
        <w:rPr>
          <w:rFonts w:ascii="Times New Roman" w:cs="Times New Roman" w:eastAsia="Times New Roman" w:hAnsi="Times New Roman"/>
          <w:sz w:val="21"/>
          <w:szCs w:val="21"/>
          <w:u w:val="single" w:color="auto"/>
          <w:color w:val="auto"/>
        </w:rPr>
        <w:t>Section 10.02(e)</w:t>
      </w:r>
      <w:r>
        <w:rPr>
          <w:rFonts w:ascii="Times New Roman" w:cs="Times New Roman" w:eastAsia="Times New Roman" w:hAnsi="Times New Roman"/>
          <w:sz w:val="21"/>
          <w:szCs w:val="21"/>
          <w:color w:val="auto"/>
        </w:rPr>
        <w:t xml:space="preserve">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158"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10.05 Payments Set Aside. </w:t>
      </w:r>
      <w:r>
        <w:rPr>
          <w:rFonts w:ascii="Times New Roman" w:cs="Times New Roman" w:eastAsia="Times New Roman" w:hAnsi="Times New Roman"/>
          <w:sz w:val="21"/>
          <w:szCs w:val="21"/>
          <w:color w:val="auto"/>
        </w:rPr>
        <w:t>To the extent that any payment by or on behalf of any Borrower is made to the Administrative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83"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10.06</w:t>
      </w:r>
      <w:r>
        <w:rPr>
          <w:sz w:val="20"/>
          <w:szCs w:val="20"/>
          <w:color w:val="auto"/>
        </w:rPr>
        <w:tab/>
      </w:r>
      <w:r>
        <w:rPr>
          <w:rFonts w:ascii="Times New Roman" w:cs="Times New Roman" w:eastAsia="Times New Roman" w:hAnsi="Times New Roman"/>
          <w:sz w:val="20"/>
          <w:szCs w:val="20"/>
          <w:b w:val="1"/>
          <w:bCs w:val="1"/>
          <w:color w:val="auto"/>
        </w:rPr>
        <w:t>Successors and Assigns.</w:t>
      </w:r>
    </w:p>
    <w:p>
      <w:pPr>
        <w:spacing w:after="0" w:line="228" w:lineRule="exact"/>
        <w:rPr>
          <w:sz w:val="20"/>
          <w:szCs w:val="20"/>
          <w:color w:val="auto"/>
        </w:rPr>
      </w:pPr>
    </w:p>
    <w:p>
      <w:pPr>
        <w:jc w:val="both"/>
        <w:ind w:firstLine="624"/>
        <w:spacing w:after="0" w:line="249" w:lineRule="auto"/>
        <w:tabs>
          <w:tab w:leader="none" w:pos="1073"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 Generally</w:t>
      </w:r>
      <w:r>
        <w:rPr>
          <w:rFonts w:ascii="Times New Roman" w:cs="Times New Roman" w:eastAsia="Times New Roman" w:hAnsi="Times New Roman"/>
          <w:sz w:val="21"/>
          <w:szCs w:val="21"/>
          <w:color w:val="auto"/>
        </w:rPr>
        <w:t>.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16" w:name="page217"/>
    <w:bookmarkEnd w:id="216"/>
    <w:p>
      <w:pPr>
        <w:jc w:val="both"/>
        <w:spacing w:after="0" w:line="257" w:lineRule="auto"/>
        <w:rPr>
          <w:sz w:val="20"/>
          <w:szCs w:val="20"/>
          <w:color w:val="auto"/>
        </w:rPr>
      </w:pPr>
      <w:r>
        <w:rPr>
          <w:rFonts w:ascii="Times New Roman" w:cs="Times New Roman" w:eastAsia="Times New Roman" w:hAnsi="Times New Roman"/>
          <w:sz w:val="21"/>
          <w:szCs w:val="21"/>
          <w:color w:val="auto"/>
        </w:rPr>
        <w:t>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67" w:lineRule="exact"/>
        <w:rPr>
          <w:sz w:val="20"/>
          <w:szCs w:val="20"/>
          <w:color w:val="auto"/>
        </w:rPr>
      </w:pPr>
    </w:p>
    <w:p>
      <w:pPr>
        <w:jc w:val="both"/>
        <w:ind w:firstLine="624"/>
        <w:spacing w:after="0" w:line="257" w:lineRule="auto"/>
        <w:tabs>
          <w:tab w:leader="none" w:pos="1124"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Assignments by Lenders</w:t>
      </w:r>
      <w:r>
        <w:rPr>
          <w:rFonts w:ascii="Times New Roman" w:cs="Times New Roman" w:eastAsia="Times New Roman" w:hAnsi="Times New Roman"/>
          <w:sz w:val="21"/>
          <w:szCs w:val="21"/>
          <w:color w:val="auto"/>
        </w:rPr>
        <w:t xml:space="preserve">. Any Lender may at any time assign to one or more assignees all or a portion of its rights and obligations under this Agreement (including all or a portion of its Commitment(s) and the Loans (including for purposes of this subsection (b), participations in L/C Obligations and in Swing Line Loans) at the time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with respect to any Facility) any such assignment shall be subject to the following conditions:</w:t>
      </w:r>
    </w:p>
    <w:p>
      <w:pPr>
        <w:spacing w:after="0" w:line="167" w:lineRule="exact"/>
        <w:rPr>
          <w:rFonts w:ascii="Times New Roman" w:cs="Times New Roman" w:eastAsia="Times New Roman" w:hAnsi="Times New Roman"/>
          <w:sz w:val="21"/>
          <w:szCs w:val="21"/>
          <w:color w:val="auto"/>
        </w:rPr>
      </w:pPr>
    </w:p>
    <w:p>
      <w:pPr>
        <w:ind w:left="1620" w:hanging="376"/>
        <w:spacing w:after="0"/>
        <w:tabs>
          <w:tab w:leader="none" w:pos="1620"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Amounts</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left="1240" w:firstLine="624"/>
        <w:spacing w:after="0" w:line="253" w:lineRule="auto"/>
        <w:tabs>
          <w:tab w:leader="none" w:pos="2319" w:val="left"/>
        </w:tabs>
        <w:numPr>
          <w:ilvl w:val="2"/>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subsection (b)(i)(B) of this Section in the aggregate or in the case of an assignment to a Lender, an Affiliate of a Lender or an Approved Fund, no minimum amount need be assigned; and</w:t>
      </w:r>
    </w:p>
    <w:p>
      <w:pPr>
        <w:spacing w:after="0" w:line="174" w:lineRule="exact"/>
        <w:rPr>
          <w:rFonts w:ascii="Times New Roman" w:cs="Times New Roman" w:eastAsia="Times New Roman" w:hAnsi="Times New Roman"/>
          <w:sz w:val="21"/>
          <w:szCs w:val="21"/>
          <w:color w:val="auto"/>
        </w:rPr>
      </w:pPr>
    </w:p>
    <w:p>
      <w:pPr>
        <w:jc w:val="both"/>
        <w:ind w:left="1240" w:firstLine="624"/>
        <w:spacing w:after="0" w:line="250" w:lineRule="auto"/>
        <w:tabs>
          <w:tab w:leader="none" w:pos="2411" w:val="left"/>
        </w:tabs>
        <w:numPr>
          <w:ilvl w:val="2"/>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case not described in subsection (b)(i)(A) of this Section, the aggregate amount of the applicable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77" w:lineRule="exact"/>
        <w:rPr>
          <w:rFonts w:ascii="Times New Roman" w:cs="Times New Roman" w:eastAsia="Times New Roman" w:hAnsi="Times New Roman"/>
          <w:sz w:val="21"/>
          <w:szCs w:val="21"/>
          <w:color w:val="auto"/>
        </w:rPr>
      </w:pPr>
    </w:p>
    <w:p>
      <w:pPr>
        <w:jc w:val="both"/>
        <w:ind w:left="620" w:firstLine="624"/>
        <w:spacing w:after="0" w:line="263" w:lineRule="auto"/>
        <w:tabs>
          <w:tab w:leader="none" w:pos="1742"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Proportionate Amounts</w:t>
      </w:r>
      <w:r>
        <w:rPr>
          <w:rFonts w:ascii="Times New Roman" w:cs="Times New Roman" w:eastAsia="Times New Roman" w:hAnsi="Times New Roman"/>
          <w:sz w:val="21"/>
          <w:szCs w:val="21"/>
          <w:color w:val="auto"/>
        </w:rPr>
        <w:t>. Each partial assignment shall be made as an assignment of a proportionate part of all the assigning Lender’s rights and obligations under this Agreement with respect to the Loans or the Commitment assigned, except that this clause (ii) shall not apply to the Swing Line Lender’s rights and obligations in respect of Swing Line Loans.</w:t>
      </w:r>
    </w:p>
    <w:p>
      <w:pPr>
        <w:spacing w:after="0" w:line="162" w:lineRule="exact"/>
        <w:rPr>
          <w:rFonts w:ascii="Times New Roman" w:cs="Times New Roman" w:eastAsia="Times New Roman" w:hAnsi="Times New Roman"/>
          <w:sz w:val="21"/>
          <w:szCs w:val="21"/>
          <w:color w:val="auto"/>
        </w:rPr>
      </w:pPr>
    </w:p>
    <w:p>
      <w:pPr>
        <w:ind w:left="620" w:firstLine="624"/>
        <w:spacing w:after="0" w:line="283" w:lineRule="auto"/>
        <w:tabs>
          <w:tab w:leader="none" w:pos="1748"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Consents</w:t>
      </w:r>
      <w:r>
        <w:rPr>
          <w:rFonts w:ascii="Times New Roman" w:cs="Times New Roman" w:eastAsia="Times New Roman" w:hAnsi="Times New Roman"/>
          <w:sz w:val="21"/>
          <w:szCs w:val="21"/>
          <w:color w:val="auto"/>
        </w:rPr>
        <w:t>. No consent shall be required for any assignment except to the extent required by subsection (b) (i)(B) of this Section and, in addition:</w:t>
      </w:r>
    </w:p>
    <w:p>
      <w:pPr>
        <w:spacing w:after="0" w:line="141" w:lineRule="exact"/>
        <w:rPr>
          <w:rFonts w:ascii="Times New Roman" w:cs="Times New Roman" w:eastAsia="Times New Roman" w:hAnsi="Times New Roman"/>
          <w:sz w:val="21"/>
          <w:szCs w:val="21"/>
          <w:color w:val="auto"/>
        </w:rPr>
      </w:pPr>
    </w:p>
    <w:p>
      <w:pPr>
        <w:jc w:val="both"/>
        <w:ind w:left="1240" w:firstLine="624"/>
        <w:spacing w:after="0" w:line="261" w:lineRule="auto"/>
        <w:tabs>
          <w:tab w:leader="none" w:pos="2371" w:val="left"/>
        </w:tabs>
        <w:numPr>
          <w:ilvl w:val="2"/>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consent of the Company (such consent not to be unreasonably withheld) shall be required unless (1) an Event of Default pursuant to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has occurred and is continuing at the time of such assignment or</w:t>
      </w:r>
    </w:p>
    <w:p>
      <w:pPr>
        <w:jc w:val="both"/>
        <w:ind w:left="124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 in the case of an assignment of any Term Loan or unfunded Term Loan Commitment, such assignment is to a Lender, an Affiliate of a Lender or an Approved Fund; </w:t>
      </w:r>
      <w:r>
        <w:rPr>
          <w:rFonts w:ascii="Times New Roman" w:cs="Times New Roman" w:eastAsia="Times New Roman" w:hAnsi="Times New Roman"/>
          <w:sz w:val="21"/>
          <w:szCs w:val="21"/>
          <w:u w:val="single" w:color="auto"/>
          <w:color w:val="191919"/>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91919"/>
        </w:rPr>
        <w:t>that the Company shall be deemed to have consented to any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91919"/>
        </w:rPr>
        <w:t>assignment unless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17" w:name="page218"/>
    <w:bookmarkEnd w:id="217"/>
    <w:p>
      <w:pPr>
        <w:ind w:left="1240"/>
        <w:spacing w:after="0" w:line="270" w:lineRule="auto"/>
        <w:rPr>
          <w:sz w:val="20"/>
          <w:szCs w:val="20"/>
          <w:color w:val="auto"/>
        </w:rPr>
      </w:pPr>
      <w:r>
        <w:rPr>
          <w:rFonts w:ascii="Times New Roman" w:cs="Times New Roman" w:eastAsia="Times New Roman" w:hAnsi="Times New Roman"/>
          <w:sz w:val="21"/>
          <w:szCs w:val="21"/>
          <w:color w:val="191919"/>
        </w:rPr>
        <w:t>it shall object thereto by written notice to the Administrative Agent within ten (10) Business Days after having received notice thereof;</w:t>
      </w:r>
    </w:p>
    <w:p>
      <w:pPr>
        <w:spacing w:after="0" w:line="154" w:lineRule="exact"/>
        <w:rPr>
          <w:sz w:val="20"/>
          <w:szCs w:val="20"/>
          <w:color w:val="auto"/>
        </w:rPr>
      </w:pPr>
    </w:p>
    <w:p>
      <w:pPr>
        <w:jc w:val="both"/>
        <w:ind w:left="1240" w:firstLine="624"/>
        <w:spacing w:after="0" w:line="253" w:lineRule="auto"/>
        <w:tabs>
          <w:tab w:leader="none" w:pos="2347" w:val="left"/>
        </w:tabs>
        <w:numPr>
          <w:ilvl w:val="2"/>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the Administrative Agent (such consent not to be unreasonably withheld or delayed) shall be required for assignments in respect of (i) any unfunded Term Loan Commitment, any USD Commitment or any MC Commitment if such assignment is to a Person that is not a Lender with a Commitment in respect of the applicable Facility, an Affiliate of such Lender or an Approved Fund with respect to such Lender or (ii) any Term Loan to a Person that is not a Lender, an Affiliate of such Lender or an Approved Fund; and</w:t>
      </w:r>
    </w:p>
    <w:p>
      <w:pPr>
        <w:spacing w:after="0" w:line="174" w:lineRule="exact"/>
        <w:rPr>
          <w:rFonts w:ascii="Times New Roman" w:cs="Times New Roman" w:eastAsia="Times New Roman" w:hAnsi="Times New Roman"/>
          <w:sz w:val="21"/>
          <w:szCs w:val="21"/>
          <w:color w:val="auto"/>
        </w:rPr>
      </w:pPr>
    </w:p>
    <w:p>
      <w:pPr>
        <w:ind w:left="1240" w:firstLine="624"/>
        <w:spacing w:after="0" w:line="283" w:lineRule="auto"/>
        <w:tabs>
          <w:tab w:leader="none" w:pos="2360" w:val="left"/>
        </w:tabs>
        <w:numPr>
          <w:ilvl w:val="2"/>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the L/C Issuer and the Swing Line Lender (such consent not to be unreasonably withheld or delayed) shall be required for any assignment in respect of the Committed (USD) Facility.</w:t>
      </w:r>
    </w:p>
    <w:p>
      <w:pPr>
        <w:spacing w:after="0" w:line="141"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749" w:val="left"/>
        </w:tabs>
        <w:numPr>
          <w:ilvl w:val="1"/>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1"/>
          <w:szCs w:val="21"/>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67" w:lineRule="exact"/>
        <w:rPr>
          <w:rFonts w:ascii="Times New Roman" w:cs="Times New Roman" w:eastAsia="Times New Roman" w:hAnsi="Times New Roman"/>
          <w:sz w:val="21"/>
          <w:szCs w:val="21"/>
          <w:color w:val="auto"/>
        </w:rPr>
      </w:pPr>
    </w:p>
    <w:p>
      <w:pPr>
        <w:jc w:val="both"/>
        <w:ind w:left="620" w:firstLine="624"/>
        <w:spacing w:after="0" w:line="273" w:lineRule="auto"/>
        <w:tabs>
          <w:tab w:leader="none" w:pos="1666"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(A) to the Company or any of the Company’s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w:t>
      </w:r>
    </w:p>
    <w:p>
      <w:pPr>
        <w:spacing w:after="0" w:line="155" w:lineRule="exact"/>
        <w:rPr>
          <w:rFonts w:ascii="Times New Roman" w:cs="Times New Roman" w:eastAsia="Times New Roman" w:hAnsi="Times New Roman"/>
          <w:sz w:val="20"/>
          <w:szCs w:val="20"/>
          <w:color w:val="auto"/>
        </w:rPr>
      </w:pPr>
    </w:p>
    <w:p>
      <w:pPr>
        <w:jc w:val="both"/>
        <w:ind w:left="620" w:firstLine="624"/>
        <w:spacing w:after="0" w:line="260" w:lineRule="auto"/>
        <w:tabs>
          <w:tab w:leader="none" w:pos="1724"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w:t>
      </w:r>
    </w:p>
    <w:p>
      <w:pPr>
        <w:spacing w:after="0" w:line="5" w:lineRule="exact"/>
        <w:rPr>
          <w:rFonts w:ascii="Times New Roman" w:cs="Times New Roman" w:eastAsia="Times New Roman" w:hAnsi="Times New Roman"/>
          <w:sz w:val="20"/>
          <w:szCs w:val="20"/>
          <w:color w:val="auto"/>
        </w:rPr>
      </w:pPr>
    </w:p>
    <w:p>
      <w:pPr>
        <w:jc w:val="both"/>
        <w:ind w:left="620" w:firstLine="4"/>
        <w:spacing w:after="0" w:line="245" w:lineRule="auto"/>
        <w:tabs>
          <w:tab w:leader="none" w:pos="96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acquire (and fund as appropriate) its full pro rata share of all Loans and participations in Letters of Credit, Bankers’ Acceptances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18" w:name="page219"/>
    <w:bookmarkEnd w:id="218"/>
    <w:p>
      <w:pPr>
        <w:jc w:val="both"/>
        <w:ind w:left="620" w:firstLine="624"/>
        <w:spacing w:after="0" w:line="247" w:lineRule="auto"/>
        <w:tabs>
          <w:tab w:leader="none" w:pos="1794"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 xml:space="preserve"> with respect to facts and circumstances occurring prior to the effective date of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0" w:lineRule="exact"/>
        <w:rPr>
          <w:rFonts w:ascii="Times New Roman" w:cs="Times New Roman" w:eastAsia="Times New Roman" w:hAnsi="Times New Roman"/>
          <w:sz w:val="21"/>
          <w:szCs w:val="21"/>
          <w:color w:val="auto"/>
        </w:rPr>
      </w:pPr>
    </w:p>
    <w:p>
      <w:pPr>
        <w:jc w:val="both"/>
        <w:ind w:firstLine="624"/>
        <w:spacing w:after="0" w:line="249" w:lineRule="auto"/>
        <w:tabs>
          <w:tab w:leader="none" w:pos="1151"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Administrative Agent, acting solely for this purpose as an agent of the Borrowers,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each of the Borrowers and any Lender, at any reasonable time and from time to time upon reasonable prior notice.</w:t>
      </w:r>
    </w:p>
    <w:p>
      <w:pPr>
        <w:spacing w:after="0" w:line="179" w:lineRule="exact"/>
        <w:rPr>
          <w:rFonts w:ascii="Times New Roman" w:cs="Times New Roman" w:eastAsia="Times New Roman" w:hAnsi="Times New Roman"/>
          <w:sz w:val="21"/>
          <w:szCs w:val="21"/>
          <w:color w:val="auto"/>
        </w:rPr>
      </w:pPr>
    </w:p>
    <w:p>
      <w:pPr>
        <w:jc w:val="both"/>
        <w:ind w:firstLine="624"/>
        <w:spacing w:after="0" w:line="261" w:lineRule="auto"/>
        <w:tabs>
          <w:tab w:leader="none" w:pos="1085"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any Borrower, the Administrative Agent, the Swing Line Lender or the L/C Issuer, sell participations to any Person (other than a natural Person, or a holding company, investment vehicle or trust for, or owned and operated for the primary benefit of one or more natural Persons, a Defaulting Lender or the Company or any of the Company’s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or enter into a swap or derivative transaction in respect of all or a portion of, such Lender’s rights and/or obligations under this Agreement (including all or a portion of its Commitment(s)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xml:space="preserve"> without regard to the existence of any participation. Any agreement or instrument pursuant to which a Lender sells such a participation shall provide that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19" w:name="page220"/>
    <w:bookmarkEnd w:id="219"/>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that affects such Participant. Each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to the same extent as if it were a Lender and had acquired its interest by assignment pursuant to subsection (b) of this Section </w:t>
      </w:r>
      <w:r>
        <w:rPr>
          <w:rFonts w:ascii="Times New Roman" w:cs="Times New Roman" w:eastAsia="Times New Roman" w:hAnsi="Times New Roman"/>
          <w:sz w:val="20"/>
          <w:szCs w:val="20"/>
          <w:color w:val="191919"/>
        </w:rPr>
        <w:t>(it being understood that the documentation required under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191919"/>
        </w:rPr>
        <w:t>Section 3.01(e)</w:t>
      </w:r>
      <w:r>
        <w:rPr>
          <w:rFonts w:ascii="Times New Roman" w:cs="Times New Roman" w:eastAsia="Times New Roman" w:hAnsi="Times New Roman"/>
          <w:sz w:val="20"/>
          <w:szCs w:val="20"/>
          <w:color w:val="191919"/>
        </w:rPr>
        <w:t xml:space="preserve"> shall be delivered to the Lender who sells the participation) to the same extent as if it were a Lender and had acquired its interest by assignment pursuant to subsection (b) of this Section; </w:t>
      </w:r>
      <w:r>
        <w:rPr>
          <w:rFonts w:ascii="Times New Roman" w:cs="Times New Roman" w:eastAsia="Times New Roman" w:hAnsi="Times New Roman"/>
          <w:sz w:val="20"/>
          <w:szCs w:val="20"/>
          <w:u w:val="single" w:color="auto"/>
          <w:color w:val="191919"/>
        </w:rPr>
        <w:t>provided</w:t>
      </w:r>
      <w:r>
        <w:rPr>
          <w:rFonts w:ascii="Times New Roman" w:cs="Times New Roman" w:eastAsia="Times New Roman" w:hAnsi="Times New Roman"/>
          <w:sz w:val="20"/>
          <w:szCs w:val="20"/>
          <w:color w:val="191919"/>
        </w:rPr>
        <w:t xml:space="preserve"> that such Participant (A) agrees to be subject to the provisions of </w:t>
      </w:r>
      <w:r>
        <w:rPr>
          <w:rFonts w:ascii="Times New Roman" w:cs="Times New Roman" w:eastAsia="Times New Roman" w:hAnsi="Times New Roman"/>
          <w:sz w:val="20"/>
          <w:szCs w:val="20"/>
          <w:u w:val="single" w:color="auto"/>
          <w:color w:val="191919"/>
        </w:rPr>
        <w:t>Sections 3.06</w:t>
      </w:r>
      <w:r>
        <w:rPr>
          <w:rFonts w:ascii="Times New Roman" w:cs="Times New Roman" w:eastAsia="Times New Roman" w:hAnsi="Times New Roman"/>
          <w:sz w:val="20"/>
          <w:szCs w:val="20"/>
          <w:color w:val="191919"/>
        </w:rPr>
        <w:t xml:space="preserve"> and </w:t>
      </w:r>
      <w:r>
        <w:rPr>
          <w:rFonts w:ascii="Times New Roman" w:cs="Times New Roman" w:eastAsia="Times New Roman" w:hAnsi="Times New Roman"/>
          <w:sz w:val="20"/>
          <w:szCs w:val="20"/>
          <w:u w:val="single" w:color="auto"/>
          <w:color w:val="191919"/>
        </w:rPr>
        <w:t>10.13</w:t>
      </w:r>
      <w:r>
        <w:rPr>
          <w:rFonts w:ascii="Times New Roman" w:cs="Times New Roman" w:eastAsia="Times New Roman" w:hAnsi="Times New Roman"/>
          <w:sz w:val="20"/>
          <w:szCs w:val="20"/>
          <w:color w:val="191919"/>
        </w:rPr>
        <w:t xml:space="preserve"> as if it were an assignee under subsection (b) of this Section and (B) </w:t>
      </w:r>
      <w:r>
        <w:rPr>
          <w:rFonts w:ascii="Times New Roman" w:cs="Times New Roman" w:eastAsia="Times New Roman" w:hAnsi="Times New Roman"/>
          <w:sz w:val="20"/>
          <w:szCs w:val="20"/>
          <w:color w:val="000000"/>
        </w:rPr>
        <w:t>shall not be entitled to receive any greater</w:t>
      </w:r>
      <w:r>
        <w:rPr>
          <w:rFonts w:ascii="Times New Roman" w:cs="Times New Roman" w:eastAsia="Times New Roman" w:hAnsi="Times New Roman"/>
          <w:sz w:val="20"/>
          <w:szCs w:val="20"/>
          <w:color w:val="191919"/>
        </w:rPr>
        <w:t xml:space="preserve"> </w:t>
      </w:r>
      <w:r>
        <w:rPr>
          <w:rFonts w:ascii="Times New Roman" w:cs="Times New Roman" w:eastAsia="Times New Roman" w:hAnsi="Times New Roman"/>
          <w:sz w:val="20"/>
          <w:szCs w:val="20"/>
          <w:color w:val="000000"/>
        </w:rPr>
        <w:t xml:space="preserve">payment under </w:t>
      </w:r>
      <w:r>
        <w:rPr>
          <w:rFonts w:ascii="Times New Roman" w:cs="Times New Roman" w:eastAsia="Times New Roman" w:hAnsi="Times New Roman"/>
          <w:sz w:val="20"/>
          <w:szCs w:val="20"/>
          <w:u w:val="single" w:color="auto"/>
          <w:color w:val="191919"/>
        </w:rPr>
        <w:t>Sections 3.01</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191919"/>
        </w:rPr>
        <w:t>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191919"/>
        </w:rPr>
        <w:t>3.04</w:t>
      </w:r>
      <w:r>
        <w:rPr>
          <w:rFonts w:ascii="Times New Roman" w:cs="Times New Roman" w:eastAsia="Times New Roman" w:hAnsi="Times New Roman"/>
          <w:sz w:val="20"/>
          <w:szCs w:val="20"/>
          <w:color w:val="191919"/>
        </w:rPr>
        <w:t>, with respect to any participation, than the Lender from whom it acquired the applicable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191919"/>
        </w:rPr>
        <w:t xml:space="preserve">participation </w:t>
      </w:r>
      <w:r>
        <w:rPr>
          <w:rFonts w:ascii="Times New Roman" w:cs="Times New Roman" w:eastAsia="Times New Roman" w:hAnsi="Times New Roman"/>
          <w:sz w:val="20"/>
          <w:szCs w:val="20"/>
          <w:color w:val="000000"/>
        </w:rPr>
        <w:t>would have been entitled to receive</w:t>
      </w:r>
      <w:r>
        <w:rPr>
          <w:rFonts w:ascii="Times New Roman" w:cs="Times New Roman" w:eastAsia="Times New Roman" w:hAnsi="Times New Roman"/>
          <w:sz w:val="20"/>
          <w:szCs w:val="20"/>
          <w:color w:val="191919"/>
        </w:rPr>
        <w:t xml:space="preser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Borrowers to effectuate the provisions of </w:t>
      </w:r>
      <w:r>
        <w:rPr>
          <w:rFonts w:ascii="Times New Roman" w:cs="Times New Roman" w:eastAsia="Times New Roman" w:hAnsi="Times New Roman"/>
          <w:sz w:val="20"/>
          <w:szCs w:val="20"/>
          <w:u w:val="single" w:color="auto"/>
          <w:color w:val="191919"/>
        </w:rPr>
        <w:t>Section 3.06</w:t>
      </w:r>
      <w:r>
        <w:rPr>
          <w:rFonts w:ascii="Times New Roman" w:cs="Times New Roman" w:eastAsia="Times New Roman" w:hAnsi="Times New Roman"/>
          <w:sz w:val="20"/>
          <w:szCs w:val="20"/>
          <w:color w:val="191919"/>
        </w:rPr>
        <w:t xml:space="preserve"> and </w:t>
      </w:r>
      <w:r>
        <w:rPr>
          <w:rFonts w:ascii="Times New Roman" w:cs="Times New Roman" w:eastAsia="Times New Roman" w:hAnsi="Times New Roman"/>
          <w:sz w:val="20"/>
          <w:szCs w:val="20"/>
          <w:u w:val="single" w:color="auto"/>
          <w:color w:val="191919"/>
        </w:rPr>
        <w:t>Section 10.13</w:t>
      </w:r>
      <w:r>
        <w:rPr>
          <w:rFonts w:ascii="Times New Roman" w:cs="Times New Roman" w:eastAsia="Times New Roman" w:hAnsi="Times New Roman"/>
          <w:sz w:val="20"/>
          <w:szCs w:val="20"/>
          <w:color w:val="191919"/>
        </w:rPr>
        <w:t xml:space="preserve"> with respect to any Participant</w:t>
      </w:r>
      <w:r>
        <w:rPr>
          <w:rFonts w:ascii="Times New Roman" w:cs="Times New Roman" w:eastAsia="Times New Roman" w:hAnsi="Times New Roman"/>
          <w:sz w:val="20"/>
          <w:szCs w:val="20"/>
          <w:color w:val="000000"/>
        </w:rPr>
        <w:t>. To the extent permitted by law, each Participant also shall be entitled to the benefits of</w:t>
      </w:r>
      <w:r>
        <w:rPr>
          <w:rFonts w:ascii="Times New Roman" w:cs="Times New Roman" w:eastAsia="Times New Roman" w:hAnsi="Times New Roman"/>
          <w:sz w:val="20"/>
          <w:szCs w:val="20"/>
          <w:color w:val="191919"/>
        </w:rPr>
        <w:t xml:space="preserve"> </w:t>
      </w:r>
      <w:r>
        <w:rPr>
          <w:rFonts w:ascii="Times New Roman" w:cs="Times New Roman" w:eastAsia="Times New Roman" w:hAnsi="Times New Roman"/>
          <w:sz w:val="20"/>
          <w:szCs w:val="20"/>
          <w:u w:val="single" w:color="auto"/>
          <w:color w:val="000000"/>
        </w:rPr>
        <w:t>Section 10.08</w:t>
      </w:r>
      <w:r>
        <w:rPr>
          <w:rFonts w:ascii="Times New Roman" w:cs="Times New Roman" w:eastAsia="Times New Roman" w:hAnsi="Times New Roman"/>
          <w:sz w:val="20"/>
          <w:szCs w:val="20"/>
          <w:color w:val="000000"/>
        </w:rPr>
        <w:t xml:space="preserve"> as though it were a Lender;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such Participant agrees to be subject to </w:t>
      </w:r>
      <w:r>
        <w:rPr>
          <w:rFonts w:ascii="Times New Roman" w:cs="Times New Roman" w:eastAsia="Times New Roman" w:hAnsi="Times New Roman"/>
          <w:sz w:val="20"/>
          <w:szCs w:val="20"/>
          <w:u w:val="single" w:color="auto"/>
          <w:color w:val="000000"/>
        </w:rPr>
        <w:t>Section 2.13</w:t>
      </w:r>
      <w:r>
        <w:rPr>
          <w:rFonts w:ascii="Times New Roman" w:cs="Times New Roman" w:eastAsia="Times New Roman" w:hAnsi="Times New Roman"/>
          <w:sz w:val="20"/>
          <w:szCs w:val="20"/>
          <w:color w:val="000000"/>
        </w:rPr>
        <w:t xml:space="preserve"> as though it were a Lender. </w:t>
      </w:r>
      <w:r>
        <w:rPr>
          <w:rFonts w:ascii="Times New Roman" w:cs="Times New Roman" w:eastAsia="Times New Roman" w:hAnsi="Times New Roman"/>
          <w:sz w:val="20"/>
          <w:szCs w:val="20"/>
          <w:color w:val="191919"/>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191919"/>
        </w:rPr>
        <w:t>Participant Register</w:t>
      </w:r>
      <w:r>
        <w:rPr>
          <w:rFonts w:ascii="Times New Roman" w:cs="Times New Roman" w:eastAsia="Times New Roman" w:hAnsi="Times New Roman"/>
          <w:sz w:val="20"/>
          <w:szCs w:val="20"/>
          <w:color w:val="191919"/>
        </w:rPr>
        <w:t xml:space="preserve">”); </w:t>
      </w:r>
      <w:r>
        <w:rPr>
          <w:rFonts w:ascii="Times New Roman" w:cs="Times New Roman" w:eastAsia="Times New Roman" w:hAnsi="Times New Roman"/>
          <w:sz w:val="20"/>
          <w:szCs w:val="20"/>
          <w:u w:val="single" w:color="auto"/>
          <w:color w:val="191919"/>
        </w:rPr>
        <w:t>provided</w:t>
      </w:r>
      <w:r>
        <w:rPr>
          <w:rFonts w:ascii="Times New Roman" w:cs="Times New Roman" w:eastAsia="Times New Roman" w:hAnsi="Times New Roman"/>
          <w:sz w:val="20"/>
          <w:szCs w:val="20"/>
          <w:color w:val="191919"/>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7" w:lineRule="exact"/>
        <w:rPr>
          <w:sz w:val="20"/>
          <w:szCs w:val="20"/>
          <w:color w:val="auto"/>
        </w:rPr>
      </w:pPr>
    </w:p>
    <w:p>
      <w:pPr>
        <w:jc w:val="both"/>
        <w:ind w:firstLine="624"/>
        <w:spacing w:after="0" w:line="257" w:lineRule="auto"/>
        <w:tabs>
          <w:tab w:leader="none" w:pos="1035"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Pledges</w:t>
      </w:r>
      <w:r>
        <w:rPr>
          <w:rFonts w:ascii="Times New Roman" w:cs="Times New Roman" w:eastAsia="Times New Roman" w:hAnsi="Times New Roman"/>
          <w:sz w:val="21"/>
          <w:szCs w:val="21"/>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pledge or assignment shall release such Lender from any of its obligations hereunder or substitute any such pledgee or assignee for such Lender as a party hereto.</w:t>
      </w:r>
    </w:p>
    <w:p>
      <w:pPr>
        <w:spacing w:after="0" w:line="167" w:lineRule="exact"/>
        <w:rPr>
          <w:rFonts w:ascii="Times New Roman" w:cs="Times New Roman" w:eastAsia="Times New Roman" w:hAnsi="Times New Roman"/>
          <w:sz w:val="21"/>
          <w:szCs w:val="21"/>
          <w:color w:val="auto"/>
        </w:rPr>
      </w:pPr>
    </w:p>
    <w:p>
      <w:pPr>
        <w:jc w:val="both"/>
        <w:ind w:firstLine="624"/>
        <w:spacing w:after="0" w:line="263" w:lineRule="auto"/>
        <w:tabs>
          <w:tab w:leader="none" w:pos="1115"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as L/C Issuer or Swing Line Lender after Assignment</w:t>
      </w:r>
      <w:r>
        <w:rPr>
          <w:rFonts w:ascii="Times New Roman" w:cs="Times New Roman" w:eastAsia="Times New Roman" w:hAnsi="Times New Roman"/>
          <w:sz w:val="21"/>
          <w:szCs w:val="21"/>
          <w:color w:val="auto"/>
        </w:rPr>
        <w:t>. Notwithstanding anything to the contrary contained herein, (i) if at any time Bank of America assigns all of its USD Commitment and Loans under the Committed (USD) Facility pursuant to subsection (b) above,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20" w:name="page221"/>
    <w:bookmarkEnd w:id="220"/>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Bank of America may, (A) upon 30 days’ notice to the Company and the Committed (USD) Lenders, resign as L/C Issuer and/or (B) upon 30 days’ notice to the Company, resign as Swing Line Lender, and (ii) if at any time any other Lender acting as an L/C Issuer assigns all of its USD Commitment and Loans under the Committed (USD) Facility pursuant to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above, such Lender may, upon 30 days’ notice to the Company and the Committed (USD) Lenders, resign as an L/C Issuer. In the event of any such resignation as an L/C Issuer or Swing Line Lender, the Company shall be entitled to appoint from among the Lenders a successor L/C Issuer or Swing Line Lender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 failure by the Company to appoint any such successor shall affect the resignation of Bank of America as L/C Issuer or Swing Line Lender, as the case may be, or any other Lender as an L/C Issuer. If Bank of America or any other Lender resigns as an L/C Issuer, it shall retain all the rights, powers, privileges and duties of an L/C Issuer hereunder with respect to all Letters of Credit and Bankers’ Acceptances outstanding and issued by it as of the effective date of its resignation as an L/C Issuer and all L/C Obligations with respect thereto (including the right to require the Lenders to make Base Rate Committed (USD) Loans or fund risk participations in Unreimbursed Amounts pursuant to </w:t>
      </w:r>
      <w:r>
        <w:rPr>
          <w:rFonts w:ascii="Times New Roman" w:cs="Times New Roman" w:eastAsia="Times New Roman" w:hAnsi="Times New Roman"/>
          <w:sz w:val="21"/>
          <w:szCs w:val="21"/>
          <w:u w:val="single" w:color="auto"/>
          <w:color w:val="auto"/>
        </w:rPr>
        <w:t>Section 2.03(d)</w:t>
      </w:r>
      <w:r>
        <w:rPr>
          <w:rFonts w:ascii="Times New Roman" w:cs="Times New Roman" w:eastAsia="Times New Roman" w:hAnsi="Times New Roman"/>
          <w:sz w:val="21"/>
          <w:szCs w:val="21"/>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(USD) Loans or fund risk participations in outstanding Swing Line Loans pursuant to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and bankers’ acceptances in substitution for the Letters of Credit and Bankers’ Acceptances, if any, outstanding at the time of such succession or make other arrangements satisfactory to Bank of America or such other retiring L/C Issuer, as the case may be, to effectively assume the obligations of Bank of America or such other retiring L/C Issuer, as the case may be, with respect to such Letters of Credit or Bankers’ Acceptances issued by it.</w:t>
      </w:r>
    </w:p>
    <w:p>
      <w:pPr>
        <w:spacing w:after="0" w:line="182"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10.07 Treatment of Certain Information; Confidentiality. </w:t>
      </w:r>
      <w:r>
        <w:rPr>
          <w:rFonts w:ascii="Times New Roman" w:cs="Times New Roman" w:eastAsia="Times New Roman" w:hAnsi="Times New Roman"/>
          <w:sz w:val="21"/>
          <w:szCs w:val="21"/>
          <w:color w:val="auto"/>
        </w:rPr>
        <w:t>Each of the Administrative Agent, the Lenders and the L/C Issuer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Times New Roman" w:cs="Times New Roman" w:eastAsia="Times New Roman" w:hAnsi="Times New Roman"/>
          <w:sz w:val="21"/>
          <w:szCs w:val="21"/>
          <w:u w:val="single" w:color="auto"/>
          <w:color w:val="auto"/>
        </w:rPr>
        <w:t>Section 2.15(c)</w:t>
      </w:r>
      <w:r>
        <w:rPr>
          <w:rFonts w:ascii="Times New Roman" w:cs="Times New Roman" w:eastAsia="Times New Roman" w:hAnsi="Times New Roman"/>
          <w:sz w:val="21"/>
          <w:szCs w:val="21"/>
          <w:color w:val="auto"/>
        </w:rPr>
        <w:t xml:space="preserve"> or (ii) any actual or prospective counterparty (or its Related Parties) to any swap, derivative or other transaction under which payments are to be made by reference to a Borrower and its obligations, this Agreement or payments hereunder, (g) on a confidential basis to (i) any rating agency 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6" w:right="239" w:bottom="1440" w:gutter="0" w:footer="0" w:header="0"/>
        </w:sectPr>
      </w:pPr>
    </w:p>
    <w:bookmarkStart w:id="221" w:name="page222"/>
    <w:bookmarkEnd w:id="221"/>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connection with rating the Company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Company or (i) to the extent such Information (x) becomes publicly available other than as a result of a breach of this Section, (y) becomes available to the Administrative Agent, any Lender, the L/C Issuer or any of their respective Affiliates on a nonconfidential basis from a source other than the Company or (z) is independently discovered or developed by a party hereto without utilizing any Information received from the Company or violating the terms of this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65"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For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xml:space="preserve">” means all information received from the Company or any Subsidiary relating to the Company or any Subsidiary or any of their respective businesses, other than any such information that is available to the Administrative Agent, any Lender or the L/C Issuer on a nonconfidential basis prior to disclosure by the Company or any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information received from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8"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0"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10.08 Right of Setoff. </w:t>
      </w:r>
      <w:r>
        <w:rPr>
          <w:rFonts w:ascii="Times New Roman" w:cs="Times New Roman" w:eastAsia="Times New Roman" w:hAnsi="Times New Roman"/>
          <w:sz w:val="21"/>
          <w:szCs w:val="21"/>
          <w:color w:val="auto"/>
        </w:rPr>
        <w:t>If an Event of Default shall have occurred and be continuing, each Lender, the L/C Issuer and each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against any and all of the obligations of such Borrower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Borrower may be contingent or unmatured or are owed to a branch or office of such Lender, the L/C Issuer or such Affiliate different from the branch or office holding such deposit or obligated on such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and, pending such payment, shall be segregated by such Defaulting Lender from its other funds and deemed held in trust for the benefit of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22" w:name="page223"/>
    <w:bookmarkEnd w:id="222"/>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w:t>
      </w:r>
    </w:p>
    <w:p>
      <w:pPr>
        <w:spacing w:after="0" w:line="172"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10.09 Interest Rate Limitation. </w:t>
      </w:r>
      <w:r>
        <w:rPr>
          <w:rFonts w:ascii="Times New Roman" w:cs="Times New Roman" w:eastAsia="Times New Roman" w:hAnsi="Times New Roman"/>
          <w:sz w:val="21"/>
          <w:szCs w:val="21"/>
          <w:color w:val="auto"/>
        </w:rPr>
        <w:t>Notwithstanding anything to the contrary contained in any Loan Document, the interest paid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agreed to be paid under the Loan Documents shall not exceed the maximum rate of non-usurious interest permitted by applicable Law (the “</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1"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10.10 Counterparts; Integration; Effectiveness. </w:t>
      </w:r>
      <w:r>
        <w:rPr>
          <w:rFonts w:ascii="Times New Roman" w:cs="Times New Roman" w:eastAsia="Times New Roman" w:hAnsi="Times New Roman"/>
          <w:sz w:val="21"/>
          <w:szCs w:val="21"/>
          <w:color w:val="auto"/>
        </w:rPr>
        <w:t>This Agreement and the other Loan Documents may be executed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and any other Loan Document</w:t>
      </w:r>
      <w:r>
        <w:rPr>
          <w:rFonts w:ascii="Times New Roman" w:cs="Times New Roman" w:eastAsia="Times New Roman" w:hAnsi="Times New Roman"/>
          <w:sz w:val="18"/>
          <w:szCs w:val="18"/>
          <w:color w:val="auto"/>
        </w:rPr>
        <w:t>, or any certificate delivered thereunder,</w:t>
      </w:r>
      <w:r>
        <w:rPr>
          <w:rFonts w:ascii="Times New Roman" w:cs="Times New Roman" w:eastAsia="Times New Roman" w:hAnsi="Times New Roman"/>
          <w:sz w:val="21"/>
          <w:szCs w:val="21"/>
          <w:color w:val="auto"/>
        </w:rPr>
        <w:t xml:space="preserve">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80"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10.11 Survival of Representations and Warranties. </w:t>
      </w:r>
      <w:r>
        <w:rPr>
          <w:rFonts w:ascii="Times New Roman" w:cs="Times New Roman" w:eastAsia="Times New Roman" w:hAnsi="Times New Roman"/>
          <w:sz w:val="21"/>
          <w:szCs w:val="21"/>
          <w:color w:val="auto"/>
        </w:rPr>
        <w:t>All representations and warranties made hereunder and in any other Loan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173</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23" w:name="page224"/>
    <w:bookmarkEnd w:id="223"/>
    <w:p>
      <w:pPr>
        <w:jc w:val="both"/>
        <w:spacing w:after="0" w:line="270" w:lineRule="auto"/>
        <w:rPr>
          <w:sz w:val="20"/>
          <w:szCs w:val="20"/>
          <w:color w:val="auto"/>
        </w:rPr>
      </w:pPr>
      <w:r>
        <w:rPr>
          <w:rFonts w:ascii="Times New Roman" w:cs="Times New Roman" w:eastAsia="Times New Roman" w:hAnsi="Times New Roman"/>
          <w:sz w:val="21"/>
          <w:szCs w:val="21"/>
          <w:color w:val="auto"/>
        </w:rPr>
        <w:t>in full force and effect as long as any Loan or any other Obligation hereunder shall remain unpaid or unsatisfied or any Letter of Credit or Bankers’ Acceptance shall remain outstanding.</w:t>
      </w:r>
    </w:p>
    <w:p>
      <w:pPr>
        <w:spacing w:after="0" w:line="150"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10.12 Severability. </w:t>
      </w:r>
      <w:r>
        <w:rPr>
          <w:rFonts w:ascii="Times New Roman" w:cs="Times New Roman" w:eastAsia="Times New Roman" w:hAnsi="Times New Roman"/>
          <w:sz w:val="21"/>
          <w:szCs w:val="21"/>
          <w:color w:val="auto"/>
        </w:rPr>
        <w:t>If any provision of this Agreement or the other Loan Documents is held to be illegal, invalid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1"/>
          <w:szCs w:val="21"/>
          <w:u w:val="single" w:color="auto"/>
          <w:color w:val="auto"/>
        </w:rPr>
        <w:t>Section 10.12</w:t>
      </w:r>
      <w:r>
        <w:rPr>
          <w:rFonts w:ascii="Times New Roman" w:cs="Times New Roman" w:eastAsia="Times New Roman" w:hAnsi="Times New Roman"/>
          <w:sz w:val="21"/>
          <w:szCs w:val="21"/>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74"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10.13 Replacement of Lenders. </w:t>
      </w:r>
      <w:r>
        <w:rPr>
          <w:rFonts w:ascii="Times New Roman" w:cs="Times New Roman" w:eastAsia="Times New Roman" w:hAnsi="Times New Roman"/>
          <w:sz w:val="21"/>
          <w:szCs w:val="21"/>
          <w:color w:val="auto"/>
        </w:rPr>
        <w:t>If the Company is entitled to replace a Lender pursuant to the provisions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or if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Lender is a Defaulting Lender, or if any Lender is a Non-Consenting Lender (as defined below),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all of its interests, rights (other than its existing rights to payments pursuant to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74" w:lineRule="exact"/>
        <w:rPr>
          <w:sz w:val="20"/>
          <w:szCs w:val="20"/>
          <w:color w:val="auto"/>
        </w:rPr>
      </w:pPr>
    </w:p>
    <w:p>
      <w:pPr>
        <w:ind w:left="1020" w:hanging="396"/>
        <w:spacing w:after="0"/>
        <w:tabs>
          <w:tab w:leader="none" w:pos="102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have paid to the Administrative Agent the assignment fee specified in </w:t>
      </w:r>
      <w:r>
        <w:rPr>
          <w:rFonts w:ascii="Times New Roman" w:cs="Times New Roman" w:eastAsia="Times New Roman" w:hAnsi="Times New Roman"/>
          <w:sz w:val="21"/>
          <w:szCs w:val="21"/>
          <w:u w:val="single" w:color="auto"/>
          <w:color w:val="auto"/>
        </w:rPr>
        <w:t>Section 10.06(b)</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jc w:val="both"/>
        <w:ind w:firstLine="624"/>
        <w:spacing w:after="0" w:line="257" w:lineRule="auto"/>
        <w:tabs>
          <w:tab w:leader="none" w:pos="1111"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from the assignee (to the extent of such outstanding principal and accrued interest and fees) or the Company (in the case of all other amounts);</w:t>
      </w:r>
    </w:p>
    <w:p>
      <w:pPr>
        <w:spacing w:after="0" w:line="167" w:lineRule="exact"/>
        <w:rPr>
          <w:rFonts w:ascii="Times New Roman" w:cs="Times New Roman" w:eastAsia="Times New Roman" w:hAnsi="Times New Roman"/>
          <w:sz w:val="21"/>
          <w:szCs w:val="21"/>
          <w:color w:val="auto"/>
        </w:rPr>
      </w:pPr>
    </w:p>
    <w:p>
      <w:pPr>
        <w:ind w:firstLine="624"/>
        <w:spacing w:after="0" w:line="283" w:lineRule="auto"/>
        <w:tabs>
          <w:tab w:leader="none" w:pos="106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such assignment resulting from a claim for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payments required to be made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such assignment will result in a reduction in such compensation or payments thereafter;</w:t>
      </w:r>
    </w:p>
    <w:p>
      <w:pPr>
        <w:spacing w:after="0" w:line="141" w:lineRule="exact"/>
        <w:rPr>
          <w:rFonts w:ascii="Times New Roman" w:cs="Times New Roman" w:eastAsia="Times New Roman" w:hAnsi="Times New Roman"/>
          <w:sz w:val="21"/>
          <w:szCs w:val="21"/>
          <w:color w:val="auto"/>
        </w:rPr>
      </w:pPr>
    </w:p>
    <w:p>
      <w:pPr>
        <w:ind w:firstLine="624"/>
        <w:spacing w:after="0" w:line="283" w:lineRule="auto"/>
        <w:tabs>
          <w:tab w:leader="none" w:pos="1033"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such assignment by a Non-Consenting Lender, the assignee must have approved in writing the substance of the amendment, waiver or consent which caused the assignor to be a Non-Consenting Lender; and</w:t>
      </w:r>
    </w:p>
    <w:p>
      <w:pPr>
        <w:spacing w:after="0" w:line="141" w:lineRule="exact"/>
        <w:rPr>
          <w:rFonts w:ascii="Times New Roman" w:cs="Times New Roman" w:eastAsia="Times New Roman" w:hAnsi="Times New Roman"/>
          <w:sz w:val="21"/>
          <w:szCs w:val="21"/>
          <w:color w:val="auto"/>
        </w:rPr>
      </w:pPr>
    </w:p>
    <w:p>
      <w:pPr>
        <w:ind w:left="1020" w:hanging="396"/>
        <w:spacing w:after="0"/>
        <w:tabs>
          <w:tab w:leader="none" w:pos="102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assignment does not conflict with applicable Laws.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24" w:name="page225"/>
    <w:bookmarkEnd w:id="224"/>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54"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 xml:space="preserve">For the purposes of this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Non-Consenting Lender</w:t>
      </w:r>
      <w:r>
        <w:rPr>
          <w:rFonts w:ascii="Times New Roman" w:cs="Times New Roman" w:eastAsia="Times New Roman" w:hAnsi="Times New Roman"/>
          <w:sz w:val="21"/>
          <w:szCs w:val="21"/>
          <w:color w:val="auto"/>
        </w:rPr>
        <w:t xml:space="preserve">” means (a) any Lender that does not approve any consent, waiver or amendment that (i) requires the approval of all Lenders or all affected Lenders in accordance with the terms of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and (ii) has been approved by the Required Lenders, (b) any Committed (USD) Lender that does not approve any consent, waiver or amendment that (i) requires the approval of all Committed (USD) Lenders or all affected Committed (USD) Lenders in accordance with the terms of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and (ii) has been approved by the Required (USD) Lenders, (c) any Committed (MC) Lender that does not approve any consent, waiver or amendment that (i) requires the approval of all Committed (MC) Lenders or all affected Committed (MC) Lenders in accordance with the terms of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and (ii) has been approved by the Required (MC) Lenders or (d) any Term Loan Lender that does not approve any consent, waiver or amendment that (i) requires the approval of all Term Loan Lenders or all affected Term Loan Lenders in accordance with the terms of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and (ii) has been approved by the Term Loan Lenders.</w:t>
      </w:r>
    </w:p>
    <w:p>
      <w:pPr>
        <w:spacing w:after="0" w:line="179"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 xml:space="preserve">Each party hereto agrees that (a) an assignment required pursuant to this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xml:space="preserve"> may be effected pursuant to an Assignment and Assumption executed by the Borrowers, the Administrative Agent and the assignee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any such documents shall be without recourse to or warranty by the parties thereto.</w:t>
      </w:r>
    </w:p>
    <w:p>
      <w:pPr>
        <w:spacing w:after="0" w:line="176"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21"/>
          <w:szCs w:val="21"/>
          <w:u w:val="single" w:color="auto"/>
          <w:color w:val="auto"/>
        </w:rPr>
        <w:t>Section 9.06</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10.14</w:t>
      </w:r>
      <w:r>
        <w:rPr>
          <w:sz w:val="20"/>
          <w:szCs w:val="20"/>
          <w:color w:val="auto"/>
        </w:rPr>
        <w:tab/>
      </w:r>
      <w:r>
        <w:rPr>
          <w:rFonts w:ascii="Times New Roman" w:cs="Times New Roman" w:eastAsia="Times New Roman" w:hAnsi="Times New Roman"/>
          <w:sz w:val="20"/>
          <w:szCs w:val="20"/>
          <w:b w:val="1"/>
          <w:bCs w:val="1"/>
          <w:color w:val="auto"/>
        </w:rPr>
        <w:t>Governing Law; Jurisdiction; Etc.</w:t>
      </w:r>
    </w:p>
    <w:p>
      <w:pPr>
        <w:spacing w:after="0" w:line="228" w:lineRule="exact"/>
        <w:rPr>
          <w:sz w:val="20"/>
          <w:szCs w:val="20"/>
          <w:color w:val="auto"/>
        </w:rPr>
      </w:pPr>
    </w:p>
    <w:p>
      <w:pPr>
        <w:jc w:val="both"/>
        <w:ind w:firstLine="624"/>
        <w:spacing w:after="0" w:line="263" w:lineRule="auto"/>
        <w:tabs>
          <w:tab w:leader="none" w:pos="1022"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 OF THE STATE OF NEW YORK, WITHOUT REGARD TO CONFLICTS OF LAW THAT WOULD REQUIRE THE APPLICATION OF THE LAWS OF ANOTHER JURISDICTION.</w:t>
      </w:r>
    </w:p>
    <w:p>
      <w:pPr>
        <w:spacing w:after="0" w:line="162" w:lineRule="exact"/>
        <w:rPr>
          <w:rFonts w:ascii="Times New Roman" w:cs="Times New Roman" w:eastAsia="Times New Roman" w:hAnsi="Times New Roman"/>
          <w:sz w:val="21"/>
          <w:szCs w:val="21"/>
          <w:color w:val="auto"/>
        </w:rPr>
      </w:pPr>
    </w:p>
    <w:p>
      <w:pPr>
        <w:jc w:val="both"/>
        <w:ind w:firstLine="624"/>
        <w:spacing w:after="0" w:line="263" w:lineRule="auto"/>
        <w:tabs>
          <w:tab w:leader="none" w:pos="1059"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EACH PARTY HERETO IRREVOCABLY AND UNCONDITIONALLY SUBMITS, FOR ITSELF AND ITS PROPERTY, TO THE NONEXCLUSIVE JURISDICTION OF THE COURTS OF THE STATE OF NEW YORK SITTING IN NEW YORK COUNTY AND OF THE UNITED STATES DISTRICT COURT 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25" w:name="page226"/>
    <w:bookmarkEnd w:id="225"/>
    <w:p>
      <w:pPr>
        <w:jc w:val="both"/>
        <w:spacing w:after="0" w:line="260" w:lineRule="auto"/>
        <w:rPr>
          <w:sz w:val="20"/>
          <w:szCs w:val="20"/>
          <w:color w:val="auto"/>
        </w:rPr>
      </w:pPr>
      <w:r>
        <w:rPr>
          <w:rFonts w:ascii="Times New Roman" w:cs="Times New Roman" w:eastAsia="Times New Roman" w:hAnsi="Times New Roman"/>
          <w:sz w:val="20"/>
          <w:szCs w:val="20"/>
          <w:color w:val="auto"/>
        </w:rPr>
        <w:t>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ITS PROPERTIES IN THE COURTS OF ANY JURISDICTION.</w:t>
      </w:r>
    </w:p>
    <w:p>
      <w:pPr>
        <w:spacing w:after="0" w:line="166" w:lineRule="exact"/>
        <w:rPr>
          <w:sz w:val="20"/>
          <w:szCs w:val="20"/>
          <w:color w:val="auto"/>
        </w:rPr>
      </w:pPr>
    </w:p>
    <w:p>
      <w:pPr>
        <w:jc w:val="both"/>
        <w:ind w:firstLine="624"/>
        <w:spacing w:after="0" w:line="250" w:lineRule="auto"/>
        <w:tabs>
          <w:tab w:leader="none" w:pos="1177"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VENUE</w:t>
      </w:r>
      <w:r>
        <w:rPr>
          <w:rFonts w:ascii="Times New Roman" w:cs="Times New Roman" w:eastAsia="Times New Roman" w:hAnsi="Times New Roman"/>
          <w:sz w:val="21"/>
          <w:szCs w:val="21"/>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7" w:lineRule="exact"/>
        <w:rPr>
          <w:rFonts w:ascii="Times New Roman" w:cs="Times New Roman" w:eastAsia="Times New Roman" w:hAnsi="Times New Roman"/>
          <w:sz w:val="21"/>
          <w:szCs w:val="21"/>
          <w:color w:val="auto"/>
        </w:rPr>
      </w:pPr>
    </w:p>
    <w:p>
      <w:pPr>
        <w:jc w:val="both"/>
        <w:ind w:firstLine="624"/>
        <w:spacing w:after="0" w:line="263" w:lineRule="auto"/>
        <w:tabs>
          <w:tab w:leader="none" w:pos="1085"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 OF PROCESS</w:t>
      </w:r>
      <w:r>
        <w:rPr>
          <w:rFonts w:ascii="Times New Roman" w:cs="Times New Roman" w:eastAsia="Times New Roman" w:hAnsi="Times New Roman"/>
          <w:sz w:val="21"/>
          <w:szCs w:val="21"/>
          <w:color w:val="auto"/>
        </w:rPr>
        <w:t xml:space="preserve">. EACH PARTY HERETO IRREVOCABLY CONSENTS TO SERVICE OF PROCESS IN THE MANNER PROVIDED FOR NOTICES IN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NOTHING IN THIS AGREEMENT WILL AFFECT THE RIGHT OF ANY PARTY HERETO TO SERVE PROCESS IN ANY OTHER MANNER PERMITTED BY APPLICABLE LAW.</w:t>
      </w:r>
    </w:p>
    <w:p>
      <w:pPr>
        <w:spacing w:after="0" w:line="158"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10.15 Waiver of Jury Trial. </w:t>
      </w:r>
      <w:r>
        <w:rPr>
          <w:rFonts w:ascii="Times New Roman" w:cs="Times New Roman" w:eastAsia="Times New Roman" w:hAnsi="Times New Roman"/>
          <w:sz w:val="20"/>
          <w:szCs w:val="20"/>
          <w:color w:val="auto"/>
        </w:rPr>
        <w:t>EACH PARTY HERETO HEREBY IRREVOCABLY WAIVES, TO THE FULLEST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26" w:name="page227"/>
    <w:bookmarkEnd w:id="226"/>
    <w:p>
      <w:pPr>
        <w:jc w:val="both"/>
        <w:ind w:firstLine="6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10.16 No Advisory or Fiduciary Responsibility. </w:t>
      </w:r>
      <w:r>
        <w:rPr>
          <w:rFonts w:ascii="Times New Roman" w:cs="Times New Roman" w:eastAsia="Times New Roman" w:hAnsi="Times New Roman"/>
          <w:sz w:val="20"/>
          <w:szCs w:val="20"/>
          <w:color w:val="auto"/>
        </w:rPr>
        <w:t>In connection with all aspects of each transaction contemplated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in connection with any amendment, waiver or other modification hereof or of any other Loan Document), each Borrower acknowledges and agrees, and acknowledges its Affiliates’ understanding, that: (i) (A) the arranging and other services regarding this Agreement provided by the Administrative Agent, the Arrangers and the Lenders are arm’s-length commercial transactions between such Borrower and its Affiliates, on the one hand, and the Administrative Agent, the Arrangers and the Lenders,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any Arranger nor any Lender has any obligation to such Borrower or any of its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such Borrower and its Affiliates, and neither the Administrative Agent, any Arranger nor any Lender has any obligation to disclose any of such interests to such Borrower or its Affiliates. To the fullest extent permitted by law, each of the Borrowers hereby waives and releases any claims that it may have against the Administrative Agent, any Arranger or any Lender with respect to any breach or alleged breach of agency or fiduciary duty in connection with any aspect of any transaction contemplated hereby.</w:t>
      </w:r>
    </w:p>
    <w:p>
      <w:pPr>
        <w:spacing w:after="0" w:line="174"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10.17 Electronic Execution of Assignments and Certain Other Documents. </w:t>
      </w:r>
      <w:r>
        <w:rPr>
          <w:rFonts w:ascii="Times New Roman" w:cs="Times New Roman" w:eastAsia="Times New Roman" w:hAnsi="Times New Roman"/>
          <w:sz w:val="21"/>
          <w:szCs w:val="21"/>
          <w:color w:val="auto"/>
        </w:rPr>
        <w:t>The words “delivery,” “execute,” “execution,”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without limiting the foregoing, upon the request of the Administrative Agent, any electronic signature shall be promptly followed by such manually executed counterpart.</w:t>
      </w:r>
    </w:p>
    <w:p>
      <w:pPr>
        <w:spacing w:after="0" w:line="175"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10.18 USA PATRIOT Act Notice. </w:t>
      </w:r>
      <w:r>
        <w:rPr>
          <w:rFonts w:ascii="Times New Roman" w:cs="Times New Roman" w:eastAsia="Times New Roman" w:hAnsi="Times New Roman"/>
          <w:sz w:val="21"/>
          <w:szCs w:val="21"/>
          <w:color w:val="auto"/>
        </w:rPr>
        <w:t>Each Lender that is subject to the Act (as hereinafter defined) and the Administrative Agent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itself and not on 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it is required to obtain, verify and record information that identifies the Borrowers, which information includes the name and address of each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1" w:right="239" w:bottom="1440" w:gutter="0" w:footer="0" w:header="0"/>
        </w:sectPr>
      </w:pPr>
    </w:p>
    <w:bookmarkStart w:id="227" w:name="page228"/>
    <w:bookmarkEnd w:id="227"/>
    <w:p>
      <w:pPr>
        <w:jc w:val="both"/>
        <w:spacing w:after="0" w:line="252" w:lineRule="auto"/>
        <w:rPr>
          <w:sz w:val="20"/>
          <w:szCs w:val="20"/>
          <w:color w:val="auto"/>
        </w:rPr>
      </w:pPr>
      <w:r>
        <w:rPr>
          <w:rFonts w:ascii="Times New Roman" w:cs="Times New Roman" w:eastAsia="Times New Roman" w:hAnsi="Times New Roman"/>
          <w:sz w:val="21"/>
          <w:szCs w:val="21"/>
          <w:color w:val="auto"/>
        </w:rPr>
        <w:t>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rules and regulations and Anti-Money Laundering Laws, including the Act.</w:t>
      </w:r>
    </w:p>
    <w:p>
      <w:pPr>
        <w:spacing w:after="0" w:line="170"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10.19 Judgment Currency. </w:t>
      </w:r>
      <w:r>
        <w:rPr>
          <w:rFonts w:ascii="Times New Roman" w:cs="Times New Roman" w:eastAsia="Times New Roman" w:hAnsi="Times New Roman"/>
          <w:sz w:val="21"/>
          <w:szCs w:val="21"/>
          <w:color w:val="auto"/>
        </w:rPr>
        <w:t>If, for the purposes of obtaining judgment in any court, it is necessary to convert a sum due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any Lender or any L/C Issuer hereunder or under the other Loan Documents shall, notwithstanding any judgment in a currency (the “</w:t>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 other than that in which such sum is denominated in accordance with the applicable provisions of this Agreement (the “</w:t>
      </w:r>
      <w:r>
        <w:rPr>
          <w:rFonts w:ascii="Times New Roman" w:cs="Times New Roman" w:eastAsia="Times New Roman" w:hAnsi="Times New Roman"/>
          <w:sz w:val="21"/>
          <w:szCs w:val="21"/>
          <w:u w:val="single" w:color="auto"/>
          <w:color w:val="auto"/>
        </w:rPr>
        <w:t>Agreement Currency</w:t>
      </w:r>
      <w:r>
        <w:rPr>
          <w:rFonts w:ascii="Times New Roman" w:cs="Times New Roman" w:eastAsia="Times New Roman" w:hAnsi="Times New Roman"/>
          <w:sz w:val="21"/>
          <w:szCs w:val="21"/>
          <w:color w:val="auto"/>
        </w:rPr>
        <w:t>”), be discharged only to the extent that on the Business Day following receipt by the Administrative Agent, such Lender or such L/C Issuer, as the case may be, of any sum adjudged to be so due in the Judgment Currency, the Administrative Agent, such Lender or such L/C Issuer, as the case may be, may in accordance with normal banking procedures purchase the Agreement Currency with the Judgment Currency. If the amount of the Agreement Currency so purchased is less than the sum originally due to the Administrative Agent, any Lender or any L/C Issuer from any Borrower in the Agreement Currency, such Borrower agrees, as a separate obligation and notwithstanding any such judgment, to indemnify the Administrative Agent, such Lender or such L/C Issuer, as the case may be, against such loss. If the amount of the Agreement Currency so purchased is greater than the sum originally due to the Administrative Agent, any Lender or any L/C Issuer in such currency, the Administrative Agent, such Lender or such L/C Issuer, as the case may be, agrees to return the amount of any excess to such Borrower (or to any other Person who may be entitled thereto under applicable law).</w:t>
      </w:r>
    </w:p>
    <w:p>
      <w:pPr>
        <w:spacing w:after="0" w:line="18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10.20 Designation as Senior Debt. </w:t>
      </w:r>
      <w:r>
        <w:rPr>
          <w:rFonts w:ascii="Times New Roman" w:cs="Times New Roman" w:eastAsia="Times New Roman" w:hAnsi="Times New Roman"/>
          <w:sz w:val="21"/>
          <w:szCs w:val="21"/>
          <w:color w:val="auto"/>
        </w:rPr>
        <w:t>All Obligations shall be “Designated Senior Indebtedness” (or any similar term)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purposes of and as defined in any documentation evidencing any other Indebtedness of the Company or any of its Restricted Subsidiaries in which such concept is applicable.</w:t>
      </w:r>
    </w:p>
    <w:p>
      <w:pPr>
        <w:spacing w:after="0" w:line="156"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10.21 Keepwell. </w:t>
      </w:r>
      <w:r>
        <w:rPr>
          <w:rFonts w:ascii="Times New Roman" w:cs="Times New Roman" w:eastAsia="Times New Roman" w:hAnsi="Times New Roman"/>
          <w:sz w:val="21"/>
          <w:szCs w:val="21"/>
          <w:color w:val="auto"/>
        </w:rPr>
        <w:t>Each Borrower that is a Qualified ECP Guarantor at the time the joint and several liability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Subsidiary Guaranty or the grant of the security interest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(including the Subsidiary Guaranty) to which it is a party in respect of such Swap Obligation (but, in each case, only up to the maximum amount of such liability that can be hereby incurred without rendering such Borrower’s obligations and undertakings under this </w:t>
      </w:r>
      <w:r>
        <w:rPr>
          <w:rFonts w:ascii="Times New Roman" w:cs="Times New Roman" w:eastAsia="Times New Roman" w:hAnsi="Times New Roman"/>
          <w:sz w:val="21"/>
          <w:szCs w:val="21"/>
          <w:u w:val="single" w:color="auto"/>
          <w:color w:val="auto"/>
        </w:rPr>
        <w:t>Section 10.21</w:t>
      </w:r>
      <w:r>
        <w:rPr>
          <w:rFonts w:ascii="Times New Roman" w:cs="Times New Roman" w:eastAsia="Times New Roman" w:hAnsi="Times New Roman"/>
          <w:sz w:val="21"/>
          <w:szCs w:val="21"/>
          <w:color w:val="auto"/>
        </w:rPr>
        <w:t xml:space="preserve"> voidable under applicable law relating to fraudulent conveyance or fraudulent transfer, and not for any greater amount). The obligations and undertakings of each Borrower that is a Qualified ECP Guarantor under this </w:t>
      </w:r>
      <w:r>
        <w:rPr>
          <w:rFonts w:ascii="Times New Roman" w:cs="Times New Roman" w:eastAsia="Times New Roman" w:hAnsi="Times New Roman"/>
          <w:sz w:val="21"/>
          <w:szCs w:val="21"/>
          <w:u w:val="single" w:color="auto"/>
          <w:color w:val="auto"/>
        </w:rPr>
        <w:t>Section 10.21</w:t>
      </w:r>
      <w:r>
        <w:rPr>
          <w:rFonts w:ascii="Times New Roman" w:cs="Times New Roman" w:eastAsia="Times New Roman" w:hAnsi="Times New Roman"/>
          <w:sz w:val="21"/>
          <w:szCs w:val="21"/>
          <w:color w:val="auto"/>
        </w:rPr>
        <w:t xml:space="preserve"> shall remain in full force and effect until the Obligations have been indefeasibly paid and performed in full and all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28" w:name="page229"/>
    <w:bookmarkEnd w:id="228"/>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Commitments terminated. Each Borrower that is a Qualified ECP Guarantor intends this </w:t>
      </w:r>
      <w:r>
        <w:rPr>
          <w:rFonts w:ascii="Times New Roman" w:cs="Times New Roman" w:eastAsia="Times New Roman" w:hAnsi="Times New Roman"/>
          <w:sz w:val="21"/>
          <w:szCs w:val="21"/>
          <w:u w:val="single" w:color="auto"/>
          <w:color w:val="auto"/>
        </w:rPr>
        <w:t>Section 10.21</w:t>
      </w:r>
      <w:r>
        <w:rPr>
          <w:rFonts w:ascii="Times New Roman" w:cs="Times New Roman" w:eastAsia="Times New Roman" w:hAnsi="Times New Roman"/>
          <w:sz w:val="21"/>
          <w:szCs w:val="21"/>
          <w:color w:val="auto"/>
        </w:rPr>
        <w:t xml:space="preserve"> to constitute, and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10.21</w:t>
      </w:r>
      <w:r>
        <w:rPr>
          <w:rFonts w:ascii="Times New Roman" w:cs="Times New Roman" w:eastAsia="Times New Roman" w:hAnsi="Times New Roman"/>
          <w:sz w:val="21"/>
          <w:szCs w:val="21"/>
          <w:color w:val="auto"/>
        </w:rPr>
        <w:t xml:space="preserve"> shall be deemed to constitute, a guarantee of the obligations of, and a “keepwell, support, or other agreement” for the benefit of, each Specified Loan Party for all purposes of the Commodity Exchange Act.</w:t>
      </w:r>
    </w:p>
    <w:p>
      <w:pPr>
        <w:spacing w:after="0" w:line="163"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10.22 Acknowledgement and Consent to Bail-In of EEA Financial Institutions. </w:t>
      </w:r>
      <w:r>
        <w:rPr>
          <w:rFonts w:ascii="Times New Roman" w:cs="Times New Roman" w:eastAsia="Times New Roman" w:hAnsi="Times New Roman"/>
          <w:sz w:val="21"/>
          <w:szCs w:val="21"/>
          <w:color w:val="auto"/>
        </w:rPr>
        <w:t>Notwithstanding anything to the contrary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Loan Document or in any other agreement, arrangement or understanding among any such parties, each party hereto acknowledges that any liability of any Lender or L/C 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3" w:lineRule="exact"/>
        <w:rPr>
          <w:sz w:val="20"/>
          <w:szCs w:val="20"/>
          <w:color w:val="auto"/>
        </w:rPr>
      </w:pPr>
    </w:p>
    <w:p>
      <w:pPr>
        <w:ind w:firstLine="624"/>
        <w:spacing w:after="0" w:line="270" w:lineRule="auto"/>
        <w:tabs>
          <w:tab w:leader="none" w:pos="1108"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an EEA Resolution Authority to any such liabilities arising hereunder which may be payable to it by any Lender or L/C Issuer that is an EEA Financial Institution; and</w:t>
      </w:r>
    </w:p>
    <w:p>
      <w:pPr>
        <w:spacing w:after="0" w:line="154" w:lineRule="exact"/>
        <w:rPr>
          <w:rFonts w:ascii="Times New Roman" w:cs="Times New Roman" w:eastAsia="Times New Roman" w:hAnsi="Times New Roman"/>
          <w:sz w:val="21"/>
          <w:szCs w:val="21"/>
          <w:color w:val="auto"/>
        </w:rPr>
      </w:pPr>
    </w:p>
    <w:p>
      <w:pPr>
        <w:ind w:left="1080" w:hanging="456"/>
        <w:spacing w:after="0"/>
        <w:tabs>
          <w:tab w:leader="none" w:pos="1080"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210" w:lineRule="exact"/>
        <w:rPr>
          <w:rFonts w:ascii="Times New Roman" w:cs="Times New Roman" w:eastAsia="Times New Roman" w:hAnsi="Times New Roman"/>
          <w:sz w:val="21"/>
          <w:szCs w:val="21"/>
          <w:color w:val="auto"/>
        </w:rPr>
      </w:pPr>
    </w:p>
    <w:p>
      <w:pPr>
        <w:ind w:left="1640" w:hanging="396"/>
        <w:spacing w:after="0"/>
        <w:tabs>
          <w:tab w:leader="none" w:pos="1640"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210" w:lineRule="exact"/>
        <w:rPr>
          <w:rFonts w:ascii="Times New Roman" w:cs="Times New Roman" w:eastAsia="Times New Roman" w:hAnsi="Times New Roman"/>
          <w:sz w:val="21"/>
          <w:szCs w:val="21"/>
          <w:color w:val="auto"/>
        </w:rPr>
      </w:pPr>
    </w:p>
    <w:p>
      <w:pPr>
        <w:jc w:val="both"/>
        <w:ind w:left="620" w:firstLine="624"/>
        <w:spacing w:after="0" w:line="252" w:lineRule="auto"/>
        <w:tabs>
          <w:tab w:leader="none" w:pos="1699"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4" w:lineRule="exact"/>
        <w:rPr>
          <w:rFonts w:ascii="Times New Roman" w:cs="Times New Roman" w:eastAsia="Times New Roman" w:hAnsi="Times New Roman"/>
          <w:sz w:val="21"/>
          <w:szCs w:val="21"/>
          <w:color w:val="auto"/>
        </w:rPr>
      </w:pPr>
    </w:p>
    <w:p>
      <w:pPr>
        <w:ind w:left="620" w:firstLine="624"/>
        <w:spacing w:after="0" w:line="270" w:lineRule="auto"/>
        <w:tabs>
          <w:tab w:leader="none" w:pos="1778"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any EEA Resolution Authority.</w:t>
      </w:r>
    </w:p>
    <w:p>
      <w:pPr>
        <w:spacing w:after="0" w:line="150" w:lineRule="exact"/>
        <w:rPr>
          <w:sz w:val="20"/>
          <w:szCs w:val="20"/>
          <w:color w:val="auto"/>
        </w:rPr>
      </w:pPr>
    </w:p>
    <w:p>
      <w:pPr>
        <w:jc w:val="both"/>
        <w:ind w:left="180" w:firstLine="62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10.23 Acknowledgement </w:t>
      </w:r>
      <w:r>
        <w:rPr>
          <w:rFonts w:ascii="Times New Roman" w:cs="Times New Roman" w:eastAsia="Times New Roman" w:hAnsi="Times New Roman"/>
          <w:sz w:val="18"/>
          <w:szCs w:val="18"/>
          <w:b w:val="1"/>
          <w:bCs w:val="1"/>
          <w:color w:val="auto"/>
        </w:rPr>
        <w:t>Regarding Any Supported QFCs.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that the Loan Documents provide support, through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guarantee or otherwise, for any Swap Contract or any other agreement or instrument that is a QFC (such support, “</w:t>
      </w:r>
      <w:r>
        <w:rPr>
          <w:rFonts w:ascii="Times New Roman" w:cs="Times New Roman" w:eastAsia="Times New Roman" w:hAnsi="Times New Roman"/>
          <w:sz w:val="21"/>
          <w:szCs w:val="21"/>
          <w:u w:val="single" w:color="auto"/>
          <w:color w:val="auto"/>
        </w:rPr>
        <w:t>QFC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u w:val="single" w:color="auto"/>
          <w:color w:val="auto"/>
        </w:rPr>
        <w:t>U.S. Special Resolution Regimes</w:t>
      </w:r>
      <w:r>
        <w:rPr>
          <w:rFonts w:ascii="Times New Roman" w:cs="Times New Roman" w:eastAsia="Times New Roman" w:hAnsi="Times New Roman"/>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5" w:lineRule="exact"/>
        <w:rPr>
          <w:sz w:val="20"/>
          <w:szCs w:val="20"/>
          <w:color w:val="auto"/>
        </w:rPr>
      </w:pPr>
    </w:p>
    <w:p>
      <w:pPr>
        <w:jc w:val="both"/>
        <w:ind w:left="800" w:firstLine="625"/>
        <w:spacing w:after="0" w:line="257" w:lineRule="auto"/>
        <w:tabs>
          <w:tab w:leader="none" w:pos="1899"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29" w:name="page230"/>
    <w:bookmarkEnd w:id="229"/>
    <w:p>
      <w:pPr>
        <w:jc w:val="both"/>
        <w:ind w:left="800"/>
        <w:spacing w:after="0" w:line="246" w:lineRule="auto"/>
        <w:rPr>
          <w:sz w:val="20"/>
          <w:szCs w:val="20"/>
          <w:color w:val="auto"/>
        </w:rPr>
      </w:pPr>
      <w:r>
        <w:rPr>
          <w:rFonts w:ascii="Times New Roman" w:cs="Times New Roman" w:eastAsia="Times New Roman" w:hAnsi="Times New Roman"/>
          <w:sz w:val="21"/>
          <w:szCs w:val="21"/>
          <w:color w:val="auto"/>
        </w:rPr>
        <w:t>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6" w:lineRule="exact"/>
        <w:rPr>
          <w:sz w:val="20"/>
          <w:szCs w:val="20"/>
          <w:color w:val="auto"/>
        </w:rPr>
      </w:pPr>
    </w:p>
    <w:p>
      <w:pPr>
        <w:ind w:left="1420"/>
        <w:spacing w:after="0"/>
        <w:tabs>
          <w:tab w:leader="none" w:pos="182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10.23</w:t>
      </w:r>
      <w:r>
        <w:rPr>
          <w:rFonts w:ascii="Times New Roman" w:cs="Times New Roman" w:eastAsia="Times New Roman" w:hAnsi="Times New Roman"/>
          <w:sz w:val="20"/>
          <w:szCs w:val="20"/>
          <w:color w:val="auto"/>
        </w:rPr>
        <w:t>, the following terms have the following meanings:</w:t>
      </w:r>
    </w:p>
    <w:p>
      <w:pPr>
        <w:spacing w:after="0" w:line="224" w:lineRule="exact"/>
        <w:rPr>
          <w:sz w:val="20"/>
          <w:szCs w:val="20"/>
          <w:color w:val="auto"/>
        </w:rPr>
      </w:pPr>
    </w:p>
    <w:p>
      <w:pPr>
        <w:jc w:val="both"/>
        <w:ind w:left="1240"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 1841(k)) of such party.</w:t>
      </w:r>
    </w:p>
    <w:p>
      <w:pPr>
        <w:spacing w:after="0" w:line="193" w:lineRule="exact"/>
        <w:rPr>
          <w:sz w:val="20"/>
          <w:szCs w:val="20"/>
          <w:color w:val="auto"/>
        </w:rPr>
      </w:pPr>
    </w:p>
    <w:p>
      <w:pPr>
        <w:jc w:val="both"/>
        <w:ind w:left="1240" w:firstLine="62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13" w:lineRule="exact"/>
        <w:rPr>
          <w:sz w:val="20"/>
          <w:szCs w:val="20"/>
          <w:color w:val="auto"/>
        </w:rPr>
      </w:pPr>
    </w:p>
    <w:p>
      <w:pPr>
        <w:jc w:val="both"/>
        <w:ind w:left="1240" w:firstLine="620"/>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 §§ 252.81, 47.2 or 382.1, as applicable.</w:t>
      </w:r>
    </w:p>
    <w:p>
      <w:pPr>
        <w:spacing w:after="0" w:line="189" w:lineRule="exact"/>
        <w:rPr>
          <w:sz w:val="20"/>
          <w:szCs w:val="20"/>
          <w:color w:val="auto"/>
        </w:rPr>
      </w:pPr>
    </w:p>
    <w:p>
      <w:pPr>
        <w:jc w:val="both"/>
        <w:ind w:left="1240" w:firstLine="620"/>
        <w:spacing w:after="0" w:line="274"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12 U.S.C. 5390(c)(8)(D).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pages follow.]</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30" w:name="page231"/>
    <w:bookmarkEnd w:id="230"/>
    <w:p>
      <w:pPr>
        <w:ind w:firstLine="620"/>
        <w:spacing w:after="0" w:line="270" w:lineRule="auto"/>
        <w:rPr>
          <w:sz w:val="20"/>
          <w:szCs w:val="20"/>
          <w:color w:val="auto"/>
        </w:rPr>
      </w:pPr>
      <w:r>
        <w:rPr>
          <w:rFonts w:ascii="Times New Roman" w:cs="Times New Roman" w:eastAsia="Times New Roman" w:hAnsi="Times New Roman"/>
          <w:sz w:val="21"/>
          <w:szCs w:val="21"/>
          <w:color w:val="auto"/>
        </w:rPr>
        <w:t>IN WITNESS WHEREOF, the parties hereto have caused this Fifth Amended and Restated Credit Agreement to be duly executed as of the date first above written.</w:t>
      </w:r>
    </w:p>
    <w:p>
      <w:pPr>
        <w:spacing w:after="0" w:line="2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u w:val="single" w:color="auto"/>
          <w:color w:val="auto"/>
        </w:rPr>
        <w:t>BORROWERS:</w:t>
      </w:r>
    </w:p>
    <w:p>
      <w:pPr>
        <w:spacing w:after="0" w:line="21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MASTEC, INC.</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MASTEC NORTH AMERICA, INC.</w:t>
      </w:r>
    </w:p>
    <w:p>
      <w:pPr>
        <w:spacing w:after="0" w:line="8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George Pita</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George Pita</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5" w:right="239" w:bottom="1440" w:gutter="0" w:footer="0" w:header="0"/>
        </w:sectPr>
      </w:pPr>
    </w:p>
    <w:bookmarkStart w:id="231" w:name="page232"/>
    <w:bookmarkEnd w:id="231"/>
    <w:p>
      <w:pPr>
        <w:jc w:val="center"/>
        <w:ind w:right="79"/>
        <w:spacing w:after="0"/>
        <w:rPr>
          <w:sz w:val="20"/>
          <w:szCs w:val="20"/>
          <w:color w:val="auto"/>
        </w:rPr>
      </w:pPr>
      <w:r>
        <w:rPr>
          <w:rFonts w:ascii="Times New Roman" w:cs="Times New Roman" w:eastAsia="Times New Roman" w:hAnsi="Times New Roman"/>
          <w:sz w:val="21"/>
          <w:szCs w:val="21"/>
          <w:b w:val="1"/>
          <w:bCs w:val="1"/>
          <w:u w:val="single" w:color="auto"/>
          <w:color w:val="auto"/>
        </w:rPr>
        <w:t>ADMINISTRATIVE AGENT:</w:t>
      </w:r>
    </w:p>
    <w:p>
      <w:pPr>
        <w:spacing w:after="0" w:line="3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 xml:space="preserve">BANK OF AMERICA, N.A., </w:t>
      </w:r>
      <w:r>
        <w:rPr>
          <w:rFonts w:ascii="Times New Roman" w:cs="Times New Roman" w:eastAsia="Times New Roman" w:hAnsi="Times New Roman"/>
          <w:sz w:val="21"/>
          <w:szCs w:val="21"/>
          <w:color w:val="auto"/>
        </w:rPr>
        <w:t>as</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Administrative Agent</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Felicia Brinson</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Felicia Brinson</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705" w:right="1440" w:bottom="1440" w:gutter="0" w:footer="0" w:header="0"/>
        </w:sectPr>
      </w:pPr>
    </w:p>
    <w:bookmarkStart w:id="232" w:name="page233"/>
    <w:bookmarkEnd w:id="232"/>
    <w:p>
      <w:pPr>
        <w:ind w:left="3720"/>
        <w:spacing w:after="0"/>
        <w:rPr>
          <w:sz w:val="20"/>
          <w:szCs w:val="20"/>
          <w:color w:val="auto"/>
        </w:rPr>
      </w:pPr>
      <w:r>
        <w:rPr>
          <w:rFonts w:ascii="Times New Roman" w:cs="Times New Roman" w:eastAsia="Times New Roman" w:hAnsi="Times New Roman"/>
          <w:sz w:val="21"/>
          <w:szCs w:val="21"/>
          <w:b w:val="1"/>
          <w:bCs w:val="1"/>
          <w:u w:val="single" w:color="auto"/>
          <w:color w:val="auto"/>
        </w:rPr>
        <w:t>LENDERS:</w:t>
      </w: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 xml:space="preserve">BANK OF AMERICA, N.A., </w:t>
      </w:r>
      <w:r>
        <w:rPr>
          <w:rFonts w:ascii="Times New Roman" w:cs="Times New Roman" w:eastAsia="Times New Roman" w:hAnsi="Times New Roman"/>
          <w:sz w:val="21"/>
          <w:szCs w:val="21"/>
          <w:color w:val="auto"/>
        </w:rPr>
        <w:t>as a Lender, L/C Issuer and Swing Line Lender</w:t>
      </w:r>
    </w:p>
    <w:p>
      <w:pPr>
        <w:spacing w:after="0" w:line="35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Julia Rocawich</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Julia Rocawich</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79"/>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179"/>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40"/>
          </w:cols>
          <w:pgMar w:left="240" w:top="705" w:right="1419" w:bottom="1440" w:gutter="0" w:footer="0" w:header="0"/>
        </w:sectPr>
      </w:pPr>
    </w:p>
    <w:bookmarkStart w:id="233" w:name="page234"/>
    <w:bookmarkEnd w:id="233"/>
    <w:p>
      <w:pPr>
        <w:ind w:left="3720"/>
        <w:spacing w:after="0"/>
        <w:rPr>
          <w:sz w:val="20"/>
          <w:szCs w:val="20"/>
          <w:color w:val="auto"/>
        </w:rPr>
      </w:pPr>
      <w:r>
        <w:rPr>
          <w:rFonts w:ascii="Times New Roman" w:cs="Times New Roman" w:eastAsia="Times New Roman" w:hAnsi="Times New Roman"/>
          <w:sz w:val="21"/>
          <w:szCs w:val="21"/>
          <w:b w:val="1"/>
          <w:bCs w:val="1"/>
          <w:color w:val="auto"/>
        </w:rPr>
        <w:t>SUNTRUST BANK</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 and Co-Syndication Agent</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Jonathan Hart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Jonathan Hart</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601" w:right="1440" w:bottom="1440" w:gutter="0" w:footer="0" w:header="0"/>
        </w:sectPr>
      </w:pPr>
    </w:p>
    <w:bookmarkStart w:id="234" w:name="page235"/>
    <w:bookmarkEnd w:id="234"/>
    <w:p>
      <w:pPr>
        <w:ind w:left="3720"/>
        <w:spacing w:after="0"/>
        <w:rPr>
          <w:sz w:val="20"/>
          <w:szCs w:val="20"/>
          <w:color w:val="auto"/>
        </w:rPr>
      </w:pPr>
      <w:r>
        <w:rPr>
          <w:rFonts w:ascii="Times New Roman" w:cs="Times New Roman" w:eastAsia="Times New Roman" w:hAnsi="Times New Roman"/>
          <w:sz w:val="21"/>
          <w:szCs w:val="21"/>
          <w:b w:val="1"/>
          <w:bCs w:val="1"/>
          <w:color w:val="auto"/>
        </w:rPr>
        <w:t>BANK OF MONTREAL</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 and Co-Syndication Agent</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Michael Gift</w:t>
      </w:r>
    </w:p>
    <w:p>
      <w:pPr>
        <w:spacing w:after="0" w:line="6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Michael Gift</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847" w:right="1440" w:bottom="1440" w:gutter="0" w:footer="0" w:header="0"/>
        </w:sectPr>
      </w:pPr>
    </w:p>
    <w:bookmarkStart w:id="235" w:name="page236"/>
    <w:bookmarkEnd w:id="235"/>
    <w:p>
      <w:pPr>
        <w:ind w:left="3720"/>
        <w:spacing w:after="0"/>
        <w:rPr>
          <w:sz w:val="20"/>
          <w:szCs w:val="20"/>
          <w:color w:val="auto"/>
        </w:rPr>
      </w:pPr>
      <w:r>
        <w:rPr>
          <w:rFonts w:ascii="Times New Roman" w:cs="Times New Roman" w:eastAsia="Times New Roman" w:hAnsi="Times New Roman"/>
          <w:sz w:val="21"/>
          <w:szCs w:val="21"/>
          <w:b w:val="1"/>
          <w:bCs w:val="1"/>
          <w:color w:val="auto"/>
        </w:rPr>
        <w:t>JPMORGAN CHASE BANK, N.A.</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 and Co-Syndication Agent</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Philip VanFossan</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Philip VanFossan</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847" w:right="1440" w:bottom="1440" w:gutter="0" w:footer="0" w:header="0"/>
        </w:sectPr>
      </w:pPr>
    </w:p>
    <w:bookmarkStart w:id="236" w:name="page237"/>
    <w:bookmarkEnd w:id="236"/>
    <w:p>
      <w:pPr>
        <w:ind w:left="3720"/>
        <w:spacing w:after="0" w:line="274" w:lineRule="auto"/>
        <w:rPr>
          <w:sz w:val="20"/>
          <w:szCs w:val="20"/>
          <w:color w:val="auto"/>
        </w:rPr>
      </w:pPr>
      <w:r>
        <w:rPr>
          <w:rFonts w:ascii="Times New Roman" w:cs="Times New Roman" w:eastAsia="Times New Roman" w:hAnsi="Times New Roman"/>
          <w:sz w:val="21"/>
          <w:szCs w:val="21"/>
          <w:b w:val="1"/>
          <w:bCs w:val="1"/>
          <w:color w:val="auto"/>
        </w:rPr>
        <w:t>WELLS FARGO BANK, NATIONAL ASSOCIATION</w:t>
      </w:r>
      <w:r>
        <w:rPr>
          <w:rFonts w:ascii="Times New Roman" w:cs="Times New Roman" w:eastAsia="Times New Roman" w:hAnsi="Times New Roman"/>
          <w:sz w:val="21"/>
          <w:szCs w:val="21"/>
          <w:color w:val="auto"/>
        </w:rPr>
        <w:t>, as a Lender and Co-Syndication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w:t>
      </w:r>
    </w:p>
    <w:p>
      <w:pPr>
        <w:spacing w:after="0" w:line="25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Mark B. Felker</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Mark B. Felker</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340"/>
          </w:cols>
          <w:pgMar w:left="240" w:top="847" w:right="319" w:bottom="1440" w:gutter="0" w:footer="0" w:header="0"/>
        </w:sectPr>
      </w:pPr>
    </w:p>
    <w:bookmarkStart w:id="237" w:name="page238"/>
    <w:bookmarkEnd w:id="237"/>
    <w:p>
      <w:pPr>
        <w:ind w:left="3720"/>
        <w:spacing w:after="0"/>
        <w:rPr>
          <w:sz w:val="20"/>
          <w:szCs w:val="20"/>
          <w:color w:val="auto"/>
        </w:rPr>
      </w:pPr>
      <w:r>
        <w:rPr>
          <w:rFonts w:ascii="Times New Roman" w:cs="Times New Roman" w:eastAsia="Times New Roman" w:hAnsi="Times New Roman"/>
          <w:sz w:val="20"/>
          <w:szCs w:val="20"/>
          <w:b w:val="1"/>
          <w:bCs w:val="1"/>
          <w:color w:val="auto"/>
        </w:rPr>
        <w:t>CAPITAL ONE, NATIONAL ASSOCIATION</w:t>
      </w:r>
      <w:r>
        <w:rPr>
          <w:rFonts w:ascii="Times New Roman" w:cs="Times New Roman" w:eastAsia="Times New Roman" w:hAnsi="Times New Roman"/>
          <w:sz w:val="20"/>
          <w:szCs w:val="20"/>
          <w:color w:val="auto"/>
        </w:rPr>
        <w:t>,</w:t>
      </w:r>
    </w:p>
    <w:p>
      <w:pPr>
        <w:spacing w:after="0" w:line="4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Thomas Lawler</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Thomas Lawler</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847" w:right="1440" w:bottom="1440" w:gutter="0" w:footer="0" w:header="0"/>
        </w:sectPr>
      </w:pPr>
    </w:p>
    <w:bookmarkStart w:id="238" w:name="page239"/>
    <w:bookmarkEnd w:id="238"/>
    <w:p>
      <w:pPr>
        <w:ind w:left="3720"/>
        <w:spacing w:after="0"/>
        <w:rPr>
          <w:sz w:val="20"/>
          <w:szCs w:val="20"/>
          <w:color w:val="auto"/>
        </w:rPr>
      </w:pPr>
      <w:r>
        <w:rPr>
          <w:rFonts w:ascii="Times New Roman" w:cs="Times New Roman" w:eastAsia="Times New Roman" w:hAnsi="Times New Roman"/>
          <w:sz w:val="21"/>
          <w:szCs w:val="21"/>
          <w:b w:val="1"/>
          <w:bCs w:val="1"/>
          <w:color w:val="auto"/>
        </w:rPr>
        <w:t>BBVA USA</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Aaron Loyd</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Aaron Loyd</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847" w:right="1440" w:bottom="1440" w:gutter="0" w:footer="0" w:header="0"/>
        </w:sectPr>
      </w:pPr>
    </w:p>
    <w:bookmarkStart w:id="239" w:name="page240"/>
    <w:bookmarkEnd w:id="239"/>
    <w:p>
      <w:pPr>
        <w:ind w:left="3720"/>
        <w:spacing w:after="0"/>
        <w:rPr>
          <w:sz w:val="20"/>
          <w:szCs w:val="20"/>
          <w:color w:val="auto"/>
        </w:rPr>
      </w:pPr>
      <w:r>
        <w:rPr>
          <w:rFonts w:ascii="Times New Roman" w:cs="Times New Roman" w:eastAsia="Times New Roman" w:hAnsi="Times New Roman"/>
          <w:sz w:val="21"/>
          <w:szCs w:val="21"/>
          <w:b w:val="1"/>
          <w:bCs w:val="1"/>
          <w:color w:val="auto"/>
        </w:rPr>
        <w:t>PNC BANK, NATIONAL ASSOCIATION</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James Cullen</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James Cullen</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601" w:right="1440" w:bottom="1440" w:gutter="0" w:footer="0" w:header="0"/>
        </w:sectPr>
      </w:pPr>
    </w:p>
    <w:bookmarkStart w:id="240" w:name="page241"/>
    <w:bookmarkEnd w:id="240"/>
    <w:p>
      <w:pPr>
        <w:ind w:left="3720"/>
        <w:spacing w:after="0"/>
        <w:rPr>
          <w:sz w:val="20"/>
          <w:szCs w:val="20"/>
          <w:color w:val="auto"/>
        </w:rPr>
      </w:pPr>
      <w:r>
        <w:rPr>
          <w:rFonts w:ascii="Times New Roman" w:cs="Times New Roman" w:eastAsia="Times New Roman" w:hAnsi="Times New Roman"/>
          <w:sz w:val="21"/>
          <w:szCs w:val="21"/>
          <w:b w:val="1"/>
          <w:bCs w:val="1"/>
          <w:color w:val="auto"/>
        </w:rPr>
        <w:t>HSBC BANK USA, N.A.</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Peter Hart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Peter Hart</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601" w:right="1440" w:bottom="1440" w:gutter="0" w:footer="0" w:header="0"/>
        </w:sectPr>
      </w:pPr>
    </w:p>
    <w:bookmarkStart w:id="241" w:name="page242"/>
    <w:bookmarkEnd w:id="241"/>
    <w:p>
      <w:pPr>
        <w:ind w:left="3720"/>
        <w:spacing w:after="0"/>
        <w:rPr>
          <w:sz w:val="20"/>
          <w:szCs w:val="20"/>
          <w:color w:val="auto"/>
        </w:rPr>
      </w:pPr>
      <w:r>
        <w:rPr>
          <w:rFonts w:ascii="Times New Roman" w:cs="Times New Roman" w:eastAsia="Times New Roman" w:hAnsi="Times New Roman"/>
          <w:sz w:val="21"/>
          <w:szCs w:val="21"/>
          <w:b w:val="1"/>
          <w:bCs w:val="1"/>
          <w:color w:val="auto"/>
        </w:rPr>
        <w:t>SYNOVUS BANK,</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Michael Sawicki</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Michael Sawicki</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Director - Wholesale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847" w:right="1440" w:bottom="1440" w:gutter="0" w:footer="0" w:header="0"/>
        </w:sectPr>
      </w:pPr>
    </w:p>
    <w:bookmarkStart w:id="242" w:name="page243"/>
    <w:bookmarkEnd w:id="242"/>
    <w:p>
      <w:pPr>
        <w:ind w:left="3720"/>
        <w:spacing w:after="0"/>
        <w:rPr>
          <w:sz w:val="20"/>
          <w:szCs w:val="20"/>
          <w:color w:val="auto"/>
        </w:rPr>
      </w:pPr>
      <w:r>
        <w:rPr>
          <w:rFonts w:ascii="Times New Roman" w:cs="Times New Roman" w:eastAsia="Times New Roman" w:hAnsi="Times New Roman"/>
          <w:sz w:val="21"/>
          <w:szCs w:val="21"/>
          <w:b w:val="1"/>
          <w:bCs w:val="1"/>
          <w:color w:val="auto"/>
        </w:rPr>
        <w:t>CITIZENS BANK, N.A.</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Tyler Stephens</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Tyler Stephens</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847" w:right="1440" w:bottom="1440" w:gutter="0" w:footer="0" w:header="0"/>
        </w:sectPr>
      </w:pPr>
    </w:p>
    <w:bookmarkStart w:id="243" w:name="page244"/>
    <w:bookmarkEnd w:id="243"/>
    <w:p>
      <w:pPr>
        <w:ind w:left="3720"/>
        <w:spacing w:after="0"/>
        <w:rPr>
          <w:sz w:val="20"/>
          <w:szCs w:val="20"/>
          <w:color w:val="auto"/>
        </w:rPr>
      </w:pPr>
      <w:r>
        <w:rPr>
          <w:rFonts w:ascii="Times New Roman" w:cs="Times New Roman" w:eastAsia="Times New Roman" w:hAnsi="Times New Roman"/>
          <w:sz w:val="21"/>
          <w:szCs w:val="21"/>
          <w:b w:val="1"/>
          <w:bCs w:val="1"/>
          <w:color w:val="auto"/>
        </w:rPr>
        <w:t>U.S. BANK NATIONAL ASSOCIATION</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Jonathan F. Lindvall</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Jonathan F. Lindvall</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808" w:right="1440" w:bottom="1440" w:gutter="0" w:footer="0" w:header="0"/>
        </w:sectPr>
      </w:pPr>
    </w:p>
    <w:bookmarkStart w:id="244" w:name="page245"/>
    <w:bookmarkEnd w:id="244"/>
    <w:p>
      <w:pPr>
        <w:ind w:left="3720"/>
        <w:spacing w:after="0"/>
        <w:rPr>
          <w:sz w:val="20"/>
          <w:szCs w:val="20"/>
          <w:color w:val="auto"/>
        </w:rPr>
      </w:pPr>
      <w:r>
        <w:rPr>
          <w:rFonts w:ascii="Times New Roman" w:cs="Times New Roman" w:eastAsia="Times New Roman" w:hAnsi="Times New Roman"/>
          <w:sz w:val="21"/>
          <w:szCs w:val="21"/>
          <w:b w:val="1"/>
          <w:bCs w:val="1"/>
          <w:color w:val="auto"/>
        </w:rPr>
        <w:t>BARCLAYS BANK PLC</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Sean Duggan</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Sean Duggan</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847" w:right="1440" w:bottom="1440" w:gutter="0" w:footer="0" w:header="0"/>
        </w:sectPr>
      </w:pPr>
    </w:p>
    <w:bookmarkStart w:id="245" w:name="page246"/>
    <w:bookmarkEnd w:id="245"/>
    <w:p>
      <w:pPr>
        <w:ind w:left="3720"/>
        <w:spacing w:after="0"/>
        <w:rPr>
          <w:sz w:val="20"/>
          <w:szCs w:val="20"/>
          <w:color w:val="auto"/>
        </w:rPr>
      </w:pPr>
      <w:r>
        <w:rPr>
          <w:rFonts w:ascii="Times New Roman" w:cs="Times New Roman" w:eastAsia="Times New Roman" w:hAnsi="Times New Roman"/>
          <w:sz w:val="20"/>
          <w:szCs w:val="20"/>
          <w:b w:val="1"/>
          <w:bCs w:val="1"/>
          <w:color w:val="auto"/>
        </w:rPr>
        <w:t>MUFG BANK, LTD.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formerly known as THE BANK OF TOKYO-MITSUBISHI</w:t>
      </w:r>
    </w:p>
    <w:p>
      <w:pPr>
        <w:spacing w:after="0" w:line="4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UFJ, LTD.,</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Katie Cunningham</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Katie Cunningham</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940"/>
          </w:cols>
          <w:pgMar w:left="240" w:top="601" w:right="719" w:bottom="1440" w:gutter="0" w:footer="0" w:header="0"/>
        </w:sectPr>
      </w:pPr>
    </w:p>
    <w:bookmarkStart w:id="246" w:name="page247"/>
    <w:bookmarkEnd w:id="246"/>
    <w:p>
      <w:pPr>
        <w:ind w:left="3720"/>
        <w:spacing w:after="0"/>
        <w:rPr>
          <w:sz w:val="20"/>
          <w:szCs w:val="20"/>
          <w:color w:val="auto"/>
        </w:rPr>
      </w:pPr>
      <w:r>
        <w:rPr>
          <w:rFonts w:ascii="Times New Roman" w:cs="Times New Roman" w:eastAsia="Times New Roman" w:hAnsi="Times New Roman"/>
          <w:sz w:val="21"/>
          <w:szCs w:val="21"/>
          <w:b w:val="1"/>
          <w:bCs w:val="1"/>
          <w:color w:val="auto"/>
        </w:rPr>
        <w:t>MORGAN STANLEY BANK, N.A.,</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Michael King</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Michael King</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847" w:right="1440" w:bottom="1440" w:gutter="0" w:footer="0" w:header="0"/>
        </w:sectPr>
      </w:pPr>
    </w:p>
    <w:bookmarkStart w:id="247" w:name="page248"/>
    <w:bookmarkEnd w:id="247"/>
    <w:p>
      <w:pPr>
        <w:ind w:left="3720"/>
        <w:spacing w:after="0"/>
        <w:rPr>
          <w:sz w:val="20"/>
          <w:szCs w:val="20"/>
          <w:color w:val="auto"/>
        </w:rPr>
      </w:pPr>
      <w:r>
        <w:rPr>
          <w:rFonts w:ascii="Times New Roman" w:cs="Times New Roman" w:eastAsia="Times New Roman" w:hAnsi="Times New Roman"/>
          <w:sz w:val="21"/>
          <w:szCs w:val="21"/>
          <w:b w:val="1"/>
          <w:bCs w:val="1"/>
          <w:color w:val="auto"/>
        </w:rPr>
        <w:t>BRANCH BANKING AND TRUST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Jill Hamilton</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Jill Hamilton</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847" w:right="1440" w:bottom="1440" w:gutter="0" w:footer="0" w:header="0"/>
        </w:sectPr>
      </w:pPr>
    </w:p>
    <w:bookmarkStart w:id="248" w:name="page249"/>
    <w:bookmarkEnd w:id="248"/>
    <w:p>
      <w:pPr>
        <w:ind w:left="3720"/>
        <w:spacing w:after="0"/>
        <w:rPr>
          <w:sz w:val="20"/>
          <w:szCs w:val="20"/>
          <w:color w:val="auto"/>
        </w:rPr>
      </w:pPr>
      <w:r>
        <w:rPr>
          <w:rFonts w:ascii="Times New Roman" w:cs="Times New Roman" w:eastAsia="Times New Roman" w:hAnsi="Times New Roman"/>
          <w:sz w:val="21"/>
          <w:szCs w:val="21"/>
          <w:b w:val="1"/>
          <w:bCs w:val="1"/>
          <w:color w:val="auto"/>
        </w:rPr>
        <w:t>BANK UNITED, NA</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Charles J. Klenk</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Charles J. Klenk</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847" w:right="1440" w:bottom="1440" w:gutter="0" w:footer="0" w:header="0"/>
        </w:sectPr>
      </w:pPr>
    </w:p>
    <w:bookmarkStart w:id="249" w:name="page250"/>
    <w:bookmarkEnd w:id="249"/>
    <w:p>
      <w:pPr>
        <w:ind w:left="3720"/>
        <w:spacing w:after="0"/>
        <w:rPr>
          <w:sz w:val="20"/>
          <w:szCs w:val="20"/>
          <w:color w:val="auto"/>
        </w:rPr>
      </w:pPr>
      <w:r>
        <w:rPr>
          <w:rFonts w:ascii="Times New Roman" w:cs="Times New Roman" w:eastAsia="Times New Roman" w:hAnsi="Times New Roman"/>
          <w:sz w:val="21"/>
          <w:szCs w:val="21"/>
          <w:b w:val="1"/>
          <w:bCs w:val="1"/>
          <w:color w:val="auto"/>
        </w:rPr>
        <w:t>MUFG UNION BANK, N.A.</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a Lender</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u w:val="single" w:color="auto"/>
          <w:color w:val="auto"/>
        </w:rPr>
        <w:t>/s/ Katie Cunningham</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Name: </w:t>
      </w:r>
      <w:r>
        <w:rPr>
          <w:rFonts w:ascii="Times New Roman" w:cs="Times New Roman" w:eastAsia="Times New Roman" w:hAnsi="Times New Roman"/>
          <w:sz w:val="21"/>
          <w:szCs w:val="21"/>
          <w:u w:val="single" w:color="auto"/>
          <w:color w:val="auto"/>
        </w:rPr>
        <w:t>Katie Cunningham</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Typed Title: </w:t>
      </w:r>
      <w:r>
        <w:rPr>
          <w:rFonts w:ascii="Times New Roman" w:cs="Times New Roman" w:eastAsia="Times New Roman" w:hAnsi="Times New Roman"/>
          <w:sz w:val="21"/>
          <w:szCs w:val="21"/>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FIFTH AMENDED AND RESTATED CREDIT AGREEMENT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0219"/>
          </w:cols>
          <w:pgMar w:left="240" w:top="847" w:right="1440"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ANNEX I</w:t>
      </w: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EXISTING LETTERS OF CREDIT</w:t>
      </w:r>
    </w:p>
    <w:p>
      <w:pPr>
        <w:spacing w:after="0" w:line="200" w:lineRule="exact"/>
        <w:rPr>
          <w:sz w:val="20"/>
          <w:szCs w:val="20"/>
          <w:color w:val="auto"/>
        </w:rPr>
      </w:pPr>
    </w:p>
    <w:p>
      <w:pPr>
        <w:spacing w:after="0" w:line="260" w:lineRule="exact"/>
        <w:rPr>
          <w:sz w:val="20"/>
          <w:szCs w:val="20"/>
          <w:color w:val="auto"/>
        </w:rPr>
      </w:pPr>
    </w:p>
    <w:tbl>
      <w:tblPr>
        <w:tblLayout w:type="fixed"/>
        <w:tblInd w:w="420" w:type="dxa"/>
        <w:tblCellMar>
          <w:top w:w="0" w:type="dxa"/>
          <w:left w:w="0" w:type="dxa"/>
          <w:bottom w:w="0" w:type="dxa"/>
          <w:right w:w="0" w:type="dxa"/>
        </w:tblCellMar>
      </w:tblPr>
      <w:tr>
        <w:trPr>
          <w:trHeight w:val="271"/>
        </w:trPr>
        <w:tc>
          <w:tcPr>
            <w:tcW w:w="3360" w:type="dxa"/>
            <w:vAlign w:val="bottom"/>
            <w:shd w:val="clear" w:color="auto" w:fill="1F497D"/>
          </w:tcPr>
          <w:p>
            <w:pPr>
              <w:ind w:left="320"/>
              <w:spacing w:after="0"/>
              <w:rPr>
                <w:sz w:val="20"/>
                <w:szCs w:val="20"/>
                <w:color w:val="auto"/>
              </w:rPr>
            </w:pPr>
            <w:r>
              <w:rPr>
                <w:rFonts w:ascii="Times New Roman" w:cs="Times New Roman" w:eastAsia="Times New Roman" w:hAnsi="Times New Roman"/>
                <w:sz w:val="19"/>
                <w:szCs w:val="19"/>
                <w:b w:val="1"/>
                <w:bCs w:val="1"/>
                <w:color w:val="FFFFFF"/>
              </w:rPr>
              <w:t>LC TYPE (Performance/Financial)</w:t>
            </w:r>
          </w:p>
        </w:tc>
        <w:tc>
          <w:tcPr>
            <w:tcW w:w="1980" w:type="dxa"/>
            <w:vAlign w:val="bottom"/>
            <w:shd w:val="clear" w:color="auto" w:fill="1F497D"/>
          </w:tcPr>
          <w:p>
            <w:pPr>
              <w:ind w:left="920"/>
              <w:spacing w:after="0"/>
              <w:rPr>
                <w:sz w:val="20"/>
                <w:szCs w:val="20"/>
                <w:color w:val="auto"/>
              </w:rPr>
            </w:pPr>
            <w:r>
              <w:rPr>
                <w:rFonts w:ascii="Times New Roman" w:cs="Times New Roman" w:eastAsia="Times New Roman" w:hAnsi="Times New Roman"/>
                <w:sz w:val="19"/>
                <w:szCs w:val="19"/>
                <w:b w:val="1"/>
                <w:bCs w:val="1"/>
                <w:color w:val="FFFFFF"/>
              </w:rPr>
              <w:t>Amount</w:t>
            </w:r>
          </w:p>
        </w:tc>
        <w:tc>
          <w:tcPr>
            <w:tcW w:w="1360" w:type="dxa"/>
            <w:vAlign w:val="bottom"/>
            <w:shd w:val="clear" w:color="auto" w:fill="1F497D"/>
          </w:tcPr>
          <w:p>
            <w:pPr>
              <w:spacing w:after="0"/>
              <w:rPr>
                <w:sz w:val="23"/>
                <w:szCs w:val="23"/>
                <w:color w:val="auto"/>
              </w:rPr>
            </w:pPr>
          </w:p>
        </w:tc>
        <w:tc>
          <w:tcPr>
            <w:tcW w:w="1200" w:type="dxa"/>
            <w:vAlign w:val="bottom"/>
            <w:shd w:val="clear" w:color="auto" w:fill="1F497D"/>
          </w:tcPr>
          <w:p>
            <w:pPr>
              <w:ind w:left="200"/>
              <w:spacing w:after="0"/>
              <w:rPr>
                <w:sz w:val="20"/>
                <w:szCs w:val="20"/>
                <w:color w:val="auto"/>
              </w:rPr>
            </w:pPr>
            <w:r>
              <w:rPr>
                <w:rFonts w:ascii="Times New Roman" w:cs="Times New Roman" w:eastAsia="Times New Roman" w:hAnsi="Times New Roman"/>
                <w:sz w:val="19"/>
                <w:szCs w:val="19"/>
                <w:b w:val="1"/>
                <w:bCs w:val="1"/>
                <w:color w:val="FFFFFF"/>
              </w:rPr>
              <w:t>LC #</w:t>
            </w:r>
          </w:p>
        </w:tc>
        <w:tc>
          <w:tcPr>
            <w:tcW w:w="2700" w:type="dxa"/>
            <w:vAlign w:val="bottom"/>
            <w:shd w:val="clear" w:color="auto" w:fill="1F497D"/>
          </w:tcPr>
          <w:p>
            <w:pPr>
              <w:ind w:left="1140"/>
              <w:spacing w:after="0"/>
              <w:rPr>
                <w:sz w:val="20"/>
                <w:szCs w:val="20"/>
                <w:color w:val="auto"/>
              </w:rPr>
            </w:pPr>
            <w:r>
              <w:rPr>
                <w:rFonts w:ascii="Times New Roman" w:cs="Times New Roman" w:eastAsia="Times New Roman" w:hAnsi="Times New Roman"/>
                <w:sz w:val="19"/>
                <w:szCs w:val="19"/>
                <w:b w:val="1"/>
                <w:bCs w:val="1"/>
                <w:color w:val="FFFFFF"/>
              </w:rPr>
              <w:t>Expiry Date</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$15,000.00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61581</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5/10/2020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$112,700.00</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68116409</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8/6/2020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$1,250,000.00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1295730</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8/1/2020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$9,207,395.00</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68057082</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2/25/2020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$1,605,851.67</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68092139</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7/31/2020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$1,600,000.00</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68092152</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5/29/2020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$10,000.00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68092154</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12/31/2022</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$64,663,240.00</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68096318</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1/31/2020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$57,000.00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68096571</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10/31/2019</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$276,482.30</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68116373</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4/11/2020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$1,485,659.70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68116378</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11/18/2019</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$99,681.90</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68116382</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6/8/2020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$521,750.00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68116383</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6/21/2020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$1,065,047.25</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68116388</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5/3/2020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$80,202.41</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68116390</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7/2/2020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$180,260.39</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68116391</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7/2/2020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$192,598.92</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68116392</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7/2/2020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$73,279.45</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68116393</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7/15/2020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$1,042,750.00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68116394</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8/17/2020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$10,000.00</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68116395</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9/17/2020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$621,500.00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68116397</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2/15/2020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$591,000.00</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68116398</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2/15/2020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$287,200.00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68116399</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3/5/2020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$1,298,358.42</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68116400</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11/1/2019</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$91,447.50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68116401</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5/16/2020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$96,318.05</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68116402</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5/16/2020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$15,000,000.00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68116403</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6/1/2020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Performance</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$20,000.00</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68116404</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6/29/2020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$112,700.00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68116405</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8/6/2020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$298,200.00</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68116406</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8/6/2020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$112,700.00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68116407</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8/6/2020</w:t>
            </w:r>
          </w:p>
        </w:tc>
      </w:tr>
      <w:tr>
        <w:trPr>
          <w:trHeight w:val="22"/>
        </w:trPr>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51"/>
        </w:trPr>
        <w:tc>
          <w:tcPr>
            <w:tcW w:w="3360" w:type="dxa"/>
            <w:vAlign w:val="bottom"/>
            <w:tcBorders>
              <w:bottom w:val="single" w:sz="8" w:color="DCE6F1"/>
            </w:tcBorders>
            <w:shd w:val="clear" w:color="auto" w:fill="DCE6F1"/>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Borders>
              <w:bottom w:val="single" w:sz="8" w:color="DCE6F1"/>
            </w:tcBorders>
            <w:shd w:val="clear" w:color="auto" w:fill="DCE6F1"/>
          </w:tcPr>
          <w:p>
            <w:pPr>
              <w:ind w:left="180"/>
              <w:spacing w:after="0"/>
              <w:rPr>
                <w:sz w:val="20"/>
                <w:szCs w:val="20"/>
                <w:color w:val="auto"/>
              </w:rPr>
            </w:pPr>
            <w:r>
              <w:rPr>
                <w:rFonts w:ascii="Times New Roman" w:cs="Times New Roman" w:eastAsia="Times New Roman" w:hAnsi="Times New Roman"/>
                <w:sz w:val="19"/>
                <w:szCs w:val="19"/>
                <w:color w:val="auto"/>
              </w:rPr>
              <w:t>$60,000.00</w:t>
            </w:r>
          </w:p>
        </w:tc>
        <w:tc>
          <w:tcPr>
            <w:tcW w:w="1360" w:type="dxa"/>
            <w:vAlign w:val="bottom"/>
            <w:tcBorders>
              <w:bottom w:val="single" w:sz="8" w:color="DCE6F1"/>
            </w:tcBorders>
            <w:shd w:val="clear" w:color="auto" w:fill="DCE6F1"/>
          </w:tcPr>
          <w:p>
            <w:pPr>
              <w:ind w:left="420"/>
              <w:spacing w:after="0"/>
              <w:rPr>
                <w:sz w:val="20"/>
                <w:szCs w:val="20"/>
                <w:color w:val="auto"/>
              </w:rPr>
            </w:pPr>
            <w:r>
              <w:rPr>
                <w:rFonts w:ascii="Times New Roman" w:cs="Times New Roman" w:eastAsia="Times New Roman" w:hAnsi="Times New Roman"/>
                <w:sz w:val="19"/>
                <w:szCs w:val="19"/>
                <w:color w:val="auto"/>
              </w:rPr>
              <w:t>68116408</w:t>
            </w:r>
          </w:p>
        </w:tc>
        <w:tc>
          <w:tcPr>
            <w:tcW w:w="1200" w:type="dxa"/>
            <w:vAlign w:val="bottom"/>
            <w:tcBorders>
              <w:bottom w:val="single" w:sz="8" w:color="DCE6F1"/>
            </w:tcBorders>
            <w:shd w:val="clear" w:color="auto" w:fill="DCE6F1"/>
          </w:tcPr>
          <w:p>
            <w:pPr>
              <w:spacing w:after="0"/>
              <w:rPr>
                <w:sz w:val="21"/>
                <w:szCs w:val="21"/>
                <w:color w:val="auto"/>
              </w:rPr>
            </w:pPr>
          </w:p>
        </w:tc>
        <w:tc>
          <w:tcPr>
            <w:tcW w:w="2700" w:type="dxa"/>
            <w:vAlign w:val="bottom"/>
            <w:tcBorders>
              <w:bottom w:val="single" w:sz="8" w:color="DCE6F1"/>
            </w:tcBorders>
            <w:shd w:val="clear" w:color="auto" w:fill="DCE6F1"/>
          </w:tcPr>
          <w:p>
            <w:pPr>
              <w:ind w:left="600"/>
              <w:spacing w:after="0"/>
              <w:rPr>
                <w:sz w:val="20"/>
                <w:szCs w:val="20"/>
                <w:color w:val="auto"/>
              </w:rPr>
            </w:pPr>
            <w:r>
              <w:rPr>
                <w:rFonts w:ascii="Times New Roman" w:cs="Times New Roman" w:eastAsia="Times New Roman" w:hAnsi="Times New Roman"/>
                <w:sz w:val="19"/>
                <w:szCs w:val="19"/>
                <w:color w:val="auto"/>
              </w:rPr>
              <w:t>8/6/2020</w:t>
            </w: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Financial</w:t>
            </w:r>
          </w:p>
        </w:tc>
        <w:tc>
          <w:tcPr>
            <w:tcW w:w="1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$35,000.00</w:t>
            </w:r>
          </w:p>
        </w:tc>
        <w:tc>
          <w:tcPr>
            <w:tcW w:w="13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61582</w:t>
            </w:r>
          </w:p>
        </w:tc>
        <w:tc>
          <w:tcPr>
            <w:tcW w:w="1200" w:type="dxa"/>
            <w:vAlign w:val="bottom"/>
          </w:tcPr>
          <w:p>
            <w:pPr>
              <w:spacing w:after="0"/>
              <w:rPr>
                <w:sz w:val="21"/>
                <w:szCs w:val="21"/>
                <w:color w:val="auto"/>
              </w:rPr>
            </w:pPr>
          </w:p>
        </w:tc>
        <w:tc>
          <w:tcPr>
            <w:tcW w:w="270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5/10/2020</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600" w:right="239" w:bottom="1440" w:gutter="0" w:footer="0" w:header="0"/>
        </w:sectPr>
      </w:pPr>
    </w:p>
    <w:bookmarkStart w:id="251" w:name="page252"/>
    <w:bookmarkEnd w:id="251"/>
    <w:p>
      <w:pPr>
        <w:ind w:left="10500"/>
        <w:spacing w:after="0"/>
        <w:rPr>
          <w:sz w:val="20"/>
          <w:szCs w:val="20"/>
          <w:color w:val="auto"/>
        </w:rPr>
      </w:pPr>
      <w:r>
        <w:rPr>
          <w:rFonts w:ascii="Times New Roman" w:cs="Times New Roman" w:eastAsia="Times New Roman" w:hAnsi="Times New Roman"/>
          <w:sz w:val="21"/>
          <w:szCs w:val="21"/>
          <w:b w:val="1"/>
          <w:bCs w:val="1"/>
          <w:i w:val="1"/>
          <w:iCs w:val="1"/>
          <w:color w:val="auto"/>
        </w:rPr>
        <w:t>ANNEX II</w:t>
      </w:r>
    </w:p>
    <w:p>
      <w:pPr>
        <w:spacing w:after="0" w:line="2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COMMITMENTS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AND APPLICABLE PERCENTAGES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300" w:type="dxa"/>
            <w:vAlign w:val="bottom"/>
            <w:tcBorders>
              <w:top w:val="single" w:sz="8" w:color="auto"/>
              <w:left w:val="single" w:sz="8" w:color="00000A"/>
              <w:right w:val="single" w:sz="8" w:color="00000A"/>
            </w:tcBorders>
            <w:shd w:val="clear" w:color="auto" w:fill="C6D9F1"/>
          </w:tcPr>
          <w:p>
            <w:pPr>
              <w:spacing w:after="0"/>
              <w:rPr>
                <w:sz w:val="18"/>
                <w:szCs w:val="18"/>
                <w:color w:val="auto"/>
              </w:rPr>
            </w:pPr>
          </w:p>
        </w:tc>
        <w:tc>
          <w:tcPr>
            <w:tcW w:w="200" w:type="dxa"/>
            <w:vAlign w:val="bottom"/>
            <w:tcBorders>
              <w:top w:val="single" w:sz="8" w:color="auto"/>
            </w:tcBorders>
            <w:shd w:val="clear" w:color="auto" w:fill="C6D9F1"/>
          </w:tcPr>
          <w:p>
            <w:pPr>
              <w:spacing w:after="0"/>
              <w:rPr>
                <w:sz w:val="18"/>
                <w:szCs w:val="18"/>
                <w:color w:val="auto"/>
              </w:rPr>
            </w:pPr>
          </w:p>
        </w:tc>
        <w:tc>
          <w:tcPr>
            <w:tcW w:w="1160" w:type="dxa"/>
            <w:vAlign w:val="bottom"/>
            <w:tcBorders>
              <w:top w:val="single" w:sz="8" w:color="auto"/>
              <w:right w:val="single" w:sz="8" w:color="00000A"/>
            </w:tcBorders>
            <w:shd w:val="clear" w:color="auto" w:fill="C6D9F1"/>
          </w:tcPr>
          <w:p>
            <w:pPr>
              <w:spacing w:after="0"/>
              <w:rPr>
                <w:sz w:val="18"/>
                <w:szCs w:val="18"/>
                <w:color w:val="auto"/>
              </w:rPr>
            </w:pPr>
          </w:p>
        </w:tc>
        <w:tc>
          <w:tcPr>
            <w:tcW w:w="1320" w:type="dxa"/>
            <w:vAlign w:val="bottom"/>
            <w:tcBorders>
              <w:top w:val="single" w:sz="8" w:color="auto"/>
              <w:right w:val="single" w:sz="8" w:color="00000A"/>
            </w:tcBorders>
            <w:shd w:val="clear" w:color="auto" w:fill="C6D9F1"/>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Applicable</w:t>
            </w:r>
          </w:p>
        </w:tc>
        <w:tc>
          <w:tcPr>
            <w:tcW w:w="120" w:type="dxa"/>
            <w:vAlign w:val="bottom"/>
            <w:tcBorders>
              <w:top w:val="single" w:sz="8" w:color="auto"/>
            </w:tcBorders>
            <w:shd w:val="clear" w:color="auto" w:fill="C6D9F1"/>
          </w:tcPr>
          <w:p>
            <w:pPr>
              <w:spacing w:after="0"/>
              <w:rPr>
                <w:sz w:val="18"/>
                <w:szCs w:val="18"/>
                <w:color w:val="auto"/>
              </w:rPr>
            </w:pPr>
          </w:p>
        </w:tc>
        <w:tc>
          <w:tcPr>
            <w:tcW w:w="80" w:type="dxa"/>
            <w:vAlign w:val="bottom"/>
            <w:tcBorders>
              <w:top w:val="single" w:sz="8" w:color="auto"/>
            </w:tcBorders>
            <w:shd w:val="clear" w:color="auto" w:fill="C6D9F1"/>
          </w:tcPr>
          <w:p>
            <w:pPr>
              <w:spacing w:after="0"/>
              <w:rPr>
                <w:sz w:val="18"/>
                <w:szCs w:val="18"/>
                <w:color w:val="auto"/>
              </w:rPr>
            </w:pPr>
          </w:p>
        </w:tc>
        <w:tc>
          <w:tcPr>
            <w:tcW w:w="1040" w:type="dxa"/>
            <w:vAlign w:val="bottom"/>
            <w:tcBorders>
              <w:top w:val="single" w:sz="8" w:color="auto"/>
              <w:right w:val="single" w:sz="8" w:color="00000A"/>
            </w:tcBorders>
            <w:shd w:val="clear" w:color="auto" w:fill="C6D9F1"/>
          </w:tcPr>
          <w:p>
            <w:pPr>
              <w:spacing w:after="0"/>
              <w:rPr>
                <w:sz w:val="18"/>
                <w:szCs w:val="18"/>
                <w:color w:val="auto"/>
              </w:rPr>
            </w:pPr>
          </w:p>
        </w:tc>
        <w:tc>
          <w:tcPr>
            <w:tcW w:w="1300" w:type="dxa"/>
            <w:vAlign w:val="bottom"/>
            <w:tcBorders>
              <w:top w:val="single" w:sz="8" w:color="auto"/>
              <w:right w:val="single" w:sz="8" w:color="00000A"/>
            </w:tcBorders>
            <w:shd w:val="clear" w:color="auto" w:fill="C6D9F1"/>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Applicable</w:t>
            </w:r>
          </w:p>
        </w:tc>
        <w:tc>
          <w:tcPr>
            <w:tcW w:w="140" w:type="dxa"/>
            <w:vAlign w:val="bottom"/>
            <w:tcBorders>
              <w:top w:val="single" w:sz="8" w:color="auto"/>
            </w:tcBorders>
            <w:shd w:val="clear" w:color="auto" w:fill="C6D9F1"/>
          </w:tcPr>
          <w:p>
            <w:pPr>
              <w:spacing w:after="0"/>
              <w:rPr>
                <w:sz w:val="18"/>
                <w:szCs w:val="18"/>
                <w:color w:val="auto"/>
              </w:rPr>
            </w:pPr>
          </w:p>
        </w:tc>
        <w:tc>
          <w:tcPr>
            <w:tcW w:w="60" w:type="dxa"/>
            <w:vAlign w:val="bottom"/>
            <w:tcBorders>
              <w:top w:val="single" w:sz="8" w:color="auto"/>
            </w:tcBorders>
            <w:shd w:val="clear" w:color="auto" w:fill="C6D9F1"/>
          </w:tcPr>
          <w:p>
            <w:pPr>
              <w:spacing w:after="0"/>
              <w:rPr>
                <w:sz w:val="18"/>
                <w:szCs w:val="18"/>
                <w:color w:val="auto"/>
              </w:rPr>
            </w:pPr>
          </w:p>
        </w:tc>
        <w:tc>
          <w:tcPr>
            <w:tcW w:w="1060" w:type="dxa"/>
            <w:vAlign w:val="bottom"/>
            <w:tcBorders>
              <w:top w:val="single" w:sz="8" w:color="auto"/>
              <w:right w:val="single" w:sz="8" w:color="00000A"/>
            </w:tcBorders>
            <w:shd w:val="clear" w:color="auto" w:fill="C6D9F1"/>
          </w:tcPr>
          <w:p>
            <w:pPr>
              <w:spacing w:after="0"/>
              <w:rPr>
                <w:sz w:val="18"/>
                <w:szCs w:val="18"/>
                <w:color w:val="auto"/>
              </w:rPr>
            </w:pPr>
          </w:p>
        </w:tc>
        <w:tc>
          <w:tcPr>
            <w:tcW w:w="1300" w:type="dxa"/>
            <w:vAlign w:val="bottom"/>
            <w:tcBorders>
              <w:top w:val="single" w:sz="8" w:color="auto"/>
              <w:right w:val="single" w:sz="8" w:color="00000A"/>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Applicable</w:t>
            </w:r>
          </w:p>
        </w:tc>
        <w:tc>
          <w:tcPr>
            <w:tcW w:w="200" w:type="dxa"/>
            <w:vAlign w:val="bottom"/>
            <w:tcBorders>
              <w:top w:val="single" w:sz="8" w:color="auto"/>
            </w:tcBorders>
            <w:shd w:val="clear" w:color="auto" w:fill="C6D9F1"/>
          </w:tcPr>
          <w:p>
            <w:pPr>
              <w:spacing w:after="0"/>
              <w:rPr>
                <w:sz w:val="18"/>
                <w:szCs w:val="18"/>
                <w:color w:val="auto"/>
              </w:rPr>
            </w:pPr>
          </w:p>
        </w:tc>
        <w:tc>
          <w:tcPr>
            <w:tcW w:w="1160" w:type="dxa"/>
            <w:vAlign w:val="bottom"/>
            <w:tcBorders>
              <w:top w:val="single" w:sz="8" w:color="auto"/>
              <w:right w:val="single" w:sz="8" w:color="00000A"/>
            </w:tcBorders>
            <w:shd w:val="clear" w:color="auto" w:fill="C6D9F1"/>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300" w:type="dxa"/>
            <w:vAlign w:val="bottom"/>
            <w:tcBorders>
              <w:left w:val="single" w:sz="8" w:color="00000A"/>
              <w:right w:val="single" w:sz="8" w:color="00000A"/>
            </w:tcBorders>
            <w:shd w:val="clear" w:color="auto" w:fill="C6D9F1"/>
          </w:tcPr>
          <w:p>
            <w:pPr>
              <w:spacing w:after="0"/>
              <w:rPr>
                <w:sz w:val="7"/>
                <w:szCs w:val="7"/>
                <w:color w:val="auto"/>
              </w:rPr>
            </w:pPr>
          </w:p>
        </w:tc>
        <w:tc>
          <w:tcPr>
            <w:tcW w:w="200" w:type="dxa"/>
            <w:vAlign w:val="bottom"/>
            <w:shd w:val="clear" w:color="auto" w:fill="C6D9F1"/>
          </w:tcPr>
          <w:p>
            <w:pPr>
              <w:spacing w:after="0"/>
              <w:rPr>
                <w:sz w:val="7"/>
                <w:szCs w:val="7"/>
                <w:color w:val="auto"/>
              </w:rPr>
            </w:pPr>
          </w:p>
        </w:tc>
        <w:tc>
          <w:tcPr>
            <w:tcW w:w="1160" w:type="dxa"/>
            <w:vAlign w:val="bottom"/>
            <w:tcBorders>
              <w:right w:val="single" w:sz="8" w:color="00000A"/>
            </w:tcBorders>
            <w:shd w:val="clear" w:color="auto" w:fill="C6D9F1"/>
          </w:tcPr>
          <w:p>
            <w:pPr>
              <w:spacing w:after="0"/>
              <w:rPr>
                <w:sz w:val="7"/>
                <w:szCs w:val="7"/>
                <w:color w:val="auto"/>
              </w:rPr>
            </w:pPr>
          </w:p>
        </w:tc>
        <w:tc>
          <w:tcPr>
            <w:tcW w:w="1320" w:type="dxa"/>
            <w:vAlign w:val="bottom"/>
            <w:tcBorders>
              <w:right w:val="single" w:sz="8" w:color="00000A"/>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Percentage</w:t>
            </w:r>
          </w:p>
        </w:tc>
        <w:tc>
          <w:tcPr>
            <w:tcW w:w="120" w:type="dxa"/>
            <w:vAlign w:val="bottom"/>
            <w:shd w:val="clear" w:color="auto" w:fill="C6D9F1"/>
          </w:tcPr>
          <w:p>
            <w:pPr>
              <w:spacing w:after="0"/>
              <w:rPr>
                <w:sz w:val="7"/>
                <w:szCs w:val="7"/>
                <w:color w:val="auto"/>
              </w:rPr>
            </w:pPr>
          </w:p>
        </w:tc>
        <w:tc>
          <w:tcPr>
            <w:tcW w:w="80" w:type="dxa"/>
            <w:vAlign w:val="bottom"/>
            <w:shd w:val="clear" w:color="auto" w:fill="C6D9F1"/>
          </w:tcPr>
          <w:p>
            <w:pPr>
              <w:spacing w:after="0"/>
              <w:rPr>
                <w:sz w:val="7"/>
                <w:szCs w:val="7"/>
                <w:color w:val="auto"/>
              </w:rPr>
            </w:pPr>
          </w:p>
        </w:tc>
        <w:tc>
          <w:tcPr>
            <w:tcW w:w="1040" w:type="dxa"/>
            <w:vAlign w:val="bottom"/>
            <w:tcBorders>
              <w:right w:val="single" w:sz="8" w:color="00000A"/>
            </w:tcBorders>
            <w:vMerge w:val="restart"/>
            <w:shd w:val="clear" w:color="auto" w:fill="C6D9F1"/>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MC</w:t>
            </w:r>
          </w:p>
        </w:tc>
        <w:tc>
          <w:tcPr>
            <w:tcW w:w="1300" w:type="dxa"/>
            <w:vAlign w:val="bottom"/>
            <w:tcBorders>
              <w:right w:val="single" w:sz="8" w:color="00000A"/>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Percentage</w:t>
            </w:r>
          </w:p>
        </w:tc>
        <w:tc>
          <w:tcPr>
            <w:tcW w:w="140" w:type="dxa"/>
            <w:vAlign w:val="bottom"/>
            <w:shd w:val="clear" w:color="auto" w:fill="C6D9F1"/>
          </w:tcPr>
          <w:p>
            <w:pPr>
              <w:spacing w:after="0"/>
              <w:rPr>
                <w:sz w:val="7"/>
                <w:szCs w:val="7"/>
                <w:color w:val="auto"/>
              </w:rPr>
            </w:pPr>
          </w:p>
        </w:tc>
        <w:tc>
          <w:tcPr>
            <w:tcW w:w="60" w:type="dxa"/>
            <w:vAlign w:val="bottom"/>
            <w:shd w:val="clear" w:color="auto" w:fill="C6D9F1"/>
          </w:tcPr>
          <w:p>
            <w:pPr>
              <w:spacing w:after="0"/>
              <w:rPr>
                <w:sz w:val="7"/>
                <w:szCs w:val="7"/>
                <w:color w:val="auto"/>
              </w:rPr>
            </w:pPr>
          </w:p>
        </w:tc>
        <w:tc>
          <w:tcPr>
            <w:tcW w:w="1060" w:type="dxa"/>
            <w:vAlign w:val="bottom"/>
            <w:tcBorders>
              <w:right w:val="single" w:sz="8" w:color="00000A"/>
            </w:tcBorders>
            <w:vMerge w:val="restart"/>
            <w:shd w:val="clear" w:color="auto" w:fill="C6D9F1"/>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7"/>
              </w:rPr>
              <w:t>Term Loan</w:t>
            </w:r>
          </w:p>
        </w:tc>
        <w:tc>
          <w:tcPr>
            <w:tcW w:w="1300" w:type="dxa"/>
            <w:vAlign w:val="bottom"/>
            <w:tcBorders>
              <w:right w:val="single" w:sz="8" w:color="00000A"/>
            </w:tcBorders>
            <w:vMerge w:val="continue"/>
            <w:shd w:val="clear" w:color="auto" w:fill="C6D9F1"/>
          </w:tcPr>
          <w:p>
            <w:pPr>
              <w:spacing w:after="0"/>
              <w:rPr>
                <w:sz w:val="7"/>
                <w:szCs w:val="7"/>
                <w:color w:val="auto"/>
              </w:rPr>
            </w:pPr>
          </w:p>
        </w:tc>
        <w:tc>
          <w:tcPr>
            <w:tcW w:w="200" w:type="dxa"/>
            <w:vAlign w:val="bottom"/>
            <w:shd w:val="clear" w:color="auto" w:fill="C6D9F1"/>
          </w:tcPr>
          <w:p>
            <w:pPr>
              <w:spacing w:after="0"/>
              <w:rPr>
                <w:sz w:val="7"/>
                <w:szCs w:val="7"/>
                <w:color w:val="auto"/>
              </w:rPr>
            </w:pPr>
          </w:p>
        </w:tc>
        <w:tc>
          <w:tcPr>
            <w:tcW w:w="1160" w:type="dxa"/>
            <w:vAlign w:val="bottom"/>
            <w:tcBorders>
              <w:right w:val="single" w:sz="8" w:color="00000A"/>
            </w:tcBorders>
            <w:shd w:val="clear" w:color="auto" w:fill="C6D9F1"/>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300" w:type="dxa"/>
            <w:vAlign w:val="bottom"/>
            <w:tcBorders>
              <w:left w:val="single" w:sz="8" w:color="00000A"/>
              <w:right w:val="single" w:sz="8" w:color="00000A"/>
            </w:tcBorders>
            <w:vMerge w:val="restart"/>
            <w:shd w:val="clear" w:color="auto" w:fill="C6D9F1"/>
          </w:tcPr>
          <w:p>
            <w:pPr>
              <w:ind w:left="900"/>
              <w:spacing w:after="0"/>
              <w:rPr>
                <w:sz w:val="20"/>
                <w:szCs w:val="20"/>
                <w:color w:val="auto"/>
              </w:rPr>
            </w:pPr>
            <w:r>
              <w:rPr>
                <w:rFonts w:ascii="Times New Roman" w:cs="Times New Roman" w:eastAsia="Times New Roman" w:hAnsi="Times New Roman"/>
                <w:sz w:val="16"/>
                <w:szCs w:val="16"/>
                <w:b w:val="1"/>
                <w:bCs w:val="1"/>
                <w:color w:val="auto"/>
              </w:rPr>
              <w:t>Lender</w:t>
            </w:r>
          </w:p>
        </w:tc>
        <w:tc>
          <w:tcPr>
            <w:tcW w:w="1360" w:type="dxa"/>
            <w:vAlign w:val="bottom"/>
            <w:tcBorders>
              <w:right w:val="single" w:sz="8" w:color="00000A"/>
            </w:tcBorders>
            <w:gridSpan w:val="2"/>
            <w:vMerge w:val="restart"/>
            <w:shd w:val="clear" w:color="auto" w:fill="C6D9F1"/>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USD Commitment</w:t>
            </w:r>
          </w:p>
        </w:tc>
        <w:tc>
          <w:tcPr>
            <w:tcW w:w="1320" w:type="dxa"/>
            <w:vAlign w:val="bottom"/>
            <w:tcBorders>
              <w:right w:val="single" w:sz="8" w:color="00000A"/>
            </w:tcBorders>
            <w:vMerge w:val="continue"/>
            <w:shd w:val="clear" w:color="auto" w:fill="C6D9F1"/>
          </w:tcPr>
          <w:p>
            <w:pPr>
              <w:spacing w:after="0"/>
              <w:rPr>
                <w:sz w:val="8"/>
                <w:szCs w:val="8"/>
                <w:color w:val="auto"/>
              </w:rPr>
            </w:pPr>
          </w:p>
        </w:tc>
        <w:tc>
          <w:tcPr>
            <w:tcW w:w="120" w:type="dxa"/>
            <w:vAlign w:val="bottom"/>
            <w:shd w:val="clear" w:color="auto" w:fill="C6D9F1"/>
          </w:tcPr>
          <w:p>
            <w:pPr>
              <w:spacing w:after="0"/>
              <w:rPr>
                <w:sz w:val="8"/>
                <w:szCs w:val="8"/>
                <w:color w:val="auto"/>
              </w:rPr>
            </w:pPr>
          </w:p>
        </w:tc>
        <w:tc>
          <w:tcPr>
            <w:tcW w:w="80" w:type="dxa"/>
            <w:vAlign w:val="bottom"/>
            <w:shd w:val="clear" w:color="auto" w:fill="C6D9F1"/>
          </w:tcPr>
          <w:p>
            <w:pPr>
              <w:spacing w:after="0"/>
              <w:rPr>
                <w:sz w:val="8"/>
                <w:szCs w:val="8"/>
                <w:color w:val="auto"/>
              </w:rPr>
            </w:pPr>
          </w:p>
        </w:tc>
        <w:tc>
          <w:tcPr>
            <w:tcW w:w="1040" w:type="dxa"/>
            <w:vAlign w:val="bottom"/>
            <w:tcBorders>
              <w:right w:val="single" w:sz="8" w:color="00000A"/>
            </w:tcBorders>
            <w:vMerge w:val="continue"/>
            <w:shd w:val="clear" w:color="auto" w:fill="C6D9F1"/>
          </w:tcPr>
          <w:p>
            <w:pPr>
              <w:spacing w:after="0"/>
              <w:rPr>
                <w:sz w:val="8"/>
                <w:szCs w:val="8"/>
                <w:color w:val="auto"/>
              </w:rPr>
            </w:pPr>
          </w:p>
        </w:tc>
        <w:tc>
          <w:tcPr>
            <w:tcW w:w="1300" w:type="dxa"/>
            <w:vAlign w:val="bottom"/>
            <w:tcBorders>
              <w:right w:val="single" w:sz="8" w:color="00000A"/>
            </w:tcBorders>
            <w:vMerge w:val="continue"/>
            <w:shd w:val="clear" w:color="auto" w:fill="C6D9F1"/>
          </w:tcPr>
          <w:p>
            <w:pPr>
              <w:spacing w:after="0"/>
              <w:rPr>
                <w:sz w:val="8"/>
                <w:szCs w:val="8"/>
                <w:color w:val="auto"/>
              </w:rPr>
            </w:pPr>
          </w:p>
        </w:tc>
        <w:tc>
          <w:tcPr>
            <w:tcW w:w="140" w:type="dxa"/>
            <w:vAlign w:val="bottom"/>
            <w:shd w:val="clear" w:color="auto" w:fill="C6D9F1"/>
          </w:tcPr>
          <w:p>
            <w:pPr>
              <w:spacing w:after="0"/>
              <w:rPr>
                <w:sz w:val="8"/>
                <w:szCs w:val="8"/>
                <w:color w:val="auto"/>
              </w:rPr>
            </w:pPr>
          </w:p>
        </w:tc>
        <w:tc>
          <w:tcPr>
            <w:tcW w:w="60" w:type="dxa"/>
            <w:vAlign w:val="bottom"/>
            <w:shd w:val="clear" w:color="auto" w:fill="C6D9F1"/>
          </w:tcPr>
          <w:p>
            <w:pPr>
              <w:spacing w:after="0"/>
              <w:rPr>
                <w:sz w:val="8"/>
                <w:szCs w:val="8"/>
                <w:color w:val="auto"/>
              </w:rPr>
            </w:pPr>
          </w:p>
        </w:tc>
        <w:tc>
          <w:tcPr>
            <w:tcW w:w="1060" w:type="dxa"/>
            <w:vAlign w:val="bottom"/>
            <w:tcBorders>
              <w:right w:val="single" w:sz="8" w:color="00000A"/>
            </w:tcBorders>
            <w:vMerge w:val="continue"/>
            <w:shd w:val="clear" w:color="auto" w:fill="C6D9F1"/>
          </w:tcPr>
          <w:p>
            <w:pPr>
              <w:spacing w:after="0"/>
              <w:rPr>
                <w:sz w:val="8"/>
                <w:szCs w:val="8"/>
                <w:color w:val="auto"/>
              </w:rPr>
            </w:pPr>
          </w:p>
        </w:tc>
        <w:tc>
          <w:tcPr>
            <w:tcW w:w="1300" w:type="dxa"/>
            <w:vAlign w:val="bottom"/>
            <w:tcBorders>
              <w:right w:val="single" w:sz="8" w:color="00000A"/>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Percentage (Term</w:t>
            </w:r>
          </w:p>
        </w:tc>
        <w:tc>
          <w:tcPr>
            <w:tcW w:w="200" w:type="dxa"/>
            <w:vAlign w:val="bottom"/>
            <w:shd w:val="clear" w:color="auto" w:fill="C6D9F1"/>
          </w:tcPr>
          <w:p>
            <w:pPr>
              <w:spacing w:after="0"/>
              <w:rPr>
                <w:sz w:val="8"/>
                <w:szCs w:val="8"/>
                <w:color w:val="auto"/>
              </w:rPr>
            </w:pPr>
          </w:p>
        </w:tc>
        <w:tc>
          <w:tcPr>
            <w:tcW w:w="1160" w:type="dxa"/>
            <w:vAlign w:val="bottom"/>
            <w:tcBorders>
              <w:right w:val="single" w:sz="8" w:color="00000A"/>
            </w:tcBorders>
            <w:vMerge w:val="restart"/>
            <w:shd w:val="clear" w:color="auto" w:fill="C6D9F1"/>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8"/>
        </w:trPr>
        <w:tc>
          <w:tcPr>
            <w:tcW w:w="2300" w:type="dxa"/>
            <w:vAlign w:val="bottom"/>
            <w:tcBorders>
              <w:left w:val="single" w:sz="8" w:color="00000A"/>
              <w:right w:val="single" w:sz="8" w:color="00000A"/>
            </w:tcBorders>
            <w:vMerge w:val="continue"/>
            <w:shd w:val="clear" w:color="auto" w:fill="C6D9F1"/>
          </w:tcPr>
          <w:p>
            <w:pPr>
              <w:spacing w:after="0"/>
              <w:rPr>
                <w:sz w:val="13"/>
                <w:szCs w:val="13"/>
                <w:color w:val="auto"/>
              </w:rPr>
            </w:pPr>
          </w:p>
        </w:tc>
        <w:tc>
          <w:tcPr>
            <w:tcW w:w="1360" w:type="dxa"/>
            <w:vAlign w:val="bottom"/>
            <w:tcBorders>
              <w:right w:val="single" w:sz="8" w:color="00000A"/>
            </w:tcBorders>
            <w:gridSpan w:val="2"/>
            <w:vMerge w:val="continue"/>
            <w:shd w:val="clear" w:color="auto" w:fill="C6D9F1"/>
          </w:tcPr>
          <w:p>
            <w:pPr>
              <w:spacing w:after="0"/>
              <w:rPr>
                <w:sz w:val="13"/>
                <w:szCs w:val="13"/>
                <w:color w:val="auto"/>
              </w:rPr>
            </w:pPr>
          </w:p>
        </w:tc>
        <w:tc>
          <w:tcPr>
            <w:tcW w:w="1320" w:type="dxa"/>
            <w:vAlign w:val="bottom"/>
            <w:tcBorders>
              <w:right w:val="single" w:sz="8" w:color="00000A"/>
            </w:tcBorders>
            <w:shd w:val="clear" w:color="auto" w:fill="C6D9F1"/>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5"/>
              </w:rPr>
              <w:t>(Committed (USD)</w:t>
            </w:r>
          </w:p>
        </w:tc>
        <w:tc>
          <w:tcPr>
            <w:tcW w:w="120" w:type="dxa"/>
            <w:vAlign w:val="bottom"/>
            <w:shd w:val="clear" w:color="auto" w:fill="C6D9F1"/>
          </w:tcPr>
          <w:p>
            <w:pPr>
              <w:spacing w:after="0"/>
              <w:rPr>
                <w:sz w:val="13"/>
                <w:szCs w:val="13"/>
                <w:color w:val="auto"/>
              </w:rPr>
            </w:pPr>
          </w:p>
        </w:tc>
        <w:tc>
          <w:tcPr>
            <w:tcW w:w="1120" w:type="dxa"/>
            <w:vAlign w:val="bottom"/>
            <w:tcBorders>
              <w:right w:val="single" w:sz="8" w:color="00000A"/>
            </w:tcBorders>
            <w:gridSpan w:val="2"/>
            <w:shd w:val="clear" w:color="auto" w:fill="C6D9F1"/>
          </w:tcPr>
          <w:p>
            <w:pPr>
              <w:jc w:val="right"/>
              <w:ind w:right="122"/>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Commitment</w:t>
            </w:r>
          </w:p>
        </w:tc>
        <w:tc>
          <w:tcPr>
            <w:tcW w:w="1300" w:type="dxa"/>
            <w:vAlign w:val="bottom"/>
            <w:tcBorders>
              <w:right w:val="single" w:sz="8" w:color="00000A"/>
            </w:tcBorders>
            <w:shd w:val="clear" w:color="auto" w:fill="C6D9F1"/>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6"/>
              </w:rPr>
              <w:t>(Committed (MC)</w:t>
            </w:r>
          </w:p>
        </w:tc>
        <w:tc>
          <w:tcPr>
            <w:tcW w:w="140" w:type="dxa"/>
            <w:vAlign w:val="bottom"/>
            <w:shd w:val="clear" w:color="auto" w:fill="C6D9F1"/>
          </w:tcPr>
          <w:p>
            <w:pPr>
              <w:spacing w:after="0"/>
              <w:rPr>
                <w:sz w:val="13"/>
                <w:szCs w:val="13"/>
                <w:color w:val="auto"/>
              </w:rPr>
            </w:pPr>
          </w:p>
        </w:tc>
        <w:tc>
          <w:tcPr>
            <w:tcW w:w="1120" w:type="dxa"/>
            <w:vAlign w:val="bottom"/>
            <w:tcBorders>
              <w:right w:val="single" w:sz="8" w:color="00000A"/>
            </w:tcBorders>
            <w:gridSpan w:val="2"/>
            <w:shd w:val="clear" w:color="auto" w:fill="C6D9F1"/>
          </w:tcPr>
          <w:p>
            <w:pPr>
              <w:jc w:val="right"/>
              <w:ind w:right="122"/>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Commitment</w:t>
            </w:r>
          </w:p>
        </w:tc>
        <w:tc>
          <w:tcPr>
            <w:tcW w:w="1300" w:type="dxa"/>
            <w:vAlign w:val="bottom"/>
            <w:tcBorders>
              <w:right w:val="single" w:sz="8" w:color="00000A"/>
            </w:tcBorders>
            <w:vMerge w:val="continue"/>
            <w:shd w:val="clear" w:color="auto" w:fill="C6D9F1"/>
          </w:tcPr>
          <w:p>
            <w:pPr>
              <w:spacing w:after="0"/>
              <w:rPr>
                <w:sz w:val="13"/>
                <w:szCs w:val="13"/>
                <w:color w:val="auto"/>
              </w:rPr>
            </w:pPr>
          </w:p>
        </w:tc>
        <w:tc>
          <w:tcPr>
            <w:tcW w:w="200" w:type="dxa"/>
            <w:vAlign w:val="bottom"/>
            <w:shd w:val="clear" w:color="auto" w:fill="C6D9F1"/>
          </w:tcPr>
          <w:p>
            <w:pPr>
              <w:spacing w:after="0"/>
              <w:rPr>
                <w:sz w:val="13"/>
                <w:szCs w:val="13"/>
                <w:color w:val="auto"/>
              </w:rPr>
            </w:pPr>
          </w:p>
        </w:tc>
        <w:tc>
          <w:tcPr>
            <w:tcW w:w="1160" w:type="dxa"/>
            <w:vAlign w:val="bottom"/>
            <w:tcBorders>
              <w:right w:val="single" w:sz="8" w:color="00000A"/>
            </w:tcBorders>
            <w:vMerge w:val="continue"/>
            <w:shd w:val="clear" w:color="auto" w:fill="C6D9F1"/>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300" w:type="dxa"/>
            <w:vAlign w:val="bottom"/>
            <w:tcBorders>
              <w:left w:val="single" w:sz="8" w:color="00000A"/>
              <w:right w:val="single" w:sz="8" w:color="00000A"/>
            </w:tcBorders>
            <w:shd w:val="clear" w:color="auto" w:fill="C6D9F1"/>
          </w:tcPr>
          <w:p>
            <w:pPr>
              <w:spacing w:after="0"/>
              <w:rPr>
                <w:sz w:val="16"/>
                <w:szCs w:val="16"/>
                <w:color w:val="auto"/>
              </w:rPr>
            </w:pPr>
          </w:p>
        </w:tc>
        <w:tc>
          <w:tcPr>
            <w:tcW w:w="200" w:type="dxa"/>
            <w:vAlign w:val="bottom"/>
            <w:shd w:val="clear" w:color="auto" w:fill="C6D9F1"/>
          </w:tcPr>
          <w:p>
            <w:pPr>
              <w:spacing w:after="0"/>
              <w:rPr>
                <w:sz w:val="16"/>
                <w:szCs w:val="16"/>
                <w:color w:val="auto"/>
              </w:rPr>
            </w:pPr>
          </w:p>
        </w:tc>
        <w:tc>
          <w:tcPr>
            <w:tcW w:w="1160" w:type="dxa"/>
            <w:vAlign w:val="bottom"/>
            <w:tcBorders>
              <w:right w:val="single" w:sz="8" w:color="00000A"/>
            </w:tcBorders>
            <w:shd w:val="clear" w:color="auto" w:fill="C6D9F1"/>
          </w:tcPr>
          <w:p>
            <w:pPr>
              <w:spacing w:after="0"/>
              <w:rPr>
                <w:sz w:val="16"/>
                <w:szCs w:val="16"/>
                <w:color w:val="auto"/>
              </w:rPr>
            </w:pPr>
          </w:p>
        </w:tc>
        <w:tc>
          <w:tcPr>
            <w:tcW w:w="1320" w:type="dxa"/>
            <w:vAlign w:val="bottom"/>
            <w:tcBorders>
              <w:right w:val="single" w:sz="8" w:color="00000A"/>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Facility)</w:t>
            </w:r>
          </w:p>
        </w:tc>
        <w:tc>
          <w:tcPr>
            <w:tcW w:w="12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040" w:type="dxa"/>
            <w:vAlign w:val="bottom"/>
            <w:tcBorders>
              <w:right w:val="single" w:sz="8" w:color="00000A"/>
            </w:tcBorders>
            <w:shd w:val="clear" w:color="auto" w:fill="C6D9F1"/>
          </w:tcPr>
          <w:p>
            <w:pPr>
              <w:spacing w:after="0"/>
              <w:rPr>
                <w:sz w:val="16"/>
                <w:szCs w:val="16"/>
                <w:color w:val="auto"/>
              </w:rPr>
            </w:pPr>
          </w:p>
        </w:tc>
        <w:tc>
          <w:tcPr>
            <w:tcW w:w="1300" w:type="dxa"/>
            <w:vAlign w:val="bottom"/>
            <w:tcBorders>
              <w:right w:val="single" w:sz="8" w:color="00000A"/>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Facility)</w:t>
            </w:r>
          </w:p>
        </w:tc>
        <w:tc>
          <w:tcPr>
            <w:tcW w:w="140" w:type="dxa"/>
            <w:vAlign w:val="bottom"/>
            <w:shd w:val="clear" w:color="auto" w:fill="C6D9F1"/>
          </w:tcPr>
          <w:p>
            <w:pPr>
              <w:spacing w:after="0"/>
              <w:rPr>
                <w:sz w:val="16"/>
                <w:szCs w:val="16"/>
                <w:color w:val="auto"/>
              </w:rPr>
            </w:pPr>
          </w:p>
        </w:tc>
        <w:tc>
          <w:tcPr>
            <w:tcW w:w="60" w:type="dxa"/>
            <w:vAlign w:val="bottom"/>
            <w:shd w:val="clear" w:color="auto" w:fill="C6D9F1"/>
          </w:tcPr>
          <w:p>
            <w:pPr>
              <w:spacing w:after="0"/>
              <w:rPr>
                <w:sz w:val="16"/>
                <w:szCs w:val="16"/>
                <w:color w:val="auto"/>
              </w:rPr>
            </w:pPr>
          </w:p>
        </w:tc>
        <w:tc>
          <w:tcPr>
            <w:tcW w:w="1060" w:type="dxa"/>
            <w:vAlign w:val="bottom"/>
            <w:tcBorders>
              <w:right w:val="single" w:sz="8" w:color="00000A"/>
            </w:tcBorders>
            <w:shd w:val="clear" w:color="auto" w:fill="C6D9F1"/>
          </w:tcPr>
          <w:p>
            <w:pPr>
              <w:spacing w:after="0"/>
              <w:rPr>
                <w:sz w:val="16"/>
                <w:szCs w:val="16"/>
                <w:color w:val="auto"/>
              </w:rPr>
            </w:pPr>
          </w:p>
        </w:tc>
        <w:tc>
          <w:tcPr>
            <w:tcW w:w="1300" w:type="dxa"/>
            <w:vAlign w:val="bottom"/>
            <w:tcBorders>
              <w:right w:val="single" w:sz="8" w:color="00000A"/>
            </w:tcBorders>
            <w:shd w:val="clear" w:color="auto" w:fill="C6D9F1"/>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Loan Facility)</w:t>
            </w:r>
          </w:p>
        </w:tc>
        <w:tc>
          <w:tcPr>
            <w:tcW w:w="200" w:type="dxa"/>
            <w:vAlign w:val="bottom"/>
            <w:shd w:val="clear" w:color="auto" w:fill="C6D9F1"/>
          </w:tcPr>
          <w:p>
            <w:pPr>
              <w:spacing w:after="0"/>
              <w:rPr>
                <w:sz w:val="16"/>
                <w:szCs w:val="16"/>
                <w:color w:val="auto"/>
              </w:rPr>
            </w:pPr>
          </w:p>
        </w:tc>
        <w:tc>
          <w:tcPr>
            <w:tcW w:w="1160" w:type="dxa"/>
            <w:vAlign w:val="bottom"/>
            <w:tcBorders>
              <w:right w:val="single" w:sz="8" w:color="00000A"/>
            </w:tcBorders>
            <w:shd w:val="clear" w:color="auto" w:fill="C6D9F1"/>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300" w:type="dxa"/>
            <w:vAlign w:val="bottom"/>
            <w:tcBorders>
              <w:left w:val="single" w:sz="8" w:color="00000A"/>
              <w:bottom w:val="single" w:sz="8" w:color="C6D9F1"/>
              <w:right w:val="single" w:sz="8" w:color="00000A"/>
            </w:tcBorders>
            <w:shd w:val="clear" w:color="auto" w:fill="C6D9F1"/>
          </w:tcPr>
          <w:p>
            <w:pPr>
              <w:spacing w:after="0"/>
              <w:rPr>
                <w:sz w:val="6"/>
                <w:szCs w:val="6"/>
                <w:color w:val="auto"/>
              </w:rPr>
            </w:pPr>
          </w:p>
        </w:tc>
        <w:tc>
          <w:tcPr>
            <w:tcW w:w="200" w:type="dxa"/>
            <w:vAlign w:val="bottom"/>
            <w:tcBorders>
              <w:bottom w:val="single" w:sz="8" w:color="C6D9F1"/>
            </w:tcBorders>
            <w:shd w:val="clear" w:color="auto" w:fill="C6D9F1"/>
          </w:tcPr>
          <w:p>
            <w:pPr>
              <w:spacing w:after="0"/>
              <w:rPr>
                <w:sz w:val="6"/>
                <w:szCs w:val="6"/>
                <w:color w:val="auto"/>
              </w:rPr>
            </w:pPr>
          </w:p>
        </w:tc>
        <w:tc>
          <w:tcPr>
            <w:tcW w:w="1160" w:type="dxa"/>
            <w:vAlign w:val="bottom"/>
            <w:tcBorders>
              <w:bottom w:val="single" w:sz="8" w:color="C6D9F1"/>
              <w:right w:val="single" w:sz="8" w:color="00000A"/>
            </w:tcBorders>
            <w:shd w:val="clear" w:color="auto" w:fill="C6D9F1"/>
          </w:tcPr>
          <w:p>
            <w:pPr>
              <w:spacing w:after="0"/>
              <w:rPr>
                <w:sz w:val="6"/>
                <w:szCs w:val="6"/>
                <w:color w:val="auto"/>
              </w:rPr>
            </w:pPr>
          </w:p>
        </w:tc>
        <w:tc>
          <w:tcPr>
            <w:tcW w:w="1320" w:type="dxa"/>
            <w:vAlign w:val="bottom"/>
            <w:tcBorders>
              <w:bottom w:val="single" w:sz="8" w:color="C6D9F1"/>
              <w:right w:val="single" w:sz="8" w:color="00000A"/>
            </w:tcBorders>
            <w:vMerge w:val="continue"/>
            <w:shd w:val="clear" w:color="auto" w:fill="C6D9F1"/>
          </w:tcPr>
          <w:p>
            <w:pPr>
              <w:spacing w:after="0"/>
              <w:rPr>
                <w:sz w:val="6"/>
                <w:szCs w:val="6"/>
                <w:color w:val="auto"/>
              </w:rPr>
            </w:pPr>
          </w:p>
        </w:tc>
        <w:tc>
          <w:tcPr>
            <w:tcW w:w="120" w:type="dxa"/>
            <w:vAlign w:val="bottom"/>
            <w:tcBorders>
              <w:bottom w:val="single" w:sz="8" w:color="C6D9F1"/>
            </w:tcBorders>
            <w:shd w:val="clear" w:color="auto" w:fill="C6D9F1"/>
          </w:tcPr>
          <w:p>
            <w:pPr>
              <w:spacing w:after="0"/>
              <w:rPr>
                <w:sz w:val="6"/>
                <w:szCs w:val="6"/>
                <w:color w:val="auto"/>
              </w:rPr>
            </w:pPr>
          </w:p>
        </w:tc>
        <w:tc>
          <w:tcPr>
            <w:tcW w:w="80" w:type="dxa"/>
            <w:vAlign w:val="bottom"/>
            <w:tcBorders>
              <w:bottom w:val="single" w:sz="8" w:color="C6D9F1"/>
            </w:tcBorders>
            <w:shd w:val="clear" w:color="auto" w:fill="C6D9F1"/>
          </w:tcPr>
          <w:p>
            <w:pPr>
              <w:spacing w:after="0"/>
              <w:rPr>
                <w:sz w:val="6"/>
                <w:szCs w:val="6"/>
                <w:color w:val="auto"/>
              </w:rPr>
            </w:pPr>
          </w:p>
        </w:tc>
        <w:tc>
          <w:tcPr>
            <w:tcW w:w="1040" w:type="dxa"/>
            <w:vAlign w:val="bottom"/>
            <w:tcBorders>
              <w:bottom w:val="single" w:sz="8" w:color="C6D9F1"/>
              <w:right w:val="single" w:sz="8" w:color="00000A"/>
            </w:tcBorders>
            <w:shd w:val="clear" w:color="auto" w:fill="C6D9F1"/>
          </w:tcPr>
          <w:p>
            <w:pPr>
              <w:spacing w:after="0"/>
              <w:rPr>
                <w:sz w:val="6"/>
                <w:szCs w:val="6"/>
                <w:color w:val="auto"/>
              </w:rPr>
            </w:pPr>
          </w:p>
        </w:tc>
        <w:tc>
          <w:tcPr>
            <w:tcW w:w="1300" w:type="dxa"/>
            <w:vAlign w:val="bottom"/>
            <w:tcBorders>
              <w:bottom w:val="single" w:sz="8" w:color="C6D9F1"/>
              <w:right w:val="single" w:sz="8" w:color="00000A"/>
            </w:tcBorders>
            <w:vMerge w:val="continue"/>
            <w:shd w:val="clear" w:color="auto" w:fill="C6D9F1"/>
          </w:tcPr>
          <w:p>
            <w:pPr>
              <w:spacing w:after="0"/>
              <w:rPr>
                <w:sz w:val="6"/>
                <w:szCs w:val="6"/>
                <w:color w:val="auto"/>
              </w:rPr>
            </w:pPr>
          </w:p>
        </w:tc>
        <w:tc>
          <w:tcPr>
            <w:tcW w:w="140" w:type="dxa"/>
            <w:vAlign w:val="bottom"/>
            <w:tcBorders>
              <w:bottom w:val="single" w:sz="8" w:color="C6D9F1"/>
            </w:tcBorders>
            <w:shd w:val="clear" w:color="auto" w:fill="C6D9F1"/>
          </w:tcPr>
          <w:p>
            <w:pPr>
              <w:spacing w:after="0"/>
              <w:rPr>
                <w:sz w:val="6"/>
                <w:szCs w:val="6"/>
                <w:color w:val="auto"/>
              </w:rPr>
            </w:pPr>
          </w:p>
        </w:tc>
        <w:tc>
          <w:tcPr>
            <w:tcW w:w="60" w:type="dxa"/>
            <w:vAlign w:val="bottom"/>
            <w:tcBorders>
              <w:bottom w:val="single" w:sz="8" w:color="C6D9F1"/>
            </w:tcBorders>
            <w:shd w:val="clear" w:color="auto" w:fill="C6D9F1"/>
          </w:tcPr>
          <w:p>
            <w:pPr>
              <w:spacing w:after="0"/>
              <w:rPr>
                <w:sz w:val="6"/>
                <w:szCs w:val="6"/>
                <w:color w:val="auto"/>
              </w:rPr>
            </w:pPr>
          </w:p>
        </w:tc>
        <w:tc>
          <w:tcPr>
            <w:tcW w:w="1060" w:type="dxa"/>
            <w:vAlign w:val="bottom"/>
            <w:tcBorders>
              <w:bottom w:val="single" w:sz="8" w:color="C6D9F1"/>
              <w:right w:val="single" w:sz="8" w:color="00000A"/>
            </w:tcBorders>
            <w:shd w:val="clear" w:color="auto" w:fill="C6D9F1"/>
          </w:tcPr>
          <w:p>
            <w:pPr>
              <w:spacing w:after="0"/>
              <w:rPr>
                <w:sz w:val="6"/>
                <w:szCs w:val="6"/>
                <w:color w:val="auto"/>
              </w:rPr>
            </w:pPr>
          </w:p>
        </w:tc>
        <w:tc>
          <w:tcPr>
            <w:tcW w:w="1300" w:type="dxa"/>
            <w:vAlign w:val="bottom"/>
            <w:tcBorders>
              <w:bottom w:val="single" w:sz="8" w:color="C6D9F1"/>
              <w:right w:val="single" w:sz="8" w:color="00000A"/>
            </w:tcBorders>
            <w:shd w:val="clear" w:color="auto" w:fill="C6D9F1"/>
          </w:tcPr>
          <w:p>
            <w:pPr>
              <w:spacing w:after="0"/>
              <w:rPr>
                <w:sz w:val="6"/>
                <w:szCs w:val="6"/>
                <w:color w:val="auto"/>
              </w:rPr>
            </w:pPr>
          </w:p>
        </w:tc>
        <w:tc>
          <w:tcPr>
            <w:tcW w:w="200" w:type="dxa"/>
            <w:vAlign w:val="bottom"/>
            <w:tcBorders>
              <w:bottom w:val="single" w:sz="8" w:color="C6D9F1"/>
            </w:tcBorders>
            <w:shd w:val="clear" w:color="auto" w:fill="C6D9F1"/>
          </w:tcPr>
          <w:p>
            <w:pPr>
              <w:spacing w:after="0"/>
              <w:rPr>
                <w:sz w:val="6"/>
                <w:szCs w:val="6"/>
                <w:color w:val="auto"/>
              </w:rPr>
            </w:pPr>
          </w:p>
        </w:tc>
        <w:tc>
          <w:tcPr>
            <w:tcW w:w="1160" w:type="dxa"/>
            <w:vAlign w:val="bottom"/>
            <w:tcBorders>
              <w:bottom w:val="single" w:sz="8" w:color="C6D9F1"/>
              <w:right w:val="single" w:sz="8" w:color="00000A"/>
            </w:tcBorders>
            <w:shd w:val="clear" w:color="auto" w:fill="C6D9F1"/>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300" w:type="dxa"/>
            <w:vAlign w:val="bottom"/>
            <w:tcBorders>
              <w:top w:val="single" w:sz="8" w:color="auto"/>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Bank of America N.A.</w:t>
            </w: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107,992,380.34</w:t>
            </w:r>
          </w:p>
        </w:tc>
        <w:tc>
          <w:tcPr>
            <w:tcW w:w="1320" w:type="dxa"/>
            <w:vAlign w:val="bottom"/>
            <w:tcBorders>
              <w:top w:val="single" w:sz="8" w:color="auto"/>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10.284988610%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63,444,197.81</w:t>
            </w:r>
          </w:p>
        </w:tc>
        <w:tc>
          <w:tcPr>
            <w:tcW w:w="1300" w:type="dxa"/>
            <w:vAlign w:val="bottom"/>
            <w:tcBorders>
              <w:top w:val="single" w:sz="8" w:color="auto"/>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21.148065940%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51,063,421.85</w:t>
            </w:r>
          </w:p>
        </w:tc>
        <w:tc>
          <w:tcPr>
            <w:tcW w:w="1300" w:type="dxa"/>
            <w:vAlign w:val="bottom"/>
            <w:tcBorders>
              <w:top w:val="single" w:sz="8" w:color="auto"/>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12.765855460%</w:t>
            </w: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222,500,000.00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SunTrust Bank</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90,034,096.89</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8.574675894%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52,893,926.71</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17.631308900%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42,571,976.40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10.642994100%</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185,500,000.00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Bank of Montreal</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123,280,235.99</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11.740974860%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0.000000000%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36,719,764.01</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9.179941003%</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160,000,000.00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JPMorgan Chase Bank, N.A.</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77,657,442.06</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7.395946863%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45,622,793.93</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15.207597980%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36,719,764.01</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9.179941003%</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160,000,000.00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Wells Fargo Bank, National</w:t>
            </w:r>
          </w:p>
        </w:tc>
        <w:tc>
          <w:tcPr>
            <w:tcW w:w="2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123,280,235.99</w:t>
            </w:r>
          </w:p>
        </w:tc>
        <w:tc>
          <w:tcPr>
            <w:tcW w:w="1320" w:type="dxa"/>
            <w:vAlign w:val="bottom"/>
            <w:tcBorders>
              <w:right w:val="single" w:sz="8" w:color="00000A"/>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11.740974860%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300" w:type="dxa"/>
            <w:vAlign w:val="bottom"/>
            <w:tcBorders>
              <w:right w:val="single" w:sz="8" w:color="00000A"/>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0.000000000%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36,719,764.01</w:t>
            </w:r>
          </w:p>
        </w:tc>
        <w:tc>
          <w:tcPr>
            <w:tcW w:w="1300" w:type="dxa"/>
            <w:vAlign w:val="bottom"/>
            <w:tcBorders>
              <w:right w:val="single" w:sz="8" w:color="00000A"/>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9.179941003%</w:t>
            </w:r>
          </w:p>
        </w:tc>
        <w:tc>
          <w:tcPr>
            <w:tcW w:w="2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160,000,000.00</w:t>
            </w:r>
          </w:p>
        </w:tc>
        <w:tc>
          <w:tcPr>
            <w:tcW w:w="0" w:type="dxa"/>
            <w:vAlign w:val="bottom"/>
          </w:tcPr>
          <w:p>
            <w:pPr>
              <w:spacing w:after="0"/>
              <w:rPr>
                <w:sz w:val="1"/>
                <w:szCs w:val="1"/>
                <w:color w:val="auto"/>
              </w:rPr>
            </w:pPr>
          </w:p>
        </w:tc>
      </w:tr>
      <w:tr>
        <w:trPr>
          <w:trHeight w:val="97"/>
        </w:trPr>
        <w:tc>
          <w:tcPr>
            <w:tcW w:w="2300" w:type="dxa"/>
            <w:vAlign w:val="bottom"/>
            <w:tcBorders>
              <w:left w:val="single" w:sz="8" w:color="00000A"/>
              <w:right w:val="single" w:sz="8" w:color="00000A"/>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Association</w:t>
            </w:r>
          </w:p>
        </w:tc>
        <w:tc>
          <w:tcPr>
            <w:tcW w:w="200" w:type="dxa"/>
            <w:vAlign w:val="bottom"/>
            <w:vMerge w:val="continue"/>
          </w:tcPr>
          <w:p>
            <w:pPr>
              <w:spacing w:after="0"/>
              <w:rPr>
                <w:sz w:val="8"/>
                <w:szCs w:val="8"/>
                <w:color w:val="auto"/>
              </w:rPr>
            </w:pPr>
          </w:p>
        </w:tc>
        <w:tc>
          <w:tcPr>
            <w:tcW w:w="1160" w:type="dxa"/>
            <w:vAlign w:val="bottom"/>
            <w:tcBorders>
              <w:right w:val="single" w:sz="8" w:color="00000A"/>
            </w:tcBorders>
            <w:vMerge w:val="continue"/>
          </w:tcPr>
          <w:p>
            <w:pPr>
              <w:spacing w:after="0"/>
              <w:rPr>
                <w:sz w:val="8"/>
                <w:szCs w:val="8"/>
                <w:color w:val="auto"/>
              </w:rPr>
            </w:pPr>
          </w:p>
        </w:tc>
        <w:tc>
          <w:tcPr>
            <w:tcW w:w="1320" w:type="dxa"/>
            <w:vAlign w:val="bottom"/>
            <w:tcBorders>
              <w:right w:val="single" w:sz="8" w:color="00000A"/>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120" w:type="dxa"/>
            <w:vAlign w:val="bottom"/>
            <w:tcBorders>
              <w:right w:val="single" w:sz="8" w:color="00000A"/>
            </w:tcBorders>
            <w:gridSpan w:val="2"/>
            <w:vMerge w:val="continue"/>
          </w:tcPr>
          <w:p>
            <w:pPr>
              <w:spacing w:after="0"/>
              <w:rPr>
                <w:sz w:val="8"/>
                <w:szCs w:val="8"/>
                <w:color w:val="auto"/>
              </w:rPr>
            </w:pPr>
          </w:p>
        </w:tc>
        <w:tc>
          <w:tcPr>
            <w:tcW w:w="1300" w:type="dxa"/>
            <w:vAlign w:val="bottom"/>
            <w:tcBorders>
              <w:right w:val="single" w:sz="8" w:color="00000A"/>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120" w:type="dxa"/>
            <w:vAlign w:val="bottom"/>
            <w:tcBorders>
              <w:right w:val="single" w:sz="8" w:color="00000A"/>
            </w:tcBorders>
            <w:gridSpan w:val="2"/>
            <w:vMerge w:val="continue"/>
          </w:tcPr>
          <w:p>
            <w:pPr>
              <w:spacing w:after="0"/>
              <w:rPr>
                <w:sz w:val="8"/>
                <w:szCs w:val="8"/>
                <w:color w:val="auto"/>
              </w:rPr>
            </w:pPr>
          </w:p>
        </w:tc>
        <w:tc>
          <w:tcPr>
            <w:tcW w:w="1300" w:type="dxa"/>
            <w:vAlign w:val="bottom"/>
            <w:tcBorders>
              <w:right w:val="single" w:sz="8" w:color="00000A"/>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16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300" w:type="dxa"/>
            <w:vAlign w:val="bottom"/>
            <w:tcBorders>
              <w:left w:val="single" w:sz="8" w:color="00000A"/>
              <w:right w:val="single" w:sz="8" w:color="00000A"/>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right w:val="single" w:sz="8" w:color="00000A"/>
            </w:tcBorders>
          </w:tcPr>
          <w:p>
            <w:pPr>
              <w:spacing w:after="0"/>
              <w:rPr>
                <w:sz w:val="8"/>
                <w:szCs w:val="8"/>
                <w:color w:val="auto"/>
              </w:rPr>
            </w:pPr>
          </w:p>
        </w:tc>
        <w:tc>
          <w:tcPr>
            <w:tcW w:w="1320" w:type="dxa"/>
            <w:vAlign w:val="bottom"/>
            <w:tcBorders>
              <w:right w:val="single" w:sz="8" w:color="00000A"/>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Borders>
              <w:right w:val="single" w:sz="8" w:color="00000A"/>
            </w:tcBorders>
          </w:tcPr>
          <w:p>
            <w:pPr>
              <w:spacing w:after="0"/>
              <w:rPr>
                <w:sz w:val="8"/>
                <w:szCs w:val="8"/>
                <w:color w:val="auto"/>
              </w:rPr>
            </w:pPr>
          </w:p>
        </w:tc>
        <w:tc>
          <w:tcPr>
            <w:tcW w:w="1300" w:type="dxa"/>
            <w:vAlign w:val="bottom"/>
            <w:tcBorders>
              <w:right w:val="single" w:sz="8" w:color="00000A"/>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Borders>
              <w:right w:val="single" w:sz="8" w:color="00000A"/>
            </w:tcBorders>
          </w:tcPr>
          <w:p>
            <w:pPr>
              <w:spacing w:after="0"/>
              <w:rPr>
                <w:sz w:val="8"/>
                <w:szCs w:val="8"/>
                <w:color w:val="auto"/>
              </w:rPr>
            </w:pPr>
          </w:p>
        </w:tc>
        <w:tc>
          <w:tcPr>
            <w:tcW w:w="1300" w:type="dxa"/>
            <w:vAlign w:val="bottom"/>
            <w:tcBorders>
              <w:right w:val="single" w:sz="8" w:color="00000A"/>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300" w:type="dxa"/>
            <w:vAlign w:val="bottom"/>
            <w:tcBorders>
              <w:left w:val="single" w:sz="8" w:color="00000A"/>
              <w:bottom w:val="single" w:sz="8" w:color="00000A"/>
              <w:right w:val="single" w:sz="8" w:color="00000A"/>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Capital One, National Association</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88,607,669.62</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8.438825678%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0.000000000%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26,392,330.38</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6.598082595%</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115,000,000.00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BBVA USA</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55,816,286.48</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5.315836808%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32,791,383.14</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10.930461050%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26,392,330.38</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6.598082595%</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115,000,000.00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PNC Bank, National Association</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55,816,286.48</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5.315836808%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32,791,383.14</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10.930461050%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26,392,330.38</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6.598082595%</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115,000,000.00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HSBC Bank USA, N.A.</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48,535,901.28</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4.622466789%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28,514,246.21</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9.504748737%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22,949,852.51</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5.737463128%</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100,000,000.00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Synovus Bank</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50,082,595.87</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4.769771035%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0.000000000%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14,917,404.13</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3.729351033%</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65,000,000.00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Citizens Bank, N.A.</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46,230,088.50</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4.402865571%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0.000000000%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13,769,911.50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3.442477875%</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60,000,000.00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U.S. Bank National Association</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29,121,540.78</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2.773480074%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17,108,547.72</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5.702849240%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13,769,911.50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3.442477875%</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60,000,000.00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Barclays Bank PLC</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27,716,749.75</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2.639690452%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16,283,250.25</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5.427750083%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11,000,000.00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2.750000000%</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55,000,000.00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MUFG Bank, Ltd.</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53,164,601.77</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5.063295407%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0.000000000%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53,164,601.77</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Morgan Stanley Bank, N.A.</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35,443,067.85</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3.375530271%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0.000000000%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10,556,932.15</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2.639233038%</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46,000,000.00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Branch Banking and Trust</w:t>
            </w:r>
          </w:p>
        </w:tc>
        <w:tc>
          <w:tcPr>
            <w:tcW w:w="2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17,958,283.48</w:t>
            </w:r>
          </w:p>
        </w:tc>
        <w:tc>
          <w:tcPr>
            <w:tcW w:w="1320" w:type="dxa"/>
            <w:vAlign w:val="bottom"/>
            <w:tcBorders>
              <w:right w:val="single" w:sz="8" w:color="00000A"/>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1.710312712%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10,550,271.09</w:t>
            </w:r>
          </w:p>
        </w:tc>
        <w:tc>
          <w:tcPr>
            <w:tcW w:w="1300" w:type="dxa"/>
            <w:vAlign w:val="bottom"/>
            <w:tcBorders>
              <w:right w:val="single" w:sz="8" w:color="00000A"/>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3.516757030%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8,491,445.43</w:t>
            </w:r>
          </w:p>
        </w:tc>
        <w:tc>
          <w:tcPr>
            <w:tcW w:w="1300" w:type="dxa"/>
            <w:vAlign w:val="bottom"/>
            <w:tcBorders>
              <w:right w:val="single" w:sz="8" w:color="00000A"/>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2.122861358%</w:t>
            </w:r>
          </w:p>
        </w:tc>
        <w:tc>
          <w:tcPr>
            <w:tcW w:w="2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37,000,000.00</w:t>
            </w:r>
          </w:p>
        </w:tc>
        <w:tc>
          <w:tcPr>
            <w:tcW w:w="0" w:type="dxa"/>
            <w:vAlign w:val="bottom"/>
          </w:tcPr>
          <w:p>
            <w:pPr>
              <w:spacing w:after="0"/>
              <w:rPr>
                <w:sz w:val="1"/>
                <w:szCs w:val="1"/>
                <w:color w:val="auto"/>
              </w:rPr>
            </w:pPr>
          </w:p>
        </w:tc>
      </w:tr>
      <w:tr>
        <w:trPr>
          <w:trHeight w:val="97"/>
        </w:trPr>
        <w:tc>
          <w:tcPr>
            <w:tcW w:w="2300" w:type="dxa"/>
            <w:vAlign w:val="bottom"/>
            <w:tcBorders>
              <w:left w:val="single" w:sz="8" w:color="00000A"/>
              <w:right w:val="single" w:sz="8" w:color="00000A"/>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Company</w:t>
            </w:r>
          </w:p>
        </w:tc>
        <w:tc>
          <w:tcPr>
            <w:tcW w:w="200" w:type="dxa"/>
            <w:vAlign w:val="bottom"/>
            <w:vMerge w:val="continue"/>
          </w:tcPr>
          <w:p>
            <w:pPr>
              <w:spacing w:after="0"/>
              <w:rPr>
                <w:sz w:val="8"/>
                <w:szCs w:val="8"/>
                <w:color w:val="auto"/>
              </w:rPr>
            </w:pPr>
          </w:p>
        </w:tc>
        <w:tc>
          <w:tcPr>
            <w:tcW w:w="1160" w:type="dxa"/>
            <w:vAlign w:val="bottom"/>
            <w:tcBorders>
              <w:right w:val="single" w:sz="8" w:color="00000A"/>
            </w:tcBorders>
            <w:vMerge w:val="continue"/>
          </w:tcPr>
          <w:p>
            <w:pPr>
              <w:spacing w:after="0"/>
              <w:rPr>
                <w:sz w:val="8"/>
                <w:szCs w:val="8"/>
                <w:color w:val="auto"/>
              </w:rPr>
            </w:pPr>
          </w:p>
        </w:tc>
        <w:tc>
          <w:tcPr>
            <w:tcW w:w="1320" w:type="dxa"/>
            <w:vAlign w:val="bottom"/>
            <w:tcBorders>
              <w:right w:val="single" w:sz="8" w:color="00000A"/>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120" w:type="dxa"/>
            <w:vAlign w:val="bottom"/>
            <w:tcBorders>
              <w:right w:val="single" w:sz="8" w:color="00000A"/>
            </w:tcBorders>
            <w:gridSpan w:val="2"/>
            <w:vMerge w:val="continue"/>
          </w:tcPr>
          <w:p>
            <w:pPr>
              <w:spacing w:after="0"/>
              <w:rPr>
                <w:sz w:val="8"/>
                <w:szCs w:val="8"/>
                <w:color w:val="auto"/>
              </w:rPr>
            </w:pPr>
          </w:p>
        </w:tc>
        <w:tc>
          <w:tcPr>
            <w:tcW w:w="1300" w:type="dxa"/>
            <w:vAlign w:val="bottom"/>
            <w:tcBorders>
              <w:right w:val="single" w:sz="8" w:color="00000A"/>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120" w:type="dxa"/>
            <w:vAlign w:val="bottom"/>
            <w:tcBorders>
              <w:right w:val="single" w:sz="8" w:color="00000A"/>
            </w:tcBorders>
            <w:gridSpan w:val="2"/>
            <w:vMerge w:val="continue"/>
          </w:tcPr>
          <w:p>
            <w:pPr>
              <w:spacing w:after="0"/>
              <w:rPr>
                <w:sz w:val="8"/>
                <w:szCs w:val="8"/>
                <w:color w:val="auto"/>
              </w:rPr>
            </w:pPr>
          </w:p>
        </w:tc>
        <w:tc>
          <w:tcPr>
            <w:tcW w:w="1300" w:type="dxa"/>
            <w:vAlign w:val="bottom"/>
            <w:tcBorders>
              <w:right w:val="single" w:sz="8" w:color="00000A"/>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16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300" w:type="dxa"/>
            <w:vAlign w:val="bottom"/>
            <w:tcBorders>
              <w:left w:val="single" w:sz="8" w:color="00000A"/>
              <w:right w:val="single" w:sz="8" w:color="00000A"/>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right w:val="single" w:sz="8" w:color="00000A"/>
            </w:tcBorders>
          </w:tcPr>
          <w:p>
            <w:pPr>
              <w:spacing w:after="0"/>
              <w:rPr>
                <w:sz w:val="8"/>
                <w:szCs w:val="8"/>
                <w:color w:val="auto"/>
              </w:rPr>
            </w:pPr>
          </w:p>
        </w:tc>
        <w:tc>
          <w:tcPr>
            <w:tcW w:w="1320" w:type="dxa"/>
            <w:vAlign w:val="bottom"/>
            <w:tcBorders>
              <w:right w:val="single" w:sz="8" w:color="00000A"/>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Borders>
              <w:right w:val="single" w:sz="8" w:color="00000A"/>
            </w:tcBorders>
          </w:tcPr>
          <w:p>
            <w:pPr>
              <w:spacing w:after="0"/>
              <w:rPr>
                <w:sz w:val="8"/>
                <w:szCs w:val="8"/>
                <w:color w:val="auto"/>
              </w:rPr>
            </w:pPr>
          </w:p>
        </w:tc>
        <w:tc>
          <w:tcPr>
            <w:tcW w:w="1300" w:type="dxa"/>
            <w:vAlign w:val="bottom"/>
            <w:tcBorders>
              <w:right w:val="single" w:sz="8" w:color="00000A"/>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Borders>
              <w:right w:val="single" w:sz="8" w:color="00000A"/>
            </w:tcBorders>
          </w:tcPr>
          <w:p>
            <w:pPr>
              <w:spacing w:after="0"/>
              <w:rPr>
                <w:sz w:val="8"/>
                <w:szCs w:val="8"/>
                <w:color w:val="auto"/>
              </w:rPr>
            </w:pPr>
          </w:p>
        </w:tc>
        <w:tc>
          <w:tcPr>
            <w:tcW w:w="1300" w:type="dxa"/>
            <w:vAlign w:val="bottom"/>
            <w:tcBorders>
              <w:right w:val="single" w:sz="8" w:color="00000A"/>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300" w:type="dxa"/>
            <w:vAlign w:val="bottom"/>
            <w:tcBorders>
              <w:left w:val="single" w:sz="8" w:color="00000A"/>
              <w:bottom w:val="single" w:sz="8" w:color="00000A"/>
              <w:right w:val="single" w:sz="8" w:color="00000A"/>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Bank United, NA</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19,262,536.87</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1.834527321%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0.000000000%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5,737,463.13</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1.434365783%</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25,000,000.00</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MUFG Union Bank, N.A.</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320" w:type="dxa"/>
            <w:vAlign w:val="bottom"/>
            <w:tcBorders>
              <w:right w:val="single" w:sz="8" w:color="00000A"/>
            </w:tcBorders>
          </w:tcPr>
          <w:p>
            <w:pPr>
              <w:jc w:val="right"/>
              <w:ind w:right="2"/>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0.000000000%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15,835,398.23</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3.958849557%</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color w:val="auto"/>
              </w:rPr>
              <w:t>15,835,398.23</w:t>
            </w:r>
          </w:p>
        </w:tc>
        <w:tc>
          <w:tcPr>
            <w:tcW w:w="0" w:type="dxa"/>
            <w:vAlign w:val="bottom"/>
          </w:tcPr>
          <w:p>
            <w:pPr>
              <w:spacing w:after="0"/>
              <w:rPr>
                <w:sz w:val="1"/>
                <w:szCs w:val="1"/>
                <w:color w:val="auto"/>
              </w:rPr>
            </w:pPr>
          </w:p>
        </w:tc>
      </w:tr>
      <w:tr>
        <w:trPr>
          <w:trHeight w:val="44"/>
        </w:trPr>
        <w:tc>
          <w:tcPr>
            <w:tcW w:w="2300" w:type="dxa"/>
            <w:vAlign w:val="bottom"/>
            <w:tcBorders>
              <w:left w:val="single" w:sz="8" w:color="00000A"/>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00000A"/>
              <w:right w:val="single" w:sz="8" w:color="00000A"/>
            </w:tcBorders>
          </w:tcPr>
          <w:p>
            <w:pPr>
              <w:spacing w:after="0"/>
              <w:rPr>
                <w:sz w:val="3"/>
                <w:szCs w:val="3"/>
                <w:color w:val="auto"/>
              </w:rPr>
            </w:pPr>
          </w:p>
        </w:tc>
        <w:tc>
          <w:tcPr>
            <w:tcW w:w="1300" w:type="dxa"/>
            <w:vAlign w:val="bottom"/>
            <w:tcBorders>
              <w:bottom w:val="single" w:sz="8" w:color="00000A"/>
              <w:right w:val="single" w:sz="8" w:color="00000A"/>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1,050,000,000.00</w:t>
            </w:r>
          </w:p>
        </w:tc>
        <w:tc>
          <w:tcPr>
            <w:tcW w:w="132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100.000000000%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300,000,000.00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right w:val="single" w:sz="8" w:color="00000A"/>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400,000,000.00</w:t>
            </w:r>
          </w:p>
        </w:tc>
        <w:tc>
          <w:tcPr>
            <w:tcW w:w="130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100.000000000%</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1,750,000,000.00</w:t>
            </w:r>
          </w:p>
        </w:tc>
        <w:tc>
          <w:tcPr>
            <w:tcW w:w="0" w:type="dxa"/>
            <w:vAlign w:val="bottom"/>
          </w:tcPr>
          <w:p>
            <w:pPr>
              <w:spacing w:after="0"/>
              <w:rPr>
                <w:sz w:val="1"/>
                <w:szCs w:val="1"/>
                <w:color w:val="auto"/>
              </w:rPr>
            </w:pPr>
          </w:p>
        </w:tc>
      </w:tr>
      <w:tr>
        <w:trPr>
          <w:trHeight w:val="57"/>
        </w:trPr>
        <w:tc>
          <w:tcPr>
            <w:tcW w:w="2300" w:type="dxa"/>
            <w:vAlign w:val="bottom"/>
            <w:tcBorders>
              <w:left w:val="single" w:sz="8" w:color="00000A"/>
              <w:bottom w:val="single" w:sz="8" w:color="00000A"/>
              <w:right w:val="single" w:sz="8" w:color="00000A"/>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00000A"/>
              <w:right w:val="single" w:sz="8" w:color="00000A"/>
            </w:tcBorders>
          </w:tcPr>
          <w:p>
            <w:pPr>
              <w:spacing w:after="0"/>
              <w:rPr>
                <w:sz w:val="4"/>
                <w:szCs w:val="4"/>
                <w:color w:val="auto"/>
              </w:rPr>
            </w:pPr>
          </w:p>
        </w:tc>
        <w:tc>
          <w:tcPr>
            <w:tcW w:w="1320" w:type="dxa"/>
            <w:vAlign w:val="bottom"/>
            <w:tcBorders>
              <w:bottom w:val="single" w:sz="8" w:color="00000A"/>
              <w:right w:val="single" w:sz="8" w:color="00000A"/>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00000A"/>
              <w:right w:val="single" w:sz="8" w:color="00000A"/>
            </w:tcBorders>
          </w:tcPr>
          <w:p>
            <w:pPr>
              <w:spacing w:after="0"/>
              <w:rPr>
                <w:sz w:val="4"/>
                <w:szCs w:val="4"/>
                <w:color w:val="auto"/>
              </w:rPr>
            </w:pPr>
          </w:p>
        </w:tc>
        <w:tc>
          <w:tcPr>
            <w:tcW w:w="1300" w:type="dxa"/>
            <w:vAlign w:val="bottom"/>
            <w:tcBorders>
              <w:bottom w:val="single" w:sz="8" w:color="00000A"/>
              <w:right w:val="single" w:sz="8" w:color="00000A"/>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60" w:type="dxa"/>
            <w:vAlign w:val="bottom"/>
            <w:tcBorders>
              <w:bottom w:val="single" w:sz="8" w:color="00000A"/>
              <w:right w:val="single" w:sz="8" w:color="00000A"/>
            </w:tcBorders>
          </w:tcPr>
          <w:p>
            <w:pPr>
              <w:spacing w:after="0"/>
              <w:rPr>
                <w:sz w:val="4"/>
                <w:szCs w:val="4"/>
                <w:color w:val="auto"/>
              </w:rPr>
            </w:pPr>
          </w:p>
        </w:tc>
        <w:tc>
          <w:tcPr>
            <w:tcW w:w="1300" w:type="dxa"/>
            <w:vAlign w:val="bottom"/>
            <w:tcBorders>
              <w:bottom w:val="single" w:sz="8" w:color="00000A"/>
              <w:right w:val="single" w:sz="8" w:color="00000A"/>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655"/>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119889268</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99" w:right="21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ANNEX III</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TERM LOAN FACILITY AMORTIZATION SCHEDULE</w:t>
      </w:r>
    </w:p>
    <w:p>
      <w:pPr>
        <w:spacing w:after="0" w:line="375" w:lineRule="exact"/>
        <w:rPr>
          <w:sz w:val="20"/>
          <w:szCs w:val="20"/>
          <w:color w:val="auto"/>
        </w:rPr>
      </w:pPr>
    </w:p>
    <w:tbl>
      <w:tblPr>
        <w:tblLayout w:type="fixed"/>
        <w:tblInd w:w="2750" w:type="dxa"/>
        <w:tblCellMar>
          <w:top w:w="0" w:type="dxa"/>
          <w:left w:w="0" w:type="dxa"/>
          <w:bottom w:w="0" w:type="dxa"/>
          <w:right w:w="0" w:type="dxa"/>
        </w:tblCellMar>
      </w:tblPr>
      <w:tr>
        <w:trPr>
          <w:trHeight w:val="268"/>
        </w:trPr>
        <w:tc>
          <w:tcPr>
            <w:tcW w:w="3240" w:type="dxa"/>
            <w:vAlign w:val="bottom"/>
            <w:tcBorders>
              <w:top w:val="single" w:sz="8" w:color="auto"/>
              <w:left w:val="single" w:sz="8" w:color="auto"/>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Payment Date</w:t>
            </w:r>
          </w:p>
        </w:tc>
        <w:tc>
          <w:tcPr>
            <w:tcW w:w="2720" w:type="dxa"/>
            <w:vAlign w:val="bottom"/>
            <w:tcBorders>
              <w:top w:val="single" w:sz="8" w:color="auto"/>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Principal Payment</w:t>
            </w:r>
          </w:p>
        </w:tc>
      </w:tr>
      <w:tr>
        <w:trPr>
          <w:trHeight w:val="319"/>
        </w:trPr>
        <w:tc>
          <w:tcPr>
            <w:tcW w:w="3240" w:type="dxa"/>
            <w:vAlign w:val="bottom"/>
            <w:tcBorders>
              <w:left w:val="single" w:sz="8" w:color="auto"/>
              <w:bottom w:val="single" w:sz="8" w:color="DEEAF6"/>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(Last Business Day of)</w:t>
            </w:r>
          </w:p>
        </w:tc>
        <w:tc>
          <w:tcPr>
            <w:tcW w:w="2720" w:type="dxa"/>
            <w:vAlign w:val="bottom"/>
            <w:tcBorders>
              <w:bottom w:val="single" w:sz="8" w:color="DEEAF6"/>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21"/>
                <w:szCs w:val="21"/>
                <w:b w:val="1"/>
                <w:bCs w:val="1"/>
                <w:color w:val="auto"/>
              </w:rPr>
              <w:t>Amount</w:t>
            </w:r>
          </w:p>
        </w:tc>
      </w:tr>
      <w:tr>
        <w:trPr>
          <w:trHeight w:val="262"/>
        </w:trPr>
        <w:tc>
          <w:tcPr>
            <w:tcW w:w="32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September 2019</w:t>
            </w:r>
          </w:p>
        </w:tc>
        <w:tc>
          <w:tcPr>
            <w:tcW w:w="2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December 2019</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March 2020</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June 2020</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September 2020</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December 2020</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$2,500,000.00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March 2021</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$2,500,000.00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June 2021</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$2,500,000.00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September 2021</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$2,500,000.00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December 2021</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$5,000,000.00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March 2022</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$5,000,000.00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June 2022</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$5,000,000.00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September 2022</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$5,000,000.00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December 2022</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$5,000,000.00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March 2023</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$5,000,000.00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June 2023</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$5,000,000.00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September 2023</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$5,000,000.00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December 2023</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$5,000,000.00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March 2024</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$5,000,000.00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r>
        <w:trPr>
          <w:trHeight w:val="262"/>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June 2024</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$5,000,000.00</w:t>
            </w:r>
          </w:p>
        </w:tc>
      </w:tr>
      <w:tr>
        <w:trPr>
          <w:trHeight w:val="41"/>
        </w:trPr>
        <w:tc>
          <w:tcPr>
            <w:tcW w:w="3240" w:type="dxa"/>
            <w:vAlign w:val="bottom"/>
            <w:tcBorders>
              <w:left w:val="single" w:sz="8" w:color="auto"/>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119889268</w:t>
      </w:r>
    </w:p>
    <w:p>
      <w:pPr>
        <w:sectPr>
          <w:pgSz w:w="11900" w:h="16838" w:orient="portrait"/>
          <w:cols w:equalWidth="0" w:num="1">
            <w:col w:w="11420"/>
          </w:cols>
          <w:pgMar w:left="240" w:top="599" w:right="239" w:bottom="1440" w:gutter="0" w:footer="0" w:header="0"/>
        </w:sectPr>
      </w:pPr>
    </w:p>
    <w:bookmarkStart w:id="253" w:name="page254"/>
    <w:bookmarkEnd w:id="253"/>
    <w:p>
      <w:pPr>
        <w:ind w:left="9900"/>
        <w:spacing w:after="0"/>
        <w:rPr>
          <w:sz w:val="20"/>
          <w:szCs w:val="20"/>
          <w:color w:val="auto"/>
        </w:rPr>
      </w:pPr>
      <w:r>
        <w:rPr>
          <w:rFonts w:ascii="Times New Roman" w:cs="Times New Roman" w:eastAsia="Times New Roman" w:hAnsi="Times New Roman"/>
          <w:sz w:val="20"/>
          <w:szCs w:val="20"/>
          <w:b w:val="1"/>
          <w:bCs w:val="1"/>
          <w:i w:val="1"/>
          <w:iCs w:val="1"/>
          <w:color w:val="auto"/>
        </w:rPr>
        <w:t>SCHEDULE 5.05</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SUPPLEMENT TO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6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MasTec, Inc.</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Balance</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Rate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w:t>
            </w:r>
          </w:p>
        </w:tc>
      </w:tr>
      <w:tr>
        <w:trPr>
          <w:trHeight w:val="227"/>
        </w:trPr>
        <w:tc>
          <w:tcPr>
            <w:tcW w:w="6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Summary of Material Indebtedness as of December 31, 2018</w:t>
            </w:r>
          </w:p>
        </w:tc>
        <w:tc>
          <w:tcPr>
            <w:tcW w:w="17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6"/>
        </w:trPr>
        <w:tc>
          <w:tcPr>
            <w:tcW w:w="666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26"/>
        </w:trPr>
        <w:tc>
          <w:tcPr>
            <w:tcW w:w="6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4.875% Senior Notes</w:t>
            </w:r>
          </w:p>
        </w:tc>
        <w:tc>
          <w:tcPr>
            <w:tcW w:w="170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$400,000,000</w:t>
            </w:r>
          </w:p>
        </w:tc>
        <w:tc>
          <w:tcPr>
            <w:tcW w:w="1500" w:type="dxa"/>
            <w:vAlign w:val="bottom"/>
            <w:tcBorders>
              <w:right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4.875%</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March 2023</w:t>
            </w:r>
          </w:p>
        </w:tc>
      </w:tr>
      <w:tr>
        <w:trPr>
          <w:trHeight w:val="26"/>
        </w:trPr>
        <w:tc>
          <w:tcPr>
            <w:tcW w:w="666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40"/>
          </w:cols>
          <w:pgMar w:left="240" w:top="599" w:right="21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SCHEDULE 5.08(b)</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EXISTING LIENS</w:t>
      </w:r>
    </w:p>
    <w:p>
      <w:pPr>
        <w:spacing w:after="0" w:line="262"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color w:val="auto"/>
        </w:rPr>
        <w:t>Liens securing capital leases set forth on Schedule 7.03, which liens do not encumber any property other than the property financed by the related capital lease and the indebtedness secured thereby did not exceed the costs or fair market value (as determined by the Company in good faith), whichever is lower, of the property acquired thereby on the date of such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599" w:right="239" w:bottom="1440" w:gutter="0" w:footer="0" w:header="0"/>
        </w:sectPr>
      </w:pPr>
    </w:p>
    <w:bookmarkStart w:id="255" w:name="page256"/>
    <w:bookmarkEnd w:id="255"/>
    <w:p>
      <w:pPr>
        <w:ind w:left="9660"/>
        <w:spacing w:after="0"/>
        <w:rPr>
          <w:sz w:val="20"/>
          <w:szCs w:val="20"/>
          <w:color w:val="auto"/>
        </w:rPr>
      </w:pPr>
      <w:r>
        <w:rPr>
          <w:rFonts w:ascii="Times New Roman" w:cs="Times New Roman" w:eastAsia="Times New Roman" w:hAnsi="Times New Roman"/>
          <w:sz w:val="20"/>
          <w:szCs w:val="20"/>
          <w:b w:val="1"/>
          <w:bCs w:val="1"/>
          <w:i w:val="1"/>
          <w:iCs w:val="1"/>
          <w:color w:val="auto"/>
        </w:rPr>
        <w:t>SCHEDULE 5.08(c)</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OWNED REAL PROPERTY</w:t>
      </w: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40" w:type="dxa"/>
            <w:vAlign w:val="bottom"/>
            <w:tcBorders>
              <w:top w:val="single" w:sz="8" w:color="auto"/>
              <w:left w:val="single" w:sz="8" w:color="auto"/>
              <w:right w:val="single" w:sz="8" w:color="auto"/>
            </w:tcBorders>
            <w:gridSpan w:val="2"/>
            <w:shd w:val="clear" w:color="auto" w:fill="AEAAAA"/>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Address</w:t>
            </w:r>
          </w:p>
        </w:tc>
        <w:tc>
          <w:tcPr>
            <w:tcW w:w="2620" w:type="dxa"/>
            <w:vAlign w:val="bottom"/>
            <w:tcBorders>
              <w:top w:val="single" w:sz="8" w:color="auto"/>
              <w:right w:val="single" w:sz="8" w:color="auto"/>
            </w:tcBorders>
            <w:shd w:val="clear" w:color="auto" w:fill="AEAAAA"/>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Record Owner</w:t>
            </w:r>
          </w:p>
        </w:tc>
        <w:tc>
          <w:tcPr>
            <w:tcW w:w="1600" w:type="dxa"/>
            <w:vAlign w:val="bottom"/>
            <w:tcBorders>
              <w:top w:val="single" w:sz="8" w:color="auto"/>
              <w:right w:val="single" w:sz="8" w:color="auto"/>
            </w:tcBorders>
            <w:shd w:val="clear" w:color="auto" w:fill="AEAAAA"/>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Book Value</w:t>
            </w:r>
          </w:p>
        </w:tc>
        <w:tc>
          <w:tcPr>
            <w:tcW w:w="1580" w:type="dxa"/>
            <w:vAlign w:val="bottom"/>
            <w:tcBorders>
              <w:top w:val="single" w:sz="8" w:color="auto"/>
              <w:right w:val="single" w:sz="8" w:color="auto"/>
            </w:tcBorders>
            <w:shd w:val="clear" w:color="auto" w:fill="AEAAAA"/>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Estimated Fair</w:t>
            </w:r>
          </w:p>
        </w:tc>
      </w:tr>
      <w:tr>
        <w:trPr>
          <w:trHeight w:val="241"/>
        </w:trPr>
        <w:tc>
          <w:tcPr>
            <w:tcW w:w="380" w:type="dxa"/>
            <w:vAlign w:val="bottom"/>
            <w:tcBorders>
              <w:left w:val="single" w:sz="8" w:color="auto"/>
              <w:bottom w:val="single" w:sz="8" w:color="AEAAAA"/>
            </w:tcBorders>
            <w:shd w:val="clear" w:color="auto" w:fill="AEAAAA"/>
          </w:tcPr>
          <w:p>
            <w:pPr>
              <w:spacing w:after="0"/>
              <w:rPr>
                <w:sz w:val="20"/>
                <w:szCs w:val="20"/>
                <w:color w:val="auto"/>
              </w:rPr>
            </w:pPr>
          </w:p>
        </w:tc>
        <w:tc>
          <w:tcPr>
            <w:tcW w:w="5260" w:type="dxa"/>
            <w:vAlign w:val="bottom"/>
            <w:tcBorders>
              <w:bottom w:val="single" w:sz="8" w:color="AEAAAA"/>
              <w:right w:val="single" w:sz="8" w:color="auto"/>
            </w:tcBorders>
            <w:shd w:val="clear" w:color="auto" w:fill="AEAAAA"/>
          </w:tcPr>
          <w:p>
            <w:pPr>
              <w:spacing w:after="0"/>
              <w:rPr>
                <w:sz w:val="20"/>
                <w:szCs w:val="20"/>
                <w:color w:val="auto"/>
              </w:rPr>
            </w:pPr>
          </w:p>
        </w:tc>
        <w:tc>
          <w:tcPr>
            <w:tcW w:w="2620" w:type="dxa"/>
            <w:vAlign w:val="bottom"/>
            <w:tcBorders>
              <w:bottom w:val="single" w:sz="8" w:color="AEAAAA"/>
              <w:right w:val="single" w:sz="8" w:color="auto"/>
            </w:tcBorders>
            <w:shd w:val="clear" w:color="auto" w:fill="AEAAAA"/>
          </w:tcPr>
          <w:p>
            <w:pPr>
              <w:spacing w:after="0"/>
              <w:rPr>
                <w:sz w:val="20"/>
                <w:szCs w:val="20"/>
                <w:color w:val="auto"/>
              </w:rPr>
            </w:pPr>
          </w:p>
        </w:tc>
        <w:tc>
          <w:tcPr>
            <w:tcW w:w="1600" w:type="dxa"/>
            <w:vAlign w:val="bottom"/>
            <w:tcBorders>
              <w:bottom w:val="single" w:sz="8" w:color="AEAAAA"/>
              <w:right w:val="single" w:sz="8" w:color="auto"/>
            </w:tcBorders>
            <w:shd w:val="clear" w:color="auto" w:fill="AEAAAA"/>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(Land and Building)</w:t>
            </w:r>
          </w:p>
        </w:tc>
        <w:tc>
          <w:tcPr>
            <w:tcW w:w="1580" w:type="dxa"/>
            <w:vAlign w:val="bottom"/>
            <w:tcBorders>
              <w:bottom w:val="single" w:sz="8" w:color="AEAAAA"/>
              <w:right w:val="single" w:sz="8" w:color="auto"/>
            </w:tcBorders>
            <w:shd w:val="clear" w:color="auto" w:fill="AEAAAA"/>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Market Value</w:t>
            </w:r>
          </w:p>
        </w:tc>
      </w:tr>
      <w:tr>
        <w:trPr>
          <w:trHeight w:val="234"/>
        </w:trPr>
        <w:tc>
          <w:tcPr>
            <w:tcW w:w="564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959 Dobskyville Road Yorktown TX 77963</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Bottom Line</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$515,788</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$575,000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1010</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&amp; 1008 Hwy 59 W George West TX 78022</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Bottom Line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$987,083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$1,200,000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1450</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Peoples Street Suites A and B Columbia SC 29203</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Central Office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$160,000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$416,989</w:t>
            </w:r>
          </w:p>
        </w:tc>
      </w:tr>
      <w:tr>
        <w:trPr>
          <w:trHeight w:val="238"/>
        </w:trPr>
        <w:tc>
          <w:tcPr>
            <w:tcW w:w="5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209 Art Bryan Drive Asheboro NC 27203</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Energy</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$1,549,993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$1,349,370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2721</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Carpenter-Upchurch Rd Cary NC 27519</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Energy</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$416,443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$953,696</w:t>
            </w:r>
          </w:p>
        </w:tc>
      </w:tr>
      <w:tr>
        <w:trPr>
          <w:trHeight w:val="238"/>
        </w:trPr>
        <w:tc>
          <w:tcPr>
            <w:tcW w:w="5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600 Weyerhausen Rd Ernul NC 28527</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Energy</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$54,824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$150,000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3857</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Hwy 421 North Wilmington NC 28401</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Energy</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$244,228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$692,985</w:t>
            </w:r>
          </w:p>
        </w:tc>
      </w:tr>
      <w:tr>
        <w:trPr>
          <w:trHeight w:val="238"/>
        </w:trPr>
        <w:tc>
          <w:tcPr>
            <w:tcW w:w="5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Subdivision: Blue Herron Estate Citrus Woods Lakeland FL 33801</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Essential Services</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$186,000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$151,081</w:t>
            </w:r>
          </w:p>
        </w:tc>
      </w:tr>
      <w:tr>
        <w:trPr>
          <w:trHeight w:val="238"/>
        </w:trPr>
        <w:tc>
          <w:tcPr>
            <w:tcW w:w="5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Sec/Twn/Rng/Mer: Sec 35 Twn 28S Rng 24 E Lakeland FL 33801</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Essential Services</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$521,000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$251,000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2808</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Industrial Terrace Austin TX 78758</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Shevlin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$13,983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$436,970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2703</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 5th St Austin TX 78702</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Shevlin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$35,000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$69,516</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2716</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East 5th St Austin TX 78702</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Shevlin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$285,164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$1,234,500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2726</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East 5th St Austin TX 78702</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Shevlin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$85,000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$435,600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1616</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 Padre Island Dr Corpus Christi TX 78408</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Shevlin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$45,430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$203,654</w:t>
            </w:r>
          </w:p>
        </w:tc>
      </w:tr>
      <w:tr>
        <w:trPr>
          <w:trHeight w:val="238"/>
        </w:trPr>
        <w:tc>
          <w:tcPr>
            <w:tcW w:w="5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4 Industrial Park Center Johnstown CO 80534</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Shevlin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$429,539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$432,000</w:t>
            </w:r>
          </w:p>
        </w:tc>
      </w:tr>
      <w:tr>
        <w:trPr>
          <w:trHeight w:val="238"/>
        </w:trPr>
        <w:tc>
          <w:tcPr>
            <w:tcW w:w="5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152 Park Ave Shevlin MN 56676</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Shevlin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$241,534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$615,000</w:t>
            </w:r>
          </w:p>
        </w:tc>
      </w:tr>
      <w:tr>
        <w:trPr>
          <w:trHeight w:val="238"/>
        </w:trPr>
        <w:tc>
          <w:tcPr>
            <w:tcW w:w="5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County Road # 2 North Shevlin MN 56676</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Shevlin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$329,501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$400,000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4601</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 30th St Ft. Lauderdale FL 33314</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Tampa</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$1,163,583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$1,713,800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2801</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 46th Ave Ft Lauderdale FL 33314</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Tampa</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$887,510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$2,796,090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4025</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Edison Ave Ft. Myers FL 33916</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Tampa</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$164,141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$742,560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1819</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Totten Road Ft. Pierce FL 34947</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Tampa</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$308,552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$185,700</w:t>
            </w:r>
          </w:p>
        </w:tc>
      </w:tr>
      <w:tr>
        <w:trPr>
          <w:trHeight w:val="238"/>
        </w:trPr>
        <w:tc>
          <w:tcPr>
            <w:tcW w:w="5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14740 NW 22nd Ct Opa Locka FL 33054</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Tampa</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$28,495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$600,790</w:t>
            </w:r>
          </w:p>
        </w:tc>
      </w:tr>
      <w:tr>
        <w:trPr>
          <w:trHeight w:val="238"/>
        </w:trPr>
        <w:tc>
          <w:tcPr>
            <w:tcW w:w="5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125 Commerce Way Sanford FL 32771</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Tampa</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$284,692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$471,854</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7221</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Dr Martin Luther King Blvd E Tampa FL 33619</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Utility Services Group - Tampa</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$1,103,231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$1,178,860</w:t>
            </w:r>
          </w:p>
        </w:tc>
      </w:tr>
      <w:tr>
        <w:trPr>
          <w:trHeight w:val="238"/>
        </w:trPr>
        <w:tc>
          <w:tcPr>
            <w:tcW w:w="5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1911 West Main Avenue West Fargo ND 58078</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Wanzek</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$1,078,000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$1,175,000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1916</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2nd Ave NW West Fargo ND 58078</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Wanzek</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$845,330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$475,000</w:t>
            </w:r>
          </w:p>
        </w:tc>
      </w:tr>
      <w:tr>
        <w:trPr>
          <w:trHeight w:val="238"/>
        </w:trPr>
        <w:tc>
          <w:tcPr>
            <w:tcW w:w="3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1910</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West Main Avenue West Fargo ND 58078</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Wanzek</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$1,311,123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$1,875,000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40"/>
          </w:cols>
          <w:pgMar w:left="240" w:top="599" w:right="219" w:bottom="1440" w:gutter="0" w:footer="0" w:header="0"/>
        </w:sectPr>
      </w:pPr>
    </w:p>
    <w:bookmarkStart w:id="256" w:name="page257"/>
    <w:bookmarkEnd w:id="256"/>
    <w:tbl>
      <w:tblPr>
        <w:tblLayout w:type="fixed"/>
        <w:tblInd w:w="10" w:type="dxa"/>
        <w:tblCellMar>
          <w:top w:w="0" w:type="dxa"/>
          <w:left w:w="0" w:type="dxa"/>
          <w:bottom w:w="0" w:type="dxa"/>
          <w:right w:w="0" w:type="dxa"/>
        </w:tblCellMar>
      </w:tblPr>
      <w:tr>
        <w:trPr>
          <w:trHeight w:val="274"/>
        </w:trPr>
        <w:tc>
          <w:tcPr>
            <w:tcW w:w="32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380" w:type="dxa"/>
            <w:vAlign w:val="bottom"/>
            <w:gridSpan w:val="2"/>
          </w:tcPr>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w w:val="97"/>
              </w:rPr>
              <w:t>SCHEDULE 5.08(d)(i)</w:t>
            </w:r>
          </w:p>
        </w:tc>
      </w:tr>
      <w:tr>
        <w:trPr>
          <w:trHeight w:val="452"/>
        </w:trPr>
        <w:tc>
          <w:tcPr>
            <w:tcW w:w="3220" w:type="dxa"/>
            <w:vAlign w:val="bottom"/>
          </w:tcPr>
          <w:p>
            <w:pPr>
              <w:spacing w:after="0"/>
              <w:rPr>
                <w:sz w:val="24"/>
                <w:szCs w:val="24"/>
                <w:color w:val="auto"/>
              </w:rPr>
            </w:pPr>
          </w:p>
        </w:tc>
        <w:tc>
          <w:tcPr>
            <w:tcW w:w="4560" w:type="dxa"/>
            <w:vAlign w:val="bottom"/>
            <w:gridSpan w:val="2"/>
          </w:tcPr>
          <w:p>
            <w:pPr>
              <w:ind w:left="700"/>
              <w:spacing w:after="0"/>
              <w:rPr>
                <w:sz w:val="20"/>
                <w:szCs w:val="20"/>
                <w:color w:val="auto"/>
              </w:rPr>
            </w:pPr>
            <w:r>
              <w:rPr>
                <w:rFonts w:ascii="Times New Roman" w:cs="Times New Roman" w:eastAsia="Times New Roman" w:hAnsi="Times New Roman"/>
                <w:sz w:val="21"/>
                <w:szCs w:val="21"/>
                <w:b w:val="1"/>
                <w:bCs w:val="1"/>
                <w:color w:val="auto"/>
              </w:rPr>
              <w:t>LEASED REAL PROPERTY (LESSEE)</w:t>
            </w: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4"/>
        </w:trPr>
        <w:tc>
          <w:tcPr>
            <w:tcW w:w="3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182"/>
        </w:trPr>
        <w:tc>
          <w:tcPr>
            <w:tcW w:w="3220" w:type="dxa"/>
            <w:vAlign w:val="bottom"/>
            <w:tcBorders>
              <w:left w:val="single" w:sz="8" w:color="auto"/>
              <w:bottom w:val="single" w:sz="8" w:color="auto"/>
              <w:right w:val="single" w:sz="8" w:color="auto"/>
            </w:tcBorders>
            <w:shd w:val="clear" w:color="auto" w:fill="D0CECE"/>
          </w:tcPr>
          <w:p>
            <w:pPr>
              <w:ind w:left="40"/>
              <w:spacing w:after="0"/>
              <w:rPr>
                <w:sz w:val="20"/>
                <w:szCs w:val="20"/>
                <w:color w:val="auto"/>
              </w:rPr>
            </w:pPr>
            <w:r>
              <w:rPr>
                <w:rFonts w:ascii="Times New Roman" w:cs="Times New Roman" w:eastAsia="Times New Roman" w:hAnsi="Times New Roman"/>
                <w:sz w:val="14"/>
                <w:szCs w:val="14"/>
                <w:b w:val="1"/>
                <w:bCs w:val="1"/>
                <w:color w:val="auto"/>
              </w:rPr>
              <w:t>Property Address</w:t>
            </w:r>
          </w:p>
        </w:tc>
        <w:tc>
          <w:tcPr>
            <w:tcW w:w="2760" w:type="dxa"/>
            <w:vAlign w:val="bottom"/>
            <w:tcBorders>
              <w:bottom w:val="single" w:sz="8" w:color="auto"/>
              <w:right w:val="single" w:sz="8" w:color="auto"/>
            </w:tcBorders>
            <w:shd w:val="clear" w:color="auto" w:fill="D0CECE"/>
          </w:tcPr>
          <w:p>
            <w:pPr>
              <w:ind w:left="1160"/>
              <w:spacing w:after="0"/>
              <w:rPr>
                <w:sz w:val="20"/>
                <w:szCs w:val="20"/>
                <w:color w:val="auto"/>
              </w:rPr>
            </w:pPr>
            <w:r>
              <w:rPr>
                <w:rFonts w:ascii="Times New Roman" w:cs="Times New Roman" w:eastAsia="Times New Roman" w:hAnsi="Times New Roman"/>
                <w:sz w:val="14"/>
                <w:szCs w:val="14"/>
                <w:b w:val="1"/>
                <w:bCs w:val="1"/>
                <w:color w:val="auto"/>
              </w:rPr>
              <w:t>Lessor</w:t>
            </w:r>
          </w:p>
        </w:tc>
        <w:tc>
          <w:tcPr>
            <w:tcW w:w="1800" w:type="dxa"/>
            <w:vAlign w:val="bottom"/>
            <w:tcBorders>
              <w:bottom w:val="single" w:sz="8" w:color="auto"/>
              <w:right w:val="single" w:sz="8" w:color="auto"/>
            </w:tcBorders>
            <w:shd w:val="clear" w:color="auto" w:fill="D0CECE"/>
          </w:tcPr>
          <w:p>
            <w:pPr>
              <w:ind w:left="700"/>
              <w:spacing w:after="0"/>
              <w:rPr>
                <w:sz w:val="20"/>
                <w:szCs w:val="20"/>
                <w:color w:val="auto"/>
              </w:rPr>
            </w:pPr>
            <w:r>
              <w:rPr>
                <w:rFonts w:ascii="Times New Roman" w:cs="Times New Roman" w:eastAsia="Times New Roman" w:hAnsi="Times New Roman"/>
                <w:sz w:val="14"/>
                <w:szCs w:val="14"/>
                <w:b w:val="1"/>
                <w:bCs w:val="1"/>
                <w:color w:val="auto"/>
              </w:rPr>
              <w:t>Lessee</w:t>
            </w:r>
          </w:p>
        </w:tc>
        <w:tc>
          <w:tcPr>
            <w:tcW w:w="1260" w:type="dxa"/>
            <w:vAlign w:val="bottom"/>
            <w:tcBorders>
              <w:bottom w:val="single" w:sz="8" w:color="auto"/>
              <w:right w:val="single" w:sz="8" w:color="auto"/>
            </w:tcBorders>
            <w:shd w:val="clear" w:color="auto" w:fill="D0CECE"/>
          </w:tcPr>
          <w:p>
            <w:pPr>
              <w:ind w:left="1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600" w:type="dxa"/>
            <w:vAlign w:val="bottom"/>
            <w:tcBorders>
              <w:bottom w:val="single" w:sz="8" w:color="auto"/>
              <w:right w:val="single" w:sz="8" w:color="auto"/>
            </w:tcBorders>
            <w:shd w:val="clear" w:color="auto" w:fill="D0CECE"/>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Annual Rental Cost</w:t>
            </w:r>
          </w:p>
        </w:tc>
        <w:tc>
          <w:tcPr>
            <w:tcW w:w="780" w:type="dxa"/>
            <w:vAlign w:val="bottom"/>
          </w:tcPr>
          <w:p>
            <w:pPr>
              <w:spacing w:after="0"/>
              <w:rPr>
                <w:sz w:val="15"/>
                <w:szCs w:val="15"/>
                <w:color w:val="auto"/>
              </w:rPr>
            </w:pPr>
          </w:p>
        </w:tc>
      </w:tr>
      <w:tr>
        <w:trPr>
          <w:trHeight w:val="205"/>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800 Douglas Rd Suite 148, 10th, 11th &amp; 12th</w:t>
            </w:r>
          </w:p>
        </w:tc>
        <w:tc>
          <w:tcPr>
            <w:tcW w:w="27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r>
      <w:tr>
        <w:trPr>
          <w:trHeight w:val="194"/>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Floor</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Banyan Street/Gap Douglas Entrance</w:t>
            </w:r>
          </w:p>
        </w:tc>
        <w:tc>
          <w:tcPr>
            <w:tcW w:w="18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r>
      <w:tr>
        <w:trPr>
          <w:trHeight w:val="200"/>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Coral Gables FL 33134</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Owners, LLC</w:t>
            </w:r>
          </w:p>
        </w:tc>
        <w:tc>
          <w:tcPr>
            <w:tcW w:w="1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MasTec North America</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10/31/2028</w:t>
            </w:r>
          </w:p>
        </w:tc>
        <w:tc>
          <w:tcPr>
            <w:tcW w:w="1600" w:type="dxa"/>
            <w:vAlign w:val="bottom"/>
            <w:tcBorders>
              <w:right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color w:val="auto"/>
                <w:w w:val="97"/>
              </w:rPr>
              <w:t>1,318,865.28</w:t>
            </w:r>
          </w:p>
        </w:tc>
        <w:tc>
          <w:tcPr>
            <w:tcW w:w="780" w:type="dxa"/>
            <w:vAlign w:val="bottom"/>
          </w:tcPr>
          <w:p>
            <w:pPr>
              <w:spacing w:after="0"/>
              <w:rPr>
                <w:sz w:val="17"/>
                <w:szCs w:val="17"/>
                <w:color w:val="auto"/>
              </w:rPr>
            </w:pPr>
          </w:p>
        </w:tc>
      </w:tr>
      <w:tr>
        <w:trPr>
          <w:trHeight w:val="32"/>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201"/>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27323-144 Twp Rd 394</w:t>
            </w:r>
          </w:p>
        </w:tc>
        <w:tc>
          <w:tcPr>
            <w:tcW w:w="27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r>
      <w:tr>
        <w:trPr>
          <w:trHeight w:val="200"/>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Blackfalds AB</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Little Country Investors</w:t>
            </w:r>
          </w:p>
        </w:tc>
        <w:tc>
          <w:tcPr>
            <w:tcW w:w="1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MasTec Canada Inc.</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9/30/2026</w:t>
            </w:r>
          </w:p>
        </w:tc>
        <w:tc>
          <w:tcPr>
            <w:tcW w:w="1600" w:type="dxa"/>
            <w:vAlign w:val="bottom"/>
            <w:tcBorders>
              <w:right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color w:val="auto"/>
                <w:w w:val="97"/>
              </w:rPr>
              <w:t>1,030,800.00</w:t>
            </w:r>
          </w:p>
        </w:tc>
        <w:tc>
          <w:tcPr>
            <w:tcW w:w="780" w:type="dxa"/>
            <w:vAlign w:val="bottom"/>
          </w:tcPr>
          <w:p>
            <w:pPr>
              <w:spacing w:after="0"/>
              <w:rPr>
                <w:sz w:val="17"/>
                <w:szCs w:val="17"/>
                <w:color w:val="auto"/>
              </w:rPr>
            </w:pPr>
          </w:p>
        </w:tc>
      </w:tr>
      <w:tr>
        <w:trPr>
          <w:trHeight w:val="32"/>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7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600" w:right="2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SCHEDULE 5.08(d)(ii)</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LEASED REAL PROPERTY (LESSOR TO A THIRD PARTY)</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599" w:right="239" w:bottom="1440" w:gutter="0" w:footer="0" w:header="0"/>
        </w:sectPr>
      </w:pPr>
    </w:p>
    <w:bookmarkStart w:id="258" w:name="page259"/>
    <w:bookmarkEnd w:id="258"/>
    <w:tbl>
      <w:tblPr>
        <w:tblLayout w:type="fixed"/>
        <w:tblInd w:w="10" w:type="dxa"/>
        <w:tblCellMar>
          <w:top w:w="0" w:type="dxa"/>
          <w:left w:w="0" w:type="dxa"/>
          <w:bottom w:w="0" w:type="dxa"/>
          <w:right w:w="0" w:type="dxa"/>
        </w:tblCellMar>
      </w:tblPr>
      <w:tr>
        <w:trPr>
          <w:trHeight w:val="274"/>
        </w:trPr>
        <w:tc>
          <w:tcPr>
            <w:tcW w:w="3440" w:type="dxa"/>
            <w:vAlign w:val="bottom"/>
          </w:tcPr>
          <w:p>
            <w:pPr>
              <w:spacing w:after="0"/>
              <w:rPr>
                <w:sz w:val="23"/>
                <w:szCs w:val="23"/>
                <w:color w:val="auto"/>
              </w:rPr>
            </w:pPr>
          </w:p>
        </w:tc>
        <w:tc>
          <w:tcPr>
            <w:tcW w:w="7980" w:type="dxa"/>
            <w:vAlign w:val="bottom"/>
          </w:tcPr>
          <w:p>
            <w:pPr>
              <w:ind w:left="6220"/>
              <w:spacing w:after="0"/>
              <w:rPr>
                <w:sz w:val="20"/>
                <w:szCs w:val="20"/>
                <w:color w:val="auto"/>
              </w:rPr>
            </w:pPr>
            <w:r>
              <w:rPr>
                <w:rFonts w:ascii="Times New Roman" w:cs="Times New Roman" w:eastAsia="Times New Roman" w:hAnsi="Times New Roman"/>
                <w:sz w:val="21"/>
                <w:szCs w:val="21"/>
                <w:b w:val="1"/>
                <w:bCs w:val="1"/>
                <w:i w:val="1"/>
                <w:iCs w:val="1"/>
                <w:color w:val="auto"/>
                <w:w w:val="96"/>
              </w:rPr>
              <w:t>SCHEDULE 5.12(c)</w:t>
            </w:r>
          </w:p>
        </w:tc>
      </w:tr>
      <w:tr>
        <w:trPr>
          <w:trHeight w:val="452"/>
        </w:trPr>
        <w:tc>
          <w:tcPr>
            <w:tcW w:w="3440" w:type="dxa"/>
            <w:vAlign w:val="bottom"/>
          </w:tcPr>
          <w:p>
            <w:pPr>
              <w:spacing w:after="0"/>
              <w:rPr>
                <w:sz w:val="24"/>
                <w:szCs w:val="24"/>
                <w:color w:val="auto"/>
              </w:rPr>
            </w:pPr>
          </w:p>
        </w:tc>
        <w:tc>
          <w:tcPr>
            <w:tcW w:w="7980" w:type="dxa"/>
            <w:vAlign w:val="bottom"/>
          </w:tcPr>
          <w:p>
            <w:pPr>
              <w:ind w:left="720"/>
              <w:spacing w:after="0"/>
              <w:rPr>
                <w:sz w:val="20"/>
                <w:szCs w:val="20"/>
                <w:color w:val="auto"/>
              </w:rPr>
            </w:pPr>
            <w:r>
              <w:rPr>
                <w:rFonts w:ascii="Times New Roman" w:cs="Times New Roman" w:eastAsia="Times New Roman" w:hAnsi="Times New Roman"/>
                <w:sz w:val="21"/>
                <w:szCs w:val="21"/>
                <w:b w:val="1"/>
                <w:bCs w:val="1"/>
                <w:color w:val="auto"/>
              </w:rPr>
              <w:t>CLOSING DATE ERISA EVENTS</w:t>
            </w:r>
          </w:p>
        </w:tc>
      </w:tr>
      <w:tr>
        <w:trPr>
          <w:trHeight w:val="364"/>
        </w:trPr>
        <w:tc>
          <w:tcPr>
            <w:tcW w:w="34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r>
      <w:tr>
        <w:trPr>
          <w:trHeight w:val="182"/>
        </w:trPr>
        <w:tc>
          <w:tcPr>
            <w:tcW w:w="3440" w:type="dxa"/>
            <w:vAlign w:val="bottom"/>
            <w:tcBorders>
              <w:left w:val="single" w:sz="8" w:color="auto"/>
              <w:bottom w:val="single" w:sz="8" w:color="auto"/>
              <w:right w:val="single" w:sz="8" w:color="auto"/>
            </w:tcBorders>
            <w:shd w:val="clear" w:color="auto" w:fill="AEAAAA"/>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Service Line Legal Entity Name</w:t>
            </w:r>
          </w:p>
        </w:tc>
        <w:tc>
          <w:tcPr>
            <w:tcW w:w="7980" w:type="dxa"/>
            <w:vAlign w:val="bottom"/>
            <w:tcBorders>
              <w:bottom w:val="single" w:sz="8" w:color="auto"/>
              <w:right w:val="single" w:sz="8" w:color="auto"/>
            </w:tcBorders>
            <w:shd w:val="clear" w:color="auto" w:fill="AEAAAA"/>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Legal Plan Name</w:t>
            </w:r>
          </w:p>
        </w:tc>
      </w:tr>
      <w:tr>
        <w:trPr>
          <w:trHeight w:val="248"/>
        </w:trPr>
        <w:tc>
          <w:tcPr>
            <w:tcW w:w="3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Precision Pipeline LLC</w:t>
            </w:r>
          </w:p>
        </w:tc>
        <w:tc>
          <w:tcPr>
            <w:tcW w:w="7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New York State Teamsters Conference Pension and Retirement Fund</w:t>
            </w:r>
          </w:p>
        </w:tc>
      </w:tr>
      <w:tr>
        <w:trPr>
          <w:trHeight w:val="22"/>
        </w:trPr>
        <w:tc>
          <w:tcPr>
            <w:tcW w:w="3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8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3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Precision Pipeline LLC</w:t>
            </w:r>
          </w:p>
        </w:tc>
        <w:tc>
          <w:tcPr>
            <w:tcW w:w="7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Laborers' National Pension Fund</w:t>
            </w:r>
          </w:p>
        </w:tc>
      </w:tr>
      <w:tr>
        <w:trPr>
          <w:trHeight w:val="22"/>
        </w:trPr>
        <w:tc>
          <w:tcPr>
            <w:tcW w:w="3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8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3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Precision Pipeline LLC</w:t>
            </w:r>
          </w:p>
        </w:tc>
        <w:tc>
          <w:tcPr>
            <w:tcW w:w="7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Laborers' Local 17 Pension Fund</w:t>
            </w:r>
          </w:p>
        </w:tc>
      </w:tr>
      <w:tr>
        <w:trPr>
          <w:trHeight w:val="22"/>
        </w:trPr>
        <w:tc>
          <w:tcPr>
            <w:tcW w:w="3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8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3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Precision Pipeline LLC</w:t>
            </w:r>
          </w:p>
        </w:tc>
        <w:tc>
          <w:tcPr>
            <w:tcW w:w="7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Central Laborers' Pension Fund</w:t>
            </w:r>
          </w:p>
        </w:tc>
      </w:tr>
      <w:tr>
        <w:trPr>
          <w:trHeight w:val="22"/>
        </w:trPr>
        <w:tc>
          <w:tcPr>
            <w:tcW w:w="3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8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3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Precision Pipeline LLC</w:t>
            </w:r>
          </w:p>
        </w:tc>
        <w:tc>
          <w:tcPr>
            <w:tcW w:w="7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Laborers' Local 130 Pension Fund</w:t>
            </w:r>
          </w:p>
        </w:tc>
      </w:tr>
      <w:tr>
        <w:trPr>
          <w:trHeight w:val="22"/>
        </w:trPr>
        <w:tc>
          <w:tcPr>
            <w:tcW w:w="3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8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3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Precision Pipeline LLC</w:t>
            </w:r>
          </w:p>
        </w:tc>
        <w:tc>
          <w:tcPr>
            <w:tcW w:w="7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Laborers' Pension Fund</w:t>
            </w:r>
          </w:p>
        </w:tc>
      </w:tr>
      <w:tr>
        <w:trPr>
          <w:trHeight w:val="22"/>
        </w:trPr>
        <w:tc>
          <w:tcPr>
            <w:tcW w:w="3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8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3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Precision Pipeline LLC</w:t>
            </w:r>
          </w:p>
        </w:tc>
        <w:tc>
          <w:tcPr>
            <w:tcW w:w="7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Laborers' District Council Pension &amp; Disability Trust Fund No. 2</w:t>
            </w:r>
          </w:p>
        </w:tc>
      </w:tr>
      <w:tr>
        <w:trPr>
          <w:trHeight w:val="22"/>
        </w:trPr>
        <w:tc>
          <w:tcPr>
            <w:tcW w:w="3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8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3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Precision Pipeline LLC</w:t>
            </w:r>
          </w:p>
        </w:tc>
        <w:tc>
          <w:tcPr>
            <w:tcW w:w="7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Kansas Construction Trades Open End Pension Trust Fund</w:t>
            </w:r>
          </w:p>
        </w:tc>
      </w:tr>
      <w:tr>
        <w:trPr>
          <w:trHeight w:val="22"/>
        </w:trPr>
        <w:tc>
          <w:tcPr>
            <w:tcW w:w="3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8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3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Precision Pipeline LLC</w:t>
            </w:r>
          </w:p>
        </w:tc>
        <w:tc>
          <w:tcPr>
            <w:tcW w:w="7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Ironworkers-Laborers' Pension Plan of Cumberland Maryland</w:t>
            </w:r>
          </w:p>
        </w:tc>
      </w:tr>
      <w:tr>
        <w:trPr>
          <w:trHeight w:val="22"/>
        </w:trPr>
        <w:tc>
          <w:tcPr>
            <w:tcW w:w="3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599" w:right="239" w:bottom="1440" w:gutter="0" w:footer="0" w:header="0"/>
        </w:sectPr>
      </w:pPr>
    </w:p>
    <w:bookmarkStart w:id="259" w:name="page260"/>
    <w:bookmarkEnd w:id="259"/>
    <w:tbl>
      <w:tblPr>
        <w:tblLayout w:type="fixed"/>
        <w:tblInd w:w="10" w:type="dxa"/>
        <w:tblCellMar>
          <w:top w:w="0" w:type="dxa"/>
          <w:left w:w="0" w:type="dxa"/>
          <w:bottom w:w="0" w:type="dxa"/>
          <w:right w:w="0" w:type="dxa"/>
        </w:tblCellMar>
      </w:tblPr>
      <w:tr>
        <w:trPr>
          <w:trHeight w:val="274"/>
        </w:trPr>
        <w:tc>
          <w:tcPr>
            <w:tcW w:w="7900" w:type="dxa"/>
            <w:vAlign w:val="bottom"/>
          </w:tcPr>
          <w:p>
            <w:pPr>
              <w:spacing w:after="0"/>
              <w:rPr>
                <w:sz w:val="23"/>
                <w:szCs w:val="23"/>
                <w:color w:val="auto"/>
              </w:rPr>
            </w:pPr>
          </w:p>
        </w:tc>
        <w:tc>
          <w:tcPr>
            <w:tcW w:w="3540" w:type="dxa"/>
            <w:vAlign w:val="bottom"/>
          </w:tcPr>
          <w:p>
            <w:pPr>
              <w:ind w:left="1760"/>
              <w:spacing w:after="0"/>
              <w:rPr>
                <w:sz w:val="20"/>
                <w:szCs w:val="20"/>
                <w:color w:val="auto"/>
              </w:rPr>
            </w:pPr>
            <w:r>
              <w:rPr>
                <w:rFonts w:ascii="Times New Roman" w:cs="Times New Roman" w:eastAsia="Times New Roman" w:hAnsi="Times New Roman"/>
                <w:sz w:val="21"/>
                <w:szCs w:val="21"/>
                <w:b w:val="1"/>
                <w:bCs w:val="1"/>
                <w:i w:val="1"/>
                <w:iCs w:val="1"/>
                <w:color w:val="auto"/>
                <w:w w:val="96"/>
              </w:rPr>
              <w:t>SCHEDULE 5.12(d)</w:t>
            </w:r>
          </w:p>
        </w:tc>
      </w:tr>
      <w:tr>
        <w:trPr>
          <w:trHeight w:val="452"/>
        </w:trPr>
        <w:tc>
          <w:tcPr>
            <w:tcW w:w="7900" w:type="dxa"/>
            <w:vAlign w:val="bottom"/>
          </w:tcPr>
          <w:p>
            <w:pPr>
              <w:ind w:left="4080"/>
              <w:spacing w:after="0"/>
              <w:rPr>
                <w:sz w:val="20"/>
                <w:szCs w:val="20"/>
                <w:color w:val="auto"/>
              </w:rPr>
            </w:pPr>
            <w:r>
              <w:rPr>
                <w:rFonts w:ascii="Times New Roman" w:cs="Times New Roman" w:eastAsia="Times New Roman" w:hAnsi="Times New Roman"/>
                <w:sz w:val="21"/>
                <w:szCs w:val="21"/>
                <w:b w:val="1"/>
                <w:bCs w:val="1"/>
                <w:color w:val="auto"/>
              </w:rPr>
              <w:t>CLOSING DATE PENSION PLANS</w:t>
            </w:r>
          </w:p>
        </w:tc>
        <w:tc>
          <w:tcPr>
            <w:tcW w:w="3540" w:type="dxa"/>
            <w:vAlign w:val="bottom"/>
          </w:tcPr>
          <w:p>
            <w:pPr>
              <w:spacing w:after="0"/>
              <w:rPr>
                <w:sz w:val="24"/>
                <w:szCs w:val="24"/>
                <w:color w:val="auto"/>
              </w:rPr>
            </w:pPr>
          </w:p>
        </w:tc>
      </w:tr>
      <w:tr>
        <w:trPr>
          <w:trHeight w:val="364"/>
        </w:trPr>
        <w:tc>
          <w:tcPr>
            <w:tcW w:w="79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r>
        <w:trPr>
          <w:trHeight w:val="269"/>
        </w:trPr>
        <w:tc>
          <w:tcPr>
            <w:tcW w:w="7900" w:type="dxa"/>
            <w:vAlign w:val="bottom"/>
            <w:tcBorders>
              <w:left w:val="single" w:sz="8" w:color="auto"/>
              <w:bottom w:val="single" w:sz="8" w:color="AEAAAA"/>
              <w:right w:val="single" w:sz="8" w:color="auto"/>
            </w:tcBorders>
            <w:shd w:val="clear" w:color="auto" w:fill="AEAAAA"/>
          </w:tcPr>
          <w:p>
            <w:pPr>
              <w:ind w:left="40"/>
              <w:spacing w:after="0"/>
              <w:rPr>
                <w:sz w:val="20"/>
                <w:szCs w:val="20"/>
                <w:color w:val="auto"/>
              </w:rPr>
            </w:pPr>
            <w:r>
              <w:rPr>
                <w:rFonts w:ascii="Times New Roman" w:cs="Times New Roman" w:eastAsia="Times New Roman" w:hAnsi="Times New Roman"/>
                <w:sz w:val="19"/>
                <w:szCs w:val="19"/>
                <w:b w:val="1"/>
                <w:bCs w:val="1"/>
                <w:color w:val="auto"/>
              </w:rPr>
              <w:t>Legal Plan Name</w:t>
            </w:r>
          </w:p>
        </w:tc>
        <w:tc>
          <w:tcPr>
            <w:tcW w:w="3540" w:type="dxa"/>
            <w:vAlign w:val="bottom"/>
            <w:tcBorders>
              <w:bottom w:val="single" w:sz="8" w:color="AEAAAA"/>
              <w:right w:val="single" w:sz="8" w:color="auto"/>
            </w:tcBorders>
            <w:shd w:val="clear" w:color="auto" w:fill="AEAAAA"/>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Service Line Legal Entity Name</w:t>
            </w:r>
          </w:p>
        </w:tc>
      </w:tr>
      <w:tr>
        <w:trPr>
          <w:trHeight w:val="207"/>
        </w:trPr>
        <w:tc>
          <w:tcPr>
            <w:tcW w:w="79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Pipeline Industry Pension Fund</w:t>
            </w:r>
          </w:p>
        </w:tc>
        <w:tc>
          <w:tcPr>
            <w:tcW w:w="3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Central Pension Fund of the IUOE &amp; Participating Employers</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IUOE of Eastern Pennsylvania and Delaware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Ohio Operating Engineers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 Union of Operating Engineers Local 132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Operating Engineers' Construction Industry and Miscellaneous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York State Teamsters Conference Pension and Retirement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Employer- Teamsters Local Nos. 175 &amp; 505 Pension Trust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Minnesota Teamsters Construction Division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Teamsters' Construction Industry and Miscellaneous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Employers &amp; Operating Engineers Local 520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Midwest Operating Engineers Pension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Operating Engineers' Local 324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Suburban Teamsters of Northern Illinois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Teamsters National Pipe Line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Operating Engineers 825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Pension Trust Fund for Northern Nevada</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Local Union No. 158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National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West Virginia Laborers' Pension Trust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Minnesota Laborers'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District Council of Westerm Pennsylvania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Local 589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Michigan Laborers'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Wisconsin Laborers'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District Council &amp; Contractors Pension Fund of Ohio</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Construction Industry Laborers'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Local 17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Western Washington Laborers'-Employers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Central Laborers'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Pension Trust Fund for Northern California</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Massachusetts Laborers'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Indiana Laborers'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Local 130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Contractors, Laborers', Teamsters &amp; Engineers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District Council Pension &amp; Disability Trust Fund No. 2</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Kansas Construction Trades Open End Pension Trust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Susquehanna Laborers' Combined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AGC Pension Trust of Montana</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Oregon Laborers' Employers Pension Trust</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Rochester Laborers' Trust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Utah Laborers' Annuity Trust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District Council of Virginia Pension Trust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District Council Construction Industry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Construction Laborers' Pension Trust for Southern California</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414"/>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US\19817124.6</w:t>
            </w:r>
          </w:p>
        </w:tc>
        <w:tc>
          <w:tcPr>
            <w:tcW w:w="3540" w:type="dxa"/>
            <w:vAlign w:val="bottom"/>
          </w:tcPr>
          <w:p>
            <w:pPr>
              <w:spacing w:after="0"/>
              <w:rPr>
                <w:sz w:val="24"/>
                <w:szCs w:val="24"/>
                <w:color w:val="auto"/>
              </w:rPr>
            </w:pPr>
          </w:p>
        </w:tc>
      </w:tr>
    </w:tbl>
    <w:p>
      <w:pPr>
        <w:sectPr>
          <w:pgSz w:w="11900" w:h="16838" w:orient="portrait"/>
          <w:cols w:equalWidth="0" w:num="1">
            <w:col w:w="11440"/>
          </w:cols>
          <w:pgMar w:left="240" w:top="599" w:right="219" w:bottom="1440" w:gutter="0" w:footer="0" w:header="0"/>
        </w:sectPr>
      </w:pPr>
    </w:p>
    <w:bookmarkStart w:id="260" w:name="page261"/>
    <w:bookmarkEnd w:id="2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9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Ironworkers-Laborers' Pension Plan of Cumberland Maryland</w:t>
            </w:r>
          </w:p>
        </w:tc>
        <w:tc>
          <w:tcPr>
            <w:tcW w:w="3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Westchester Heavy Construction Laborers' Local No. 60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Construction Laborers' Pension Trust of Greater St. Louis</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Construction Workers Pension Trust Fund of Lake County &amp; Vicinity</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Washington-Idaho Laborers' Employers Pension Trust</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Local 231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Local 91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Connecticut Laborers'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Buffalo Laborers'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Idaho Signatory Employers Laborers'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Utah Laborers' Pension Trust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Local 157 Benefit Funds</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Heavy and General Laborers'’ Local Unions 472 and 172 of New Jersey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Employers' and Laborers' Locals 100 and 397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Fox Valley &amp; Vicinity Laborers Health, Welfare and Pension Funds</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Greater Kansas City Laborers'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Building Trades United Pension Trust Fund Milwaukee and Vicinity</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Building Laborers' Local 310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Pension Fund Local 445</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Local 157 Health Benefits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Precision Pipeline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National Electrical Benefit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IBEW Local 1249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New England Electric Workers Money Purchase Plan &amp; Trust</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Amended and Restated Money Purchase Retirement Plan Local 567 of I.B.E.W.</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Money Purchase Pension Plan of Local 1253 IBEW</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National Electrical Annuity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Local Union 126 Retirement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Local Union 9 IBEW and Outside Contractors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Local Union 9 IBEW and Outside Contractors Defined Contribution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Local 309 Wiremans Pension Trust</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IBEW Local 351 Surety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Pipe Fitters Retirement Fund Local 597</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Midwest Operating Engineers Pension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Southern Electrical Retirement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IBEW Local union 351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Pension Trust Fund for Detroit &amp; Vicinity</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Local 456 IBEW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Central Pension Fund of the IUOE &amp; Participating Employers</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UA Local 190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EXCAVATORS UNION LOCAL 731 PENSION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EXCAVATORS UNION LOCAL 731 ANNUITY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Annuity Fund of the IUOE Local 15, 15A, 15C, 15D AFL-CIO</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Laborers District Council &amp; Contractors Pension Fund of Ohio</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 Brotherhood of Teamsters Pension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Ohio Operating Engineers Pension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3Phase Line Construction Inc.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I.B.E.W. Local 769 Management Pension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EC Source Services,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National Electrical Benefit Fund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EC Source Services,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07"/>
        </w:trPr>
        <w:tc>
          <w:tcPr>
            <w:tcW w:w="7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National Electrical Annuity Plan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EC Source Services, LLC</w:t>
            </w:r>
          </w:p>
        </w:tc>
      </w:tr>
      <w:tr>
        <w:trPr>
          <w:trHeight w:val="32"/>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40"/>
          </w:cols>
          <w:pgMar w:left="240" w:top="727" w:right="219" w:bottom="1440" w:gutter="0" w:footer="0" w:header="0"/>
        </w:sectPr>
      </w:pPr>
    </w:p>
    <w:bookmarkStart w:id="261" w:name="page262"/>
    <w:bookmarkEnd w:id="261"/>
    <w:p>
      <w:pPr>
        <w:ind w:left="9900"/>
        <w:spacing w:after="0"/>
        <w:rPr>
          <w:sz w:val="20"/>
          <w:szCs w:val="20"/>
          <w:color w:val="auto"/>
        </w:rPr>
      </w:pPr>
      <w:r>
        <w:rPr>
          <w:rFonts w:ascii="Times New Roman" w:cs="Times New Roman" w:eastAsia="Times New Roman" w:hAnsi="Times New Roman"/>
          <w:sz w:val="21"/>
          <w:szCs w:val="21"/>
          <w:b w:val="1"/>
          <w:bCs w:val="1"/>
          <w:i w:val="1"/>
          <w:iCs w:val="1"/>
          <w:color w:val="auto"/>
        </w:rPr>
        <w:t>SCHEDULE 5.13</w:t>
      </w:r>
    </w:p>
    <w:p>
      <w:pPr>
        <w:spacing w:after="0" w:line="249"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20"/>
          <w:szCs w:val="20"/>
          <w:b w:val="1"/>
          <w:bCs w:val="1"/>
          <w:i w:val="1"/>
          <w:iCs w:val="1"/>
          <w:color w:val="auto"/>
        </w:rPr>
        <w:t>Part</w:t>
      </w:r>
    </w:p>
    <w:p>
      <w:pPr>
        <w:spacing w:after="0" w:line="44" w:lineRule="exact"/>
        <w:rPr>
          <w:sz w:val="20"/>
          <w:szCs w:val="20"/>
          <w:color w:val="auto"/>
        </w:rPr>
      </w:pPr>
    </w:p>
    <w:p>
      <w:pPr>
        <w:ind w:left="11180"/>
        <w:spacing w:after="0"/>
        <w:rPr>
          <w:sz w:val="20"/>
          <w:szCs w:val="20"/>
          <w:color w:val="auto"/>
        </w:rPr>
      </w:pPr>
      <w:r>
        <w:rPr>
          <w:rFonts w:ascii="Times New Roman" w:cs="Times New Roman" w:eastAsia="Times New Roman" w:hAnsi="Times New Roman"/>
          <w:sz w:val="21"/>
          <w:szCs w:val="21"/>
          <w:b w:val="1"/>
          <w:bCs w:val="1"/>
          <w:i w:val="1"/>
          <w:iCs w:val="1"/>
          <w:color w:val="auto"/>
        </w:rPr>
        <w:t>(a)</w:t>
      </w: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SUBSIDIARIES</w:t>
      </w: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Affiliated Entity</w:t>
            </w:r>
          </w:p>
        </w:tc>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MasTec Ownership</w:t>
            </w:r>
          </w:p>
        </w:tc>
        <w:tc>
          <w:tcPr>
            <w:tcW w:w="1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Jurisdiction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Tax ID</w:t>
            </w:r>
          </w:p>
        </w:tc>
      </w:tr>
      <w:tr>
        <w:trPr>
          <w:trHeight w:val="129"/>
        </w:trPr>
        <w:tc>
          <w:tcPr>
            <w:tcW w:w="4080" w:type="dxa"/>
            <w:vAlign w:val="bottom"/>
            <w:tcBorders>
              <w:bottom w:val="single" w:sz="8" w:color="auto"/>
            </w:tcBorders>
            <w:gridSpan w:val="3"/>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r>
      <w:tr>
        <w:trPr>
          <w:trHeight w:val="226"/>
        </w:trPr>
        <w:tc>
          <w:tcPr>
            <w:tcW w:w="408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Domestic Entities</w:t>
            </w:r>
          </w:p>
        </w:tc>
        <w:tc>
          <w:tcPr>
            <w:tcW w:w="4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6"/>
        </w:trPr>
        <w:tc>
          <w:tcPr>
            <w:tcW w:w="600" w:type="dxa"/>
            <w:vAlign w:val="bottom"/>
            <w:tcBorders>
              <w:left w:val="single" w:sz="8" w:color="auto"/>
              <w:bottom w:val="single" w:sz="8" w:color="auto"/>
            </w:tcBorders>
          </w:tcPr>
          <w:p>
            <w:pPr>
              <w:spacing w:after="0"/>
              <w:rPr>
                <w:sz w:val="2"/>
                <w:szCs w:val="2"/>
                <w:color w:val="auto"/>
              </w:rPr>
            </w:pPr>
          </w:p>
        </w:tc>
        <w:tc>
          <w:tcPr>
            <w:tcW w:w="3480" w:type="dxa"/>
            <w:vAlign w:val="bottom"/>
            <w:tcBorders>
              <w:bottom w:val="single" w:sz="8" w:color="auto"/>
            </w:tcBorders>
            <w:gridSpan w:val="2"/>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0"/>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1.</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Church &amp; Tower,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65-0227979</w:t>
            </w:r>
          </w:p>
        </w:tc>
      </w:tr>
      <w:tr>
        <w:trPr>
          <w:trHeight w:val="297"/>
        </w:trPr>
        <w:tc>
          <w:tcPr>
            <w:tcW w:w="60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2.</w:t>
            </w:r>
          </w:p>
        </w:tc>
        <w:tc>
          <w:tcPr>
            <w:tcW w:w="40" w:type="dxa"/>
            <w:vAlign w:val="bottom"/>
          </w:tcPr>
          <w:p>
            <w:pPr>
              <w:spacing w:after="0"/>
              <w:rPr>
                <w:sz w:val="24"/>
                <w:szCs w:val="24"/>
                <w:color w:val="auto"/>
              </w:rPr>
            </w:pPr>
          </w:p>
        </w:tc>
        <w:tc>
          <w:tcPr>
            <w:tcW w:w="3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MasTec Renewables Construction Company,</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27-2971344</w:t>
            </w:r>
          </w:p>
        </w:tc>
      </w:tr>
      <w:tr>
        <w:trPr>
          <w:trHeight w:val="194"/>
        </w:trPr>
        <w:tc>
          <w:tcPr>
            <w:tcW w:w="600" w:type="dxa"/>
            <w:vAlign w:val="bottom"/>
            <w:tcBorders>
              <w:left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Inc.</w:t>
            </w:r>
          </w:p>
        </w:tc>
        <w:tc>
          <w:tcPr>
            <w:tcW w:w="45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r>
      <w:tr>
        <w:trPr>
          <w:trHeight w:val="270"/>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3.</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MasTec North America,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65-0829357</w:t>
            </w: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4.</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CCM Investment Holding Co.</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46-4037665</w:t>
            </w: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5.</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Douglas Fiber Enterprises,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46-3147663</w:t>
            </w: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6.</w:t>
            </w:r>
          </w:p>
        </w:tc>
        <w:tc>
          <w:tcPr>
            <w:tcW w:w="40" w:type="dxa"/>
            <w:vAlign w:val="bottom"/>
            <w:tcBorders>
              <w:bottom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Energy Erectors,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39-1363163</w:t>
            </w: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7.</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MasTec ETS Service Company,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46-3702652</w:t>
            </w: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8.</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MasTec EV Solutions,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67%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27-2585223</w:t>
            </w: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9.</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Masco Energy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47-4004312</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Foreign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27-0822919</w:t>
            </w:r>
          </w:p>
        </w:tc>
      </w:tr>
      <w:tr>
        <w:trPr>
          <w:trHeight w:val="277"/>
        </w:trPr>
        <w:tc>
          <w:tcPr>
            <w:tcW w:w="4080" w:type="dxa"/>
            <w:vAlign w:val="bottom"/>
            <w:tcBorders>
              <w:left w:val="single" w:sz="8" w:color="auto"/>
              <w:bottom w:val="single" w:sz="8" w:color="auto"/>
              <w:right w:val="single" w:sz="8" w:color="auto"/>
            </w:tcBorders>
            <w:gridSpan w:val="3"/>
          </w:tcPr>
          <w:p>
            <w:pPr>
              <w:ind w:left="360"/>
              <w:spacing w:after="0"/>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17"/>
                <w:szCs w:val="17"/>
                <w:color w:val="auto"/>
              </w:rPr>
              <w:t>MasTec Mexico Foreign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Cooperatief</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27-2990566</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Latin America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27-2669097</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Mexico Holding Company,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27-2990566</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Property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26-4027848</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Network Solutions,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Network Solutions,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45-3250780</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Network Solutions,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26-3078035</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Residential Services,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27-0637848</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MTZ Alexander,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46-3355020</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Nsoro MasTec International,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Network Solutions,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26-4097196</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Nsoro Procurement Company,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Network Solutions,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80-0792309</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Wireless Services,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Network Solutions,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14-1943970</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MP Drilling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Precision Pipeline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32-0490051</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Pretec Directional Drilling,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MP Drilling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81-2154750</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Power Partners MasTec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North Carolina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26-1623356</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Power Partners MasTec,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27-3506112</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Bottom Line Services,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94%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65-0829355</w:t>
            </w: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PPMASI,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51% owned by Power Partners MasTec,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27-1646891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520"/>
          </w:cols>
          <w:pgMar w:left="240" w:top="600" w:right="139" w:bottom="1440" w:gutter="0" w:footer="0" w:header="0"/>
        </w:sectPr>
      </w:pPr>
    </w:p>
    <w:bookmarkStart w:id="262" w:name="page263"/>
    <w:bookmarkEnd w:id="262"/>
    <w:tbl>
      <w:tblPr>
        <w:tblLayout w:type="fixed"/>
        <w:tblInd w:w="10" w:type="dxa"/>
        <w:tblCellMar>
          <w:top w:w="0" w:type="dxa"/>
          <w:left w:w="0" w:type="dxa"/>
          <w:bottom w:w="0" w:type="dxa"/>
          <w:right w:w="0" w:type="dxa"/>
        </w:tblCellMar>
      </w:tblPr>
      <w:tr>
        <w:trPr>
          <w:trHeight w:val="290"/>
        </w:trPr>
        <w:tc>
          <w:tcPr>
            <w:tcW w:w="640" w:type="dxa"/>
            <w:vAlign w:val="bottom"/>
            <w:tcBorders>
              <w:top w:val="single" w:sz="8" w:color="auto"/>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344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PPMASI Klamath I, LLC</w:t>
            </w:r>
          </w:p>
        </w:tc>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PPMASI, LLC</w:t>
            </w:r>
          </w:p>
        </w:tc>
        <w:tc>
          <w:tcPr>
            <w:tcW w:w="460" w:type="dxa"/>
            <w:vAlign w:val="bottom"/>
            <w:tcBorders>
              <w:top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27-1938819</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Go Green Services,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65-0829355</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Pumpco, Inc.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74-2196341</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Wanzek Construction, Inc.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North Dakota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45-0311915</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Services Company, Inc.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65-0791004</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Acquisition,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Wisconsin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27-1186147</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Pipeline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Precision Acquisition,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Wisconsin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20-0667117</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Transport Company,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Precision Acquisition,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Wisconsin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20-3843698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Three Phase Acquisition Corp.</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New Hampshire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26-1623833</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Three Phase Line Construction, Inc.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Three Phase Acquisition Corp.</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New Hampshire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02-0486688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EC Source Services,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27-3046138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EC Source Transportation,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EC Source Services,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27-3046138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AT Power, Inc.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EC Source Services,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66-0756042</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T&amp;D Power, Inc.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EC Source Services,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26-4474622</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Energy Environmental Group, Inc.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EC Source Services,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26-4399738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Halsted Communications, Ltd.</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New York</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14-1726726</w:t>
            </w:r>
          </w:p>
        </w:tc>
        <w:tc>
          <w:tcPr>
            <w:tcW w:w="0" w:type="dxa"/>
            <w:vAlign w:val="bottom"/>
          </w:tcPr>
          <w:p>
            <w:pPr>
              <w:spacing w:after="0"/>
              <w:rPr>
                <w:sz w:val="1"/>
                <w:szCs w:val="1"/>
                <w:color w:val="auto"/>
              </w:rPr>
            </w:pPr>
          </w:p>
        </w:tc>
      </w:tr>
      <w:tr>
        <w:trPr>
          <w:trHeight w:val="229"/>
        </w:trPr>
        <w:tc>
          <w:tcPr>
            <w:tcW w:w="640" w:type="dxa"/>
            <w:vAlign w:val="bottom"/>
            <w:tcBorders>
              <w:left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color w:val="auto"/>
              </w:rPr>
              <w:t>44.</w:t>
            </w:r>
          </w:p>
        </w:tc>
        <w:tc>
          <w:tcPr>
            <w:tcW w:w="34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MasTec Puerto Rico Engineering Services</w:t>
            </w:r>
          </w:p>
        </w:tc>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GP-  MasTec  Foreign  Holdings,  LLC;  LP-  MasTec</w:t>
            </w:r>
          </w:p>
        </w:tc>
        <w:tc>
          <w:tcPr>
            <w:tcW w:w="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Latin</w:t>
            </w: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27-4095246</w:t>
            </w:r>
          </w:p>
        </w:tc>
        <w:tc>
          <w:tcPr>
            <w:tcW w:w="0" w:type="dxa"/>
            <w:vAlign w:val="bottom"/>
          </w:tcPr>
          <w:p>
            <w:pPr>
              <w:spacing w:after="0"/>
              <w:rPr>
                <w:sz w:val="1"/>
                <w:szCs w:val="1"/>
                <w:color w:val="auto"/>
              </w:rPr>
            </w:pPr>
          </w:p>
        </w:tc>
      </w:tr>
      <w:tr>
        <w:trPr>
          <w:trHeight w:val="120"/>
        </w:trPr>
        <w:tc>
          <w:tcPr>
            <w:tcW w:w="640" w:type="dxa"/>
            <w:vAlign w:val="bottom"/>
            <w:tcBorders>
              <w:left w:val="single" w:sz="8" w:color="auto"/>
            </w:tcBorders>
          </w:tcPr>
          <w:p>
            <w:pPr>
              <w:spacing w:after="0"/>
              <w:rPr>
                <w:sz w:val="10"/>
                <w:szCs w:val="10"/>
                <w:color w:val="auto"/>
              </w:rPr>
            </w:pPr>
          </w:p>
        </w:tc>
        <w:tc>
          <w:tcPr>
            <w:tcW w:w="34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Holding, LLP</w:t>
            </w:r>
          </w:p>
        </w:tc>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America Holdings, LLC</w:t>
            </w:r>
          </w:p>
        </w:tc>
        <w:tc>
          <w:tcPr>
            <w:tcW w:w="4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40" w:type="dxa"/>
            <w:vAlign w:val="bottom"/>
            <w:tcBorders>
              <w:left w:val="single" w:sz="8" w:color="auto"/>
            </w:tcBorders>
          </w:tcPr>
          <w:p>
            <w:pPr>
              <w:spacing w:after="0"/>
              <w:rPr>
                <w:sz w:val="10"/>
                <w:szCs w:val="10"/>
                <w:color w:val="auto"/>
              </w:rPr>
            </w:pPr>
          </w:p>
        </w:tc>
        <w:tc>
          <w:tcPr>
            <w:tcW w:w="3440" w:type="dxa"/>
            <w:vAlign w:val="bottom"/>
            <w:tcBorders>
              <w:right w:val="single" w:sz="8" w:color="auto"/>
            </w:tcBorders>
            <w:vMerge w:val="continue"/>
          </w:tcPr>
          <w:p>
            <w:pPr>
              <w:spacing w:after="0"/>
              <w:rPr>
                <w:sz w:val="10"/>
                <w:szCs w:val="10"/>
                <w:color w:val="auto"/>
              </w:rPr>
            </w:pPr>
          </w:p>
        </w:tc>
        <w:tc>
          <w:tcPr>
            <w:tcW w:w="404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4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Venezuela, Inc. (Holding Company)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460" w:type="dxa"/>
            <w:vAlign w:val="bottom"/>
            <w:tcBorders>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65-0890232</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Spain, Inc. (Holding Company)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65-0890231</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Brazil I, Inc. (Holding Company)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65-0890223</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Brazil II, Inc. (Holding Company)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65-0890224</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Big Country Energy Services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Colorado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27-3989838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FFH, Inc.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47-2208772</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Power Corp.</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47-4824701</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Pipeline Holdings,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47-4005417</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TPP,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Pipeline Holdings,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32-0466766</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Comanche,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Pipeline Holdings,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37-1794427</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Pacer Construction Corporation</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47-5488553</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Latin America, Inc.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65-0726671</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West,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75% owned by Precision Pipeline,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30-1007011</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Engineering Solutions,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Precision West,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83-0815492</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Dewatering,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Precision West,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83-1792443</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Fabrication Services,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Precision West,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 (not active)</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Infrastructure, LLC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Precision Pipeline, LLC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83-1800357</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Equipment, Inc.</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82-3138620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280"/>
          </w:cols>
          <w:pgMar w:left="240" w:top="727" w:right="379" w:bottom="1440" w:gutter="0" w:footer="0" w:header="0"/>
        </w:sectPr>
      </w:pPr>
    </w:p>
    <w:bookmarkStart w:id="263" w:name="page264"/>
    <w:bookmarkEnd w:id="263"/>
    <w:tbl>
      <w:tblPr>
        <w:tblLayout w:type="fixed"/>
        <w:tblInd w:w="10" w:type="dxa"/>
        <w:tblCellMar>
          <w:top w:w="0" w:type="dxa"/>
          <w:left w:w="0" w:type="dxa"/>
          <w:bottom w:w="0" w:type="dxa"/>
          <w:right w:w="0" w:type="dxa"/>
        </w:tblCellMar>
      </w:tblPr>
      <w:tr>
        <w:trPr>
          <w:trHeight w:val="290"/>
        </w:trPr>
        <w:tc>
          <w:tcPr>
            <w:tcW w:w="640" w:type="dxa"/>
            <w:vAlign w:val="bottom"/>
            <w:tcBorders>
              <w:top w:val="single" w:sz="8" w:color="auto"/>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63.</w:t>
            </w:r>
          </w:p>
        </w:tc>
        <w:tc>
          <w:tcPr>
            <w:tcW w:w="344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MasCo Trading Services, LLC</w:t>
            </w:r>
          </w:p>
        </w:tc>
        <w:tc>
          <w:tcPr>
            <w:tcW w:w="45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80% owned by MasCo Energy, LLC</w:t>
            </w:r>
          </w:p>
        </w:tc>
        <w:tc>
          <w:tcPr>
            <w:tcW w:w="13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46-4969463</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SEFNCO Communications,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91-1975632</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NAL Communications,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SEFNCO Communications,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27-1882962</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Cash Construction Company,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74-2774271</w:t>
            </w:r>
          </w:p>
        </w:tc>
      </w:tr>
      <w:tr>
        <w:trPr>
          <w:trHeight w:val="297"/>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67.</w:t>
            </w:r>
          </w:p>
        </w:tc>
        <w:tc>
          <w:tcPr>
            <w:tcW w:w="3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Running R Pipeline Equipment Specialist,</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Pumpco, Inc.</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340" w:type="dxa"/>
            <w:vAlign w:val="bottom"/>
            <w:tcBorders>
              <w:right w:val="single" w:sz="8" w:color="auto"/>
            </w:tcBorders>
          </w:tcPr>
          <w:p>
            <w:pPr>
              <w:spacing w:after="0"/>
              <w:rPr>
                <w:sz w:val="24"/>
                <w:szCs w:val="24"/>
                <w:color w:val="auto"/>
              </w:rPr>
            </w:pPr>
          </w:p>
        </w:tc>
      </w:tr>
      <w:tr>
        <w:trPr>
          <w:trHeight w:val="194"/>
        </w:trPr>
        <w:tc>
          <w:tcPr>
            <w:tcW w:w="640" w:type="dxa"/>
            <w:vAlign w:val="bottom"/>
            <w:tcBorders>
              <w:left w:val="single" w:sz="8" w:color="auto"/>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LLC</w:t>
            </w:r>
          </w:p>
        </w:tc>
        <w:tc>
          <w:tcPr>
            <w:tcW w:w="45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r>
      <w:tr>
        <w:trPr>
          <w:trHeight w:val="270"/>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Lemartec Corporation</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59-1917239</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Lemartec USVI,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Lemartec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US Virgin Islands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66-0892122</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Engineering Corp.</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Network Solutions,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Michigan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Applied For</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Kingsley Constructors,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76-0017747</w:t>
            </w:r>
          </w:p>
        </w:tc>
      </w:tr>
      <w:tr>
        <w:trPr>
          <w:trHeight w:val="284"/>
        </w:trPr>
        <w:tc>
          <w:tcPr>
            <w:tcW w:w="640" w:type="dxa"/>
            <w:vAlign w:val="bottom"/>
            <w:tcBorders>
              <w:left w:val="single" w:sz="8" w:color="auto"/>
              <w:bottom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26"/>
        </w:trPr>
        <w:tc>
          <w:tcPr>
            <w:tcW w:w="4080" w:type="dxa"/>
            <w:vAlign w:val="bottom"/>
            <w:tcBorders>
              <w:left w:val="single" w:sz="8" w:color="auto"/>
            </w:tcBorders>
            <w:gridSpan w:val="2"/>
          </w:tcPr>
          <w:p>
            <w:pPr>
              <w:jc w:val="right"/>
              <w:ind w:right="2794"/>
              <w:spacing w:after="0"/>
              <w:rPr>
                <w:sz w:val="20"/>
                <w:szCs w:val="20"/>
                <w:color w:val="auto"/>
              </w:rPr>
            </w:pPr>
            <w:r>
              <w:rPr>
                <w:rFonts w:ascii="Times New Roman" w:cs="Times New Roman" w:eastAsia="Times New Roman" w:hAnsi="Times New Roman"/>
                <w:sz w:val="17"/>
                <w:szCs w:val="17"/>
                <w:b w:val="1"/>
                <w:bCs w:val="1"/>
                <w:i w:val="1"/>
                <w:iCs w:val="1"/>
                <w:color w:val="auto"/>
              </w:rPr>
              <w:t>Foreign Entities</w:t>
            </w:r>
          </w:p>
        </w:tc>
        <w:tc>
          <w:tcPr>
            <w:tcW w:w="4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6"/>
        </w:trPr>
        <w:tc>
          <w:tcPr>
            <w:tcW w:w="64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90"/>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72.</w:t>
            </w:r>
          </w:p>
        </w:tc>
        <w:tc>
          <w:tcPr>
            <w:tcW w:w="34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Aidco de Mexico, S.A. de C.V.</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98%  owned  by  MasTec,  Inc.,  2%  owned  by  MasTec</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168"/>
        </w:trPr>
        <w:tc>
          <w:tcPr>
            <w:tcW w:w="640" w:type="dxa"/>
            <w:vAlign w:val="bottom"/>
            <w:tcBorders>
              <w:left w:val="single" w:sz="8" w:color="auto"/>
              <w:bottom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ind w:left="20"/>
              <w:spacing w:after="0" w:line="168" w:lineRule="exact"/>
              <w:rPr>
                <w:sz w:val="20"/>
                <w:szCs w:val="20"/>
                <w:color w:val="auto"/>
              </w:rPr>
            </w:pPr>
            <w:r>
              <w:rPr>
                <w:rFonts w:ascii="Times New Roman" w:cs="Times New Roman" w:eastAsia="Times New Roman" w:hAnsi="Times New Roman"/>
                <w:sz w:val="17"/>
                <w:szCs w:val="17"/>
                <w:color w:val="auto"/>
              </w:rPr>
              <w:t>International Holdings, Inc.</w:t>
            </w:r>
          </w:p>
        </w:tc>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r>
      <w:tr>
        <w:trPr>
          <w:trHeight w:val="290"/>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73.</w:t>
            </w:r>
          </w:p>
        </w:tc>
        <w:tc>
          <w:tcPr>
            <w:tcW w:w="34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Acietel Mexicana, S.A.</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 owned by MasTec North America, Inc., 1% owned by</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168"/>
        </w:trPr>
        <w:tc>
          <w:tcPr>
            <w:tcW w:w="640" w:type="dxa"/>
            <w:vAlign w:val="bottom"/>
            <w:tcBorders>
              <w:left w:val="single" w:sz="8" w:color="auto"/>
              <w:bottom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ind w:left="20"/>
              <w:spacing w:after="0" w:line="168" w:lineRule="exact"/>
              <w:rPr>
                <w:sz w:val="20"/>
                <w:szCs w:val="20"/>
                <w:color w:val="auto"/>
              </w:rPr>
            </w:pPr>
            <w:r>
              <w:rPr>
                <w:rFonts w:ascii="Times New Roman" w:cs="Times New Roman" w:eastAsia="Times New Roman" w:hAnsi="Times New Roman"/>
                <w:sz w:val="17"/>
                <w:szCs w:val="17"/>
                <w:color w:val="auto"/>
              </w:rPr>
              <w:t>MasTec International Holdings, Inc.</w:t>
            </w:r>
          </w:p>
        </w:tc>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r>
      <w:tr>
        <w:trPr>
          <w:trHeight w:val="270"/>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Blue Rock Quarries, S.A.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Panama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Canada,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Pacer Construction Holdings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Canada Construction,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Pacer Construction Holdings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Canada Projects,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Pacer Construction Holdings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Transmission Services Canada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Canadian Holdco</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Canadian Holdco ULC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Cooperatief (UA)</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MasTelecom Europe I APS</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Denmark</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Pacer Promec Energy Corporation</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50% owned by Pacer Construction Holdings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97"/>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82.</w:t>
            </w:r>
          </w:p>
        </w:tc>
        <w:tc>
          <w:tcPr>
            <w:tcW w:w="3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Pacer  Promec  Energy  Construction</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Pacer Promec Energy Corporation</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194"/>
        </w:trPr>
        <w:tc>
          <w:tcPr>
            <w:tcW w:w="640" w:type="dxa"/>
            <w:vAlign w:val="bottom"/>
            <w:tcBorders>
              <w:left w:val="single" w:sz="8" w:color="auto"/>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Corporation</w:t>
            </w:r>
          </w:p>
        </w:tc>
        <w:tc>
          <w:tcPr>
            <w:tcW w:w="45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r>
      <w:tr>
        <w:trPr>
          <w:trHeight w:val="270"/>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TFL Industrial Services Ltd.</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50% owned by Pacer Construction Holdings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TFL Structures Corporation</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TFL Industrial Services, Ltd.</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TFL Projects Corporation</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TFL Industrial Services, Ltd.</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TFL Landco,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50% owned by Pacer Construction Holdings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MasTelecom Europe II BV</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MasTelecom Europe I APS</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Netherlands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Cooperatief (UA)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99.99%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Netherlands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(Mauritius) Limited</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Cooperatief</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Mauritius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Nsoro MasTec (Mauritius) Limited</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60% owned by MasTec (Mauritius) Limited</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Mauritius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Nsoro MasTec India Private, Ltd.</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Nsoro MasTec (Mauritius) Limited</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India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Lux Foreign Finance S.a r.l.</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FFH,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Luxembourg</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MasTelecom S. DE R.L. DE C.V.</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MasTelecom Europe II BV</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Renewables Construction, Ltd.</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280"/>
          </w:cols>
          <w:pgMar w:left="240" w:top="727" w:right="379" w:bottom="1440" w:gutter="0" w:footer="0" w:header="0"/>
        </w:sectPr>
      </w:pPr>
    </w:p>
    <w:bookmarkStart w:id="264" w:name="page265"/>
    <w:bookmarkEnd w:id="264"/>
    <w:tbl>
      <w:tblPr>
        <w:tblLayout w:type="fixed"/>
        <w:tblInd w:w="10" w:type="dxa"/>
        <w:tblCellMar>
          <w:top w:w="0" w:type="dxa"/>
          <w:left w:w="0" w:type="dxa"/>
          <w:bottom w:w="0" w:type="dxa"/>
          <w:right w:w="0" w:type="dxa"/>
        </w:tblCellMar>
      </w:tblPr>
      <w:tr>
        <w:trPr>
          <w:trHeight w:val="290"/>
        </w:trPr>
        <w:tc>
          <w:tcPr>
            <w:tcW w:w="4080" w:type="dxa"/>
            <w:vAlign w:val="bottom"/>
            <w:tcBorders>
              <w:top w:val="single" w:sz="8" w:color="auto"/>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17"/>
                <w:szCs w:val="17"/>
                <w:color w:val="auto"/>
              </w:rPr>
              <w:t>Pantel Inversiones de Venezuela, CA</w:t>
            </w:r>
          </w:p>
        </w:tc>
        <w:tc>
          <w:tcPr>
            <w:tcW w:w="45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Venezuela, Inc.</w:t>
            </w:r>
          </w:p>
        </w:tc>
        <w:tc>
          <w:tcPr>
            <w:tcW w:w="13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Venezuela</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w w:val="98"/>
              </w:rPr>
              <w:t>96.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Burntel Telecommunications, C.A.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50% owned by Pantel Inversiones de Venezuela, CA</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Venezuela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 xml:space="preserve">97.  </w:t>
            </w:r>
            <w:r>
              <w:rPr>
                <w:rFonts w:ascii="Times New Roman" w:cs="Times New Roman" w:eastAsia="Times New Roman" w:hAnsi="Times New Roman"/>
                <w:sz w:val="17"/>
                <w:szCs w:val="17"/>
                <w:color w:val="auto"/>
              </w:rPr>
              <w:t>Mastec Participacoes Do Brasil LTDA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Brazil</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w w:val="98"/>
              </w:rPr>
              <w:t>98.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Brasil S/A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88% owned by MasTec Latin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Brazil</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w w:val="98"/>
              </w:rPr>
              <w:t>99.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CIDE Engeharia, Ltda.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Brasil S/A</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Brazil</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100.</w:t>
            </w:r>
            <w:r>
              <w:rPr>
                <w:rFonts w:ascii="Times New Roman" w:cs="Times New Roman" w:eastAsia="Times New Roman" w:hAnsi="Times New Roman"/>
                <w:sz w:val="17"/>
                <w:szCs w:val="17"/>
                <w:color w:val="auto"/>
              </w:rPr>
              <w:t>MTZ Enterprises, S. de R.L. de C.V.</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99.9% owned by MasTec Foreign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97"/>
        </w:trPr>
        <w:tc>
          <w:tcPr>
            <w:tcW w:w="4080" w:type="dxa"/>
            <w:vAlign w:val="bottom"/>
            <w:tcBorders>
              <w:left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17"/>
                <w:szCs w:val="17"/>
                <w:color w:val="auto"/>
              </w:rPr>
              <w:t>MTZ Wireless Telecommunications, S. de R.L.</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MTZ Enterprises</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94"/>
        </w:trPr>
        <w:tc>
          <w:tcPr>
            <w:tcW w:w="640" w:type="dxa"/>
            <w:vAlign w:val="bottom"/>
            <w:tcBorders>
              <w:left w:val="single" w:sz="8" w:color="auto"/>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de C.V.</w:t>
            </w:r>
          </w:p>
        </w:tc>
        <w:tc>
          <w:tcPr>
            <w:tcW w:w="45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102.</w:t>
            </w:r>
            <w:r>
              <w:rPr>
                <w:rFonts w:ascii="Times New Roman" w:cs="Times New Roman" w:eastAsia="Times New Roman" w:hAnsi="Times New Roman"/>
                <w:sz w:val="17"/>
                <w:szCs w:val="17"/>
                <w:color w:val="auto"/>
              </w:rPr>
              <w:t>MTZ Personnel Services, S. de R.L. de C.V.</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MTZ Enterprises</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103.</w:t>
            </w:r>
            <w:r>
              <w:rPr>
                <w:rFonts w:ascii="Times New Roman" w:cs="Times New Roman" w:eastAsia="Times New Roman" w:hAnsi="Times New Roman"/>
                <w:sz w:val="17"/>
                <w:szCs w:val="17"/>
                <w:color w:val="auto"/>
              </w:rPr>
              <w:t>MTZ Energias S. de R.L. de C.V.</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99.97% owned by MTZ Enterprises</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104.</w:t>
            </w:r>
            <w:r>
              <w:rPr>
                <w:rFonts w:ascii="Times New Roman" w:cs="Times New Roman" w:eastAsia="Times New Roman" w:hAnsi="Times New Roman"/>
                <w:sz w:val="17"/>
                <w:szCs w:val="17"/>
                <w:color w:val="auto"/>
              </w:rPr>
              <w:t>MTCO Energias de Mexico, S. de R.L. de C.V.</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80% owned by MTZ Enterprises</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105.</w:t>
            </w:r>
            <w:r>
              <w:rPr>
                <w:rFonts w:ascii="Times New Roman" w:cs="Times New Roman" w:eastAsia="Times New Roman" w:hAnsi="Times New Roman"/>
                <w:sz w:val="17"/>
                <w:szCs w:val="17"/>
                <w:color w:val="auto"/>
              </w:rPr>
              <w:t>MSTEC Enterprises Mexico</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99.97% owned by MasTec Foreign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97"/>
        </w:trPr>
        <w:tc>
          <w:tcPr>
            <w:tcW w:w="4080" w:type="dxa"/>
            <w:vAlign w:val="bottom"/>
            <w:tcBorders>
              <w:left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106.</w:t>
            </w:r>
            <w:r>
              <w:rPr>
                <w:rFonts w:ascii="Times New Roman" w:cs="Times New Roman" w:eastAsia="Times New Roman" w:hAnsi="Times New Roman"/>
                <w:sz w:val="17"/>
                <w:szCs w:val="17"/>
                <w:color w:val="auto"/>
              </w:rPr>
              <w:t>MasTec Infraestructuras de Mexico S. de R.L.</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80% owned by MTZ Energias, S. de R.L. de C.V.</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94"/>
        </w:trPr>
        <w:tc>
          <w:tcPr>
            <w:tcW w:w="640" w:type="dxa"/>
            <w:vAlign w:val="bottom"/>
            <w:tcBorders>
              <w:left w:val="single" w:sz="8" w:color="auto"/>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de C.V.</w:t>
            </w:r>
          </w:p>
        </w:tc>
        <w:tc>
          <w:tcPr>
            <w:tcW w:w="45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107.</w:t>
            </w:r>
            <w:r>
              <w:rPr>
                <w:rFonts w:ascii="Times New Roman" w:cs="Times New Roman" w:eastAsia="Times New Roman" w:hAnsi="Times New Roman"/>
                <w:sz w:val="17"/>
                <w:szCs w:val="17"/>
                <w:color w:val="auto"/>
              </w:rPr>
              <w:t>MasTec Renewables Puerto Rico,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Puerto Rico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66-0754928</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108.</w:t>
            </w:r>
            <w:r>
              <w:rPr>
                <w:rFonts w:ascii="Times New Roman" w:cs="Times New Roman" w:eastAsia="Times New Roman" w:hAnsi="Times New Roman"/>
                <w:sz w:val="17"/>
                <w:szCs w:val="17"/>
                <w:color w:val="auto"/>
              </w:rPr>
              <w:t>MasTec Puerto Rico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Foreign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109.</w:t>
            </w:r>
            <w:r>
              <w:rPr>
                <w:rFonts w:ascii="Times New Roman" w:cs="Times New Roman" w:eastAsia="Times New Roman" w:hAnsi="Times New Roman"/>
                <w:sz w:val="17"/>
                <w:szCs w:val="17"/>
                <w:color w:val="auto"/>
              </w:rPr>
              <w:t>MasCo PR,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60% owned by MasTec Puerto Rico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66-0754929</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110.</w:t>
            </w:r>
            <w:r>
              <w:rPr>
                <w:rFonts w:ascii="Times New Roman" w:cs="Times New Roman" w:eastAsia="Times New Roman" w:hAnsi="Times New Roman"/>
                <w:sz w:val="17"/>
                <w:szCs w:val="17"/>
                <w:color w:val="auto"/>
              </w:rPr>
              <w:t>MasTec Engineering, LLP</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98% owned by MasTec Puerto Rico Engineering Services</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111.</w:t>
            </w:r>
            <w:r>
              <w:rPr>
                <w:rFonts w:ascii="Times New Roman" w:cs="Times New Roman" w:eastAsia="Times New Roman" w:hAnsi="Times New Roman"/>
                <w:sz w:val="17"/>
                <w:szCs w:val="17"/>
                <w:color w:val="auto"/>
              </w:rPr>
              <w:t>MasTec Precision,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Puerto Rico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66-0756097</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112.</w:t>
            </w:r>
            <w:r>
              <w:rPr>
                <w:rFonts w:ascii="Times New Roman" w:cs="Times New Roman" w:eastAsia="Times New Roman" w:hAnsi="Times New Roman"/>
                <w:sz w:val="17"/>
                <w:szCs w:val="17"/>
                <w:color w:val="auto"/>
              </w:rPr>
              <w:t>BLDM – Precision,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60% owned by MasTec Precision,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66-0756042</w:t>
            </w:r>
          </w:p>
        </w:tc>
        <w:tc>
          <w:tcPr>
            <w:tcW w:w="0" w:type="dxa"/>
            <w:vAlign w:val="bottom"/>
          </w:tcPr>
          <w:p>
            <w:pPr>
              <w:spacing w:after="0"/>
              <w:rPr>
                <w:sz w:val="1"/>
                <w:szCs w:val="1"/>
                <w:color w:val="auto"/>
              </w:rPr>
            </w:pPr>
          </w:p>
        </w:tc>
      </w:tr>
      <w:tr>
        <w:trPr>
          <w:trHeight w:val="297"/>
        </w:trPr>
        <w:tc>
          <w:tcPr>
            <w:tcW w:w="4080" w:type="dxa"/>
            <w:vAlign w:val="bottom"/>
            <w:tcBorders>
              <w:left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113.</w:t>
            </w:r>
            <w:r>
              <w:rPr>
                <w:rFonts w:ascii="Times New Roman" w:cs="Times New Roman" w:eastAsia="Times New Roman" w:hAnsi="Times New Roman"/>
                <w:sz w:val="17"/>
                <w:szCs w:val="17"/>
                <w:color w:val="auto"/>
              </w:rPr>
              <w:t>MasTec Panama, S. de R.L.</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 owned by MasTec Foreign Holdings, LLC; 1% owned by</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Panama</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ind w:left="20"/>
              <w:spacing w:after="0" w:line="168" w:lineRule="exact"/>
              <w:rPr>
                <w:sz w:val="20"/>
                <w:szCs w:val="20"/>
                <w:color w:val="auto"/>
              </w:rPr>
            </w:pPr>
            <w:r>
              <w:rPr>
                <w:rFonts w:ascii="Times New Roman" w:cs="Times New Roman" w:eastAsia="Times New Roman" w:hAnsi="Times New Roman"/>
                <w:sz w:val="17"/>
                <w:szCs w:val="17"/>
                <w:color w:val="auto"/>
              </w:rPr>
              <w:t>MasTec Latin America Holdings, LLC</w:t>
            </w:r>
          </w:p>
        </w:tc>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080" w:type="dxa"/>
            <w:vAlign w:val="bottom"/>
            <w:tcBorders>
              <w:left w:val="single" w:sz="8" w:color="auto"/>
              <w:right w:val="single" w:sz="8" w:color="auto"/>
            </w:tcBorders>
            <w:gridSpan w:val="2"/>
          </w:tcPr>
          <w:p>
            <w:pPr>
              <w:ind w:left="360"/>
              <w:spacing w:after="0" w:line="222" w:lineRule="exact"/>
              <w:rPr>
                <w:sz w:val="20"/>
                <w:szCs w:val="20"/>
                <w:color w:val="auto"/>
              </w:rPr>
            </w:pPr>
            <w:r>
              <w:rPr>
                <w:rFonts w:ascii="Times New Roman" w:cs="Times New Roman" w:eastAsia="Times New Roman" w:hAnsi="Times New Roman"/>
                <w:sz w:val="21"/>
                <w:szCs w:val="21"/>
                <w:color w:val="auto"/>
              </w:rPr>
              <w:t>114.</w:t>
            </w:r>
            <w:r>
              <w:rPr>
                <w:rFonts w:ascii="Times New Roman" w:cs="Times New Roman" w:eastAsia="Times New Roman" w:hAnsi="Times New Roman"/>
                <w:sz w:val="17"/>
                <w:szCs w:val="17"/>
                <w:color w:val="auto"/>
              </w:rPr>
              <w:t>MasTec Servicios Publicos Soterrados, S. de</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 owned by MasTec Foreign Holdings, LLC; 1% owned by</w:t>
            </w: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Panama</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20"/>
        </w:trPr>
        <w:tc>
          <w:tcPr>
            <w:tcW w:w="640" w:type="dxa"/>
            <w:vAlign w:val="bottom"/>
            <w:tcBorders>
              <w:left w:val="single" w:sz="8" w:color="auto"/>
            </w:tcBorders>
          </w:tcPr>
          <w:p>
            <w:pPr>
              <w:spacing w:after="0"/>
              <w:rPr>
                <w:sz w:val="10"/>
                <w:szCs w:val="10"/>
                <w:color w:val="auto"/>
              </w:rPr>
            </w:pPr>
          </w:p>
        </w:tc>
        <w:tc>
          <w:tcPr>
            <w:tcW w:w="34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R.L.</w:t>
            </w:r>
          </w:p>
        </w:tc>
        <w:tc>
          <w:tcPr>
            <w:tcW w:w="45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MasTec Latin America Holdings, LLC</w:t>
            </w:r>
          </w:p>
        </w:tc>
        <w:tc>
          <w:tcPr>
            <w:tcW w:w="13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40" w:type="dxa"/>
            <w:vAlign w:val="bottom"/>
            <w:tcBorders>
              <w:left w:val="single" w:sz="8" w:color="auto"/>
            </w:tcBorders>
          </w:tcPr>
          <w:p>
            <w:pPr>
              <w:spacing w:after="0"/>
              <w:rPr>
                <w:sz w:val="10"/>
                <w:szCs w:val="10"/>
                <w:color w:val="auto"/>
              </w:rPr>
            </w:pPr>
          </w:p>
        </w:tc>
        <w:tc>
          <w:tcPr>
            <w:tcW w:w="3440" w:type="dxa"/>
            <w:vAlign w:val="bottom"/>
            <w:tcBorders>
              <w:right w:val="single" w:sz="8" w:color="auto"/>
            </w:tcBorders>
            <w:vMerge w:val="continue"/>
          </w:tcPr>
          <w:p>
            <w:pPr>
              <w:spacing w:after="0"/>
              <w:rPr>
                <w:sz w:val="10"/>
                <w:szCs w:val="10"/>
                <w:color w:val="auto"/>
              </w:rPr>
            </w:pPr>
          </w:p>
        </w:tc>
        <w:tc>
          <w:tcPr>
            <w:tcW w:w="45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4080" w:type="dxa"/>
            <w:vAlign w:val="bottom"/>
            <w:tcBorders>
              <w:left w:val="single" w:sz="8" w:color="auto"/>
              <w:bottom w:val="single" w:sz="8" w:color="auto"/>
              <w:right w:val="single" w:sz="8" w:color="auto"/>
            </w:tcBorders>
            <w:gridSpan w:val="2"/>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115.</w:t>
            </w:r>
            <w:r>
              <w:rPr>
                <w:rFonts w:ascii="Times New Roman" w:cs="Times New Roman" w:eastAsia="Times New Roman" w:hAnsi="Times New Roman"/>
                <w:sz w:val="17"/>
                <w:szCs w:val="17"/>
                <w:color w:val="auto"/>
              </w:rPr>
              <w:t>Pacer Construction Holdings Corporation</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Canadian Holdco</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116.</w:t>
            </w:r>
            <w:r>
              <w:rPr>
                <w:rFonts w:ascii="Times New Roman" w:cs="Times New Roman" w:eastAsia="Times New Roman" w:hAnsi="Times New Roman"/>
                <w:sz w:val="17"/>
                <w:szCs w:val="17"/>
                <w:color w:val="auto"/>
              </w:rPr>
              <w:t>MasTec Network Services Colombia S.A.S.</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Cooperatief (UA)</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Colombia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117.</w:t>
            </w:r>
            <w:r>
              <w:rPr>
                <w:rFonts w:ascii="Times New Roman" w:cs="Times New Roman" w:eastAsia="Times New Roman" w:hAnsi="Times New Roman"/>
                <w:sz w:val="17"/>
                <w:szCs w:val="17"/>
                <w:color w:val="auto"/>
              </w:rPr>
              <w:t>MasTec Network Solutions Puerto Rico,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Cooperatief (UA)</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280"/>
          </w:cols>
          <w:pgMar w:left="240" w:top="727" w:right="379" w:bottom="1440" w:gutter="0" w:footer="0" w:header="0"/>
        </w:sectPr>
      </w:pPr>
    </w:p>
    <w:bookmarkStart w:id="265" w:name="page266"/>
    <w:bookmarkEnd w:id="265"/>
    <w:tbl>
      <w:tblPr>
        <w:tblLayout w:type="fixed"/>
        <w:tblInd w:w="10" w:type="dxa"/>
        <w:tblCellMar>
          <w:top w:w="0" w:type="dxa"/>
          <w:left w:w="0" w:type="dxa"/>
          <w:bottom w:w="0" w:type="dxa"/>
          <w:right w:w="0" w:type="dxa"/>
        </w:tblCellMar>
      </w:tblPr>
      <w:tr>
        <w:trPr>
          <w:trHeight w:val="274"/>
        </w:trPr>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gridSpan w:val="4"/>
          </w:tcPr>
          <w:p>
            <w:pPr>
              <w:jc w:val="right"/>
              <w:ind w:right="20"/>
              <w:spacing w:after="0"/>
              <w:rPr>
                <w:sz w:val="20"/>
                <w:szCs w:val="20"/>
                <w:color w:val="auto"/>
              </w:rPr>
            </w:pPr>
            <w:r>
              <w:rPr>
                <w:rFonts w:ascii="Times New Roman" w:cs="Times New Roman" w:eastAsia="Times New Roman" w:hAnsi="Times New Roman"/>
                <w:sz w:val="21"/>
                <w:szCs w:val="21"/>
                <w:b w:val="1"/>
                <w:bCs w:val="1"/>
                <w:i w:val="1"/>
                <w:iCs w:val="1"/>
                <w:color w:val="auto"/>
              </w:rPr>
              <w:t>SCHEDULE 5.13</w:t>
            </w:r>
          </w:p>
        </w:tc>
        <w:tc>
          <w:tcPr>
            <w:tcW w:w="0" w:type="dxa"/>
            <w:vAlign w:val="bottom"/>
          </w:tcPr>
          <w:p>
            <w:pPr>
              <w:spacing w:after="0"/>
              <w:rPr>
                <w:sz w:val="1"/>
                <w:szCs w:val="1"/>
                <w:color w:val="auto"/>
              </w:rPr>
            </w:pPr>
          </w:p>
        </w:tc>
      </w:tr>
      <w:tr>
        <w:trPr>
          <w:trHeight w:val="491"/>
        </w:trPr>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2"/>
            <w:vMerge w:val="restart"/>
          </w:tcPr>
          <w:p>
            <w:pPr>
              <w:ind w:left="1200"/>
              <w:spacing w:after="0"/>
              <w:rPr>
                <w:sz w:val="20"/>
                <w:szCs w:val="20"/>
                <w:color w:val="auto"/>
              </w:rPr>
            </w:pPr>
            <w:r>
              <w:rPr>
                <w:rFonts w:ascii="Times New Roman" w:cs="Times New Roman" w:eastAsia="Times New Roman" w:hAnsi="Times New Roman"/>
                <w:sz w:val="21"/>
                <w:szCs w:val="21"/>
                <w:b w:val="1"/>
                <w:bCs w:val="1"/>
                <w:color w:val="auto"/>
              </w:rPr>
              <w:t>LOAN PARTIES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b w:val="1"/>
                <w:bCs w:val="1"/>
                <w:i w:val="1"/>
                <w:iCs w:val="1"/>
                <w:color w:val="auto"/>
              </w:rPr>
              <w:t>Part (b)</w:t>
            </w: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7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Affiliated Entity</w:t>
            </w:r>
          </w:p>
        </w:tc>
        <w:tc>
          <w:tcPr>
            <w:tcW w:w="5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Principal Place of Business</w:t>
            </w:r>
          </w:p>
        </w:tc>
        <w:tc>
          <w:tcPr>
            <w:tcW w:w="280" w:type="dxa"/>
            <w:vAlign w:val="bottom"/>
          </w:tcPr>
          <w:p>
            <w:pPr>
              <w:spacing w:after="0"/>
              <w:rPr>
                <w:sz w:val="24"/>
                <w:szCs w:val="2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Jurisdiction</w:t>
            </w:r>
          </w:p>
        </w:tc>
        <w:tc>
          <w:tcPr>
            <w:tcW w:w="200" w:type="dxa"/>
            <w:vAlign w:val="bottom"/>
          </w:tcPr>
          <w:p>
            <w:pPr>
              <w:spacing w:after="0"/>
              <w:rPr>
                <w:sz w:val="24"/>
                <w:szCs w:val="24"/>
                <w:color w:val="auto"/>
              </w:rPr>
            </w:pPr>
          </w:p>
        </w:tc>
        <w:tc>
          <w:tcPr>
            <w:tcW w:w="146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Tax ID</w:t>
            </w:r>
          </w:p>
        </w:tc>
        <w:tc>
          <w:tcPr>
            <w:tcW w:w="0" w:type="dxa"/>
            <w:vAlign w:val="bottom"/>
          </w:tcPr>
          <w:p>
            <w:pPr>
              <w:spacing w:after="0"/>
              <w:rPr>
                <w:sz w:val="1"/>
                <w:szCs w:val="1"/>
                <w:color w:val="auto"/>
              </w:rPr>
            </w:pPr>
          </w:p>
        </w:tc>
      </w:tr>
      <w:tr>
        <w:trPr>
          <w:trHeight w:val="381"/>
        </w:trPr>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Borrowers</w:t>
            </w:r>
          </w:p>
        </w:tc>
        <w:tc>
          <w:tcPr>
            <w:tcW w:w="2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1.</w:t>
            </w:r>
          </w:p>
        </w:tc>
        <w:tc>
          <w:tcPr>
            <w:tcW w:w="2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MasTec, Inc.</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280" w:type="dxa"/>
            <w:vAlign w:val="bottom"/>
          </w:tcPr>
          <w:p>
            <w:pPr>
              <w:spacing w:after="0"/>
              <w:rPr>
                <w:sz w:val="22"/>
                <w:szCs w:val="22"/>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Florida</w:t>
            </w:r>
          </w:p>
        </w:tc>
        <w:tc>
          <w:tcPr>
            <w:tcW w:w="2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7"/>
                <w:szCs w:val="17"/>
                <w:color w:val="auto"/>
              </w:rPr>
              <w:t>65-0829355</w:t>
            </w:r>
          </w:p>
        </w:tc>
        <w:tc>
          <w:tcPr>
            <w:tcW w:w="0" w:type="dxa"/>
            <w:vAlign w:val="bottom"/>
          </w:tcPr>
          <w:p>
            <w:pPr>
              <w:spacing w:after="0"/>
              <w:rPr>
                <w:sz w:val="1"/>
                <w:szCs w:val="1"/>
                <w:color w:val="auto"/>
              </w:rPr>
            </w:pPr>
          </w:p>
        </w:tc>
      </w:tr>
      <w:tr>
        <w:trPr>
          <w:trHeight w:val="80"/>
        </w:trPr>
        <w:tc>
          <w:tcPr>
            <w:tcW w:w="640" w:type="dxa"/>
            <w:vAlign w:val="bottom"/>
            <w:tcBorders>
              <w:lef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300" w:type="dxa"/>
            <w:vAlign w:val="bottom"/>
            <w:vMerge w:val="continue"/>
          </w:tcPr>
          <w:p>
            <w:pPr>
              <w:spacing w:after="0"/>
              <w:rPr>
                <w:sz w:val="6"/>
                <w:szCs w:val="6"/>
                <w:color w:val="auto"/>
              </w:rPr>
            </w:pPr>
          </w:p>
        </w:tc>
        <w:tc>
          <w:tcPr>
            <w:tcW w:w="4720" w:type="dxa"/>
            <w:vAlign w:val="bottom"/>
            <w:tcBorders>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40" w:type="dxa"/>
            <w:vAlign w:val="bottom"/>
            <w:tcBorders>
              <w:left w:val="single" w:sz="8" w:color="auto"/>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30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2.</w:t>
            </w:r>
          </w:p>
        </w:tc>
        <w:tc>
          <w:tcPr>
            <w:tcW w:w="2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MasTec North America, Inc.</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280" w:type="dxa"/>
            <w:vAlign w:val="bottom"/>
          </w:tcPr>
          <w:p>
            <w:pPr>
              <w:spacing w:after="0"/>
              <w:rPr>
                <w:sz w:val="22"/>
                <w:szCs w:val="22"/>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Florida</w:t>
            </w:r>
          </w:p>
        </w:tc>
        <w:tc>
          <w:tcPr>
            <w:tcW w:w="2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7"/>
                <w:szCs w:val="17"/>
                <w:color w:val="auto"/>
              </w:rPr>
              <w:t>65-0829357</w:t>
            </w:r>
          </w:p>
        </w:tc>
        <w:tc>
          <w:tcPr>
            <w:tcW w:w="0" w:type="dxa"/>
            <w:vAlign w:val="bottom"/>
          </w:tcPr>
          <w:p>
            <w:pPr>
              <w:spacing w:after="0"/>
              <w:rPr>
                <w:sz w:val="1"/>
                <w:szCs w:val="1"/>
                <w:color w:val="auto"/>
              </w:rPr>
            </w:pPr>
          </w:p>
        </w:tc>
      </w:tr>
      <w:tr>
        <w:trPr>
          <w:trHeight w:val="80"/>
        </w:trPr>
        <w:tc>
          <w:tcPr>
            <w:tcW w:w="640" w:type="dxa"/>
            <w:vAlign w:val="bottom"/>
            <w:tcBorders>
              <w:lef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300" w:type="dxa"/>
            <w:vAlign w:val="bottom"/>
            <w:vMerge w:val="continue"/>
          </w:tcPr>
          <w:p>
            <w:pPr>
              <w:spacing w:after="0"/>
              <w:rPr>
                <w:sz w:val="6"/>
                <w:szCs w:val="6"/>
                <w:color w:val="auto"/>
              </w:rPr>
            </w:pPr>
          </w:p>
        </w:tc>
        <w:tc>
          <w:tcPr>
            <w:tcW w:w="4720" w:type="dxa"/>
            <w:vAlign w:val="bottom"/>
            <w:tcBorders>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220" w:type="dxa"/>
            <w:vAlign w:val="bottom"/>
            <w:tcBorders>
              <w:left w:val="single" w:sz="8" w:color="auto"/>
              <w:bottom w:val="single" w:sz="8" w:color="auto"/>
            </w:tcBorders>
            <w:gridSpan w:val="2"/>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30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2"/>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Guarantors</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1.</w:t>
            </w:r>
          </w:p>
        </w:tc>
        <w:tc>
          <w:tcPr>
            <w:tcW w:w="2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Bottom Line Services, LLC</w:t>
            </w:r>
          </w:p>
        </w:tc>
        <w:tc>
          <w:tcPr>
            <w:tcW w:w="50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1010 Hwy 59 West, George West TX 78022</w:t>
            </w:r>
          </w:p>
        </w:tc>
        <w:tc>
          <w:tcPr>
            <w:tcW w:w="28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Delaware</w:t>
            </w:r>
          </w:p>
        </w:tc>
        <w:tc>
          <w:tcPr>
            <w:tcW w:w="2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65-0829355</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2.</w:t>
            </w:r>
          </w:p>
        </w:tc>
        <w:tc>
          <w:tcPr>
            <w:tcW w:w="2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EC Source Services, LLC</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28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Florida</w:t>
            </w:r>
          </w:p>
        </w:tc>
        <w:tc>
          <w:tcPr>
            <w:tcW w:w="2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27-3046138</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3.</w:t>
            </w:r>
          </w:p>
        </w:tc>
        <w:tc>
          <w:tcPr>
            <w:tcW w:w="2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Energy Erectors, Inc.</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28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Florida</w:t>
            </w:r>
          </w:p>
        </w:tc>
        <w:tc>
          <w:tcPr>
            <w:tcW w:w="2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39-1363163</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4.</w:t>
            </w:r>
          </w:p>
        </w:tc>
        <w:tc>
          <w:tcPr>
            <w:tcW w:w="2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MasTec ETS Service Company, LLC</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28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Florida</w:t>
            </w:r>
          </w:p>
        </w:tc>
        <w:tc>
          <w:tcPr>
            <w:tcW w:w="2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46-3702652</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5.</w:t>
            </w:r>
          </w:p>
        </w:tc>
        <w:tc>
          <w:tcPr>
            <w:tcW w:w="2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MasTec Network Solutions, Inc.</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28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Florida</w:t>
            </w:r>
          </w:p>
        </w:tc>
        <w:tc>
          <w:tcPr>
            <w:tcW w:w="2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45-3250780</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6.</w:t>
            </w:r>
          </w:p>
        </w:tc>
        <w:tc>
          <w:tcPr>
            <w:tcW w:w="2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MasTec Network Solutions, LLC</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28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Florida</w:t>
            </w:r>
          </w:p>
        </w:tc>
        <w:tc>
          <w:tcPr>
            <w:tcW w:w="2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26-3078035</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7.</w:t>
            </w:r>
          </w:p>
        </w:tc>
        <w:tc>
          <w:tcPr>
            <w:tcW w:w="2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Mastec Power Corp.</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28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Florida</w:t>
            </w:r>
          </w:p>
        </w:tc>
        <w:tc>
          <w:tcPr>
            <w:tcW w:w="2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47-4824701</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8.</w:t>
            </w:r>
          </w:p>
        </w:tc>
        <w:tc>
          <w:tcPr>
            <w:tcW w:w="2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MasTec Renewables Construction</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280" w:type="dxa"/>
            <w:vAlign w:val="bottom"/>
          </w:tcPr>
          <w:p>
            <w:pPr>
              <w:spacing w:after="0"/>
              <w:rPr>
                <w:sz w:val="21"/>
                <w:szCs w:val="2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Florida</w:t>
            </w:r>
          </w:p>
        </w:tc>
        <w:tc>
          <w:tcPr>
            <w:tcW w:w="2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27-2971344</w:t>
            </w:r>
          </w:p>
        </w:tc>
        <w:tc>
          <w:tcPr>
            <w:tcW w:w="0" w:type="dxa"/>
            <w:vAlign w:val="bottom"/>
          </w:tcPr>
          <w:p>
            <w:pPr>
              <w:spacing w:after="0"/>
              <w:rPr>
                <w:sz w:val="1"/>
                <w:szCs w:val="1"/>
                <w:color w:val="auto"/>
              </w:rPr>
            </w:pPr>
          </w:p>
        </w:tc>
      </w:tr>
      <w:tr>
        <w:trPr>
          <w:trHeight w:val="223"/>
        </w:trPr>
        <w:tc>
          <w:tcPr>
            <w:tcW w:w="640" w:type="dxa"/>
            <w:vAlign w:val="bottom"/>
            <w:tcBorders>
              <w:left w:val="single" w:sz="8" w:color="auto"/>
            </w:tcBorders>
          </w:tcPr>
          <w:p>
            <w:pPr>
              <w:spacing w:after="0"/>
              <w:rPr>
                <w:sz w:val="19"/>
                <w:szCs w:val="19"/>
                <w:color w:val="auto"/>
              </w:rPr>
            </w:pPr>
          </w:p>
        </w:tc>
        <w:tc>
          <w:tcPr>
            <w:tcW w:w="28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Company, Inc.</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640" w:type="dxa"/>
            <w:vAlign w:val="bottom"/>
            <w:tcBorders>
              <w:left w:val="single" w:sz="8" w:color="auto"/>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9.</w:t>
            </w:r>
          </w:p>
        </w:tc>
        <w:tc>
          <w:tcPr>
            <w:tcW w:w="2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MasTec Residential Services, LLC</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28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Florida</w:t>
            </w:r>
          </w:p>
        </w:tc>
        <w:tc>
          <w:tcPr>
            <w:tcW w:w="2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27-0637848</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w w:val="98"/>
              </w:rPr>
              <w:t>10.</w:t>
            </w:r>
          </w:p>
        </w:tc>
        <w:tc>
          <w:tcPr>
            <w:tcW w:w="282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MasTec Wireless Services, LLC</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28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Florida</w:t>
            </w:r>
          </w:p>
        </w:tc>
        <w:tc>
          <w:tcPr>
            <w:tcW w:w="2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14-1943970</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w w:val="98"/>
              </w:rPr>
              <w:t>11.</w:t>
            </w:r>
          </w:p>
        </w:tc>
        <w:tc>
          <w:tcPr>
            <w:tcW w:w="282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MP Drilling Holdings, LLC</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28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Florida</w:t>
            </w:r>
          </w:p>
        </w:tc>
        <w:tc>
          <w:tcPr>
            <w:tcW w:w="2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32-0490051</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40"/>
          </w:cols>
          <w:pgMar w:left="240" w:top="599" w:right="219" w:bottom="1440" w:gutter="0" w:footer="0" w:header="0"/>
        </w:sectPr>
      </w:pPr>
    </w:p>
    <w:bookmarkStart w:id="266" w:name="page267"/>
    <w:bookmarkEnd w:id="266"/>
    <w:tbl>
      <w:tblPr>
        <w:tblLayout w:type="fixed"/>
        <w:tblInd w:w="10" w:type="dxa"/>
        <w:tblCellMar>
          <w:top w:w="0" w:type="dxa"/>
          <w:left w:w="0" w:type="dxa"/>
          <w:bottom w:w="0" w:type="dxa"/>
          <w:right w:w="0" w:type="dxa"/>
        </w:tblCellMar>
      </w:tblPr>
      <w:tr>
        <w:trPr>
          <w:trHeight w:val="323"/>
        </w:trPr>
        <w:tc>
          <w:tcPr>
            <w:tcW w:w="6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28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Power Partners MasTec, Inc.</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Borders>
              <w:top w:val="single" w:sz="8" w:color="auto"/>
              <w:right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27-3506112</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720" w:type="dxa"/>
            <w:vAlign w:val="bottom"/>
            <w:tcBorders>
              <w:bottom w:val="single" w:sz="8" w:color="auto"/>
              <w:right w:val="single" w:sz="8" w:color="auto"/>
            </w:tcBorders>
            <w:gridSpan w:val="2"/>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Pretec Directional Drilling, LLC</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Rd., Suite 1200, Coral Gables, FL 33134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81-2154750</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720" w:type="dxa"/>
            <w:vAlign w:val="bottom"/>
            <w:tcBorders>
              <w:bottom w:val="single" w:sz="8" w:color="auto"/>
              <w:right w:val="single" w:sz="8" w:color="auto"/>
            </w:tcBorders>
            <w:gridSpan w:val="2"/>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Energy Environmental Group, Inc.</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Douglas Road, Suite 1200, Coral Gables FL 33134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Nevada</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26-4399738</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5020" w:type="dxa"/>
            <w:vAlign w:val="bottom"/>
            <w:tcBorders>
              <w:bottom w:val="single" w:sz="8" w:color="auto"/>
              <w:right w:val="single" w:sz="8" w:color="auto"/>
            </w:tcBorders>
            <w:gridSpan w:val="3"/>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15.</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T&amp;D Power, Inc.</w:t>
            </w:r>
          </w:p>
        </w:tc>
        <w:tc>
          <w:tcPr>
            <w:tcW w:w="50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1138 N. Alma School Road Ste. 215, Mesa AZ 85201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Nevada</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26-4474622</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5020" w:type="dxa"/>
            <w:vAlign w:val="bottom"/>
            <w:tcBorders>
              <w:bottom w:val="single" w:sz="8" w:color="auto"/>
              <w:right w:val="single" w:sz="8" w:color="auto"/>
            </w:tcBorders>
            <w:gridSpan w:val="3"/>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16.</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Three Phase Acquisition Corp.</w:t>
            </w:r>
          </w:p>
        </w:tc>
        <w:tc>
          <w:tcPr>
            <w:tcW w:w="50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25 Main Street Farmington, NH 03835</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Hampshire</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26-1623833</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5020" w:type="dxa"/>
            <w:vAlign w:val="bottom"/>
            <w:tcBorders>
              <w:bottom w:val="single" w:sz="8" w:color="auto"/>
              <w:right w:val="single" w:sz="8" w:color="auto"/>
            </w:tcBorders>
            <w:gridSpan w:val="3"/>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17.</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Three Phase Line Construction, Inc.</w:t>
            </w:r>
          </w:p>
        </w:tc>
        <w:tc>
          <w:tcPr>
            <w:tcW w:w="50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25 Main Street Farmington, NH 03835</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Hampshire</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02-0486688</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gridSpan w:val="2"/>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Power Partners MasTec, LLC</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9"/>
              </w:rPr>
              <w:t>9140</w:t>
            </w:r>
          </w:p>
        </w:tc>
        <w:tc>
          <w:tcPr>
            <w:tcW w:w="4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Arrowpoint Blvd., Suite 200, Charlotte NC 28273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North Carolina</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26-1623356</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5020" w:type="dxa"/>
            <w:vAlign w:val="bottom"/>
            <w:tcBorders>
              <w:bottom w:val="single" w:sz="8" w:color="auto"/>
              <w:right w:val="single" w:sz="8" w:color="auto"/>
            </w:tcBorders>
            <w:gridSpan w:val="3"/>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spacing w:after="0"/>
              <w:rPr>
                <w:sz w:val="24"/>
                <w:szCs w:val="24"/>
                <w:color w:val="auto"/>
              </w:rPr>
            </w:pPr>
          </w:p>
        </w:tc>
        <w:tc>
          <w:tcPr>
            <w:tcW w:w="2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17"/>
                <w:szCs w:val="17"/>
                <w:color w:val="auto"/>
              </w:rPr>
              <w:t>Wanzek Construction, Inc.</w:t>
            </w:r>
          </w:p>
        </w:tc>
        <w:tc>
          <w:tcPr>
            <w:tcW w:w="50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16553 37R St. SE, Fargo, ND 58103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North Dakota</w:t>
            </w:r>
          </w:p>
        </w:tc>
        <w:tc>
          <w:tcPr>
            <w:tcW w:w="1460" w:type="dxa"/>
            <w:vAlign w:val="bottom"/>
            <w:tcBorders>
              <w:right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45-0311915</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gridSpan w:val="2"/>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Go Green Services, LLC</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9"/>
              </w:rPr>
              <w:t>1001</w:t>
            </w:r>
          </w:p>
        </w:tc>
        <w:tc>
          <w:tcPr>
            <w:tcW w:w="4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County Road 230 Giddings, TX 78942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Texas</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65-0829355</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gridSpan w:val="2"/>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Pumpco, Inc.</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9"/>
              </w:rPr>
              <w:t>1209</w:t>
            </w:r>
          </w:p>
        </w:tc>
        <w:tc>
          <w:tcPr>
            <w:tcW w:w="4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South Main Street, Giddings TX 78942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Texas</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74-2196341</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gridSpan w:val="2"/>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22.</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Acquisition, LLC</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9"/>
              </w:rPr>
              <w:t>3314</w:t>
            </w:r>
          </w:p>
        </w:tc>
        <w:tc>
          <w:tcPr>
            <w:tcW w:w="4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56th Street Eau Claire WI 54703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Wisconsin</w:t>
            </w:r>
          </w:p>
        </w:tc>
        <w:tc>
          <w:tcPr>
            <w:tcW w:w="1460" w:type="dxa"/>
            <w:vAlign w:val="bottom"/>
            <w:tcBorders>
              <w:right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27-1186147</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gridSpan w:val="2"/>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Pipeline LLC</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9"/>
              </w:rPr>
              <w:t>3314</w:t>
            </w:r>
          </w:p>
        </w:tc>
        <w:tc>
          <w:tcPr>
            <w:tcW w:w="4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56th Street Eau Claire WI 54703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Wisconsin</w:t>
            </w:r>
          </w:p>
        </w:tc>
        <w:tc>
          <w:tcPr>
            <w:tcW w:w="1460" w:type="dxa"/>
            <w:vAlign w:val="bottom"/>
            <w:tcBorders>
              <w:right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20-0667117</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gridSpan w:val="2"/>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Transport Company, LLC</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9"/>
              </w:rPr>
              <w:t>3314</w:t>
            </w:r>
          </w:p>
        </w:tc>
        <w:tc>
          <w:tcPr>
            <w:tcW w:w="4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56th Street Eau Claire WI 54703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Wisconsin</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20-3843698</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gridSpan w:val="2"/>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25.</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SEFNCO Communications, Inc.</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9"/>
              </w:rPr>
              <w:t>1019</w:t>
            </w:r>
          </w:p>
        </w:tc>
        <w:tc>
          <w:tcPr>
            <w:tcW w:w="4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39th Avenue SE Suite 200, Puyallup, WA 98374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Washington</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91-1975632</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5020" w:type="dxa"/>
            <w:vAlign w:val="bottom"/>
            <w:tcBorders>
              <w:bottom w:val="single" w:sz="8" w:color="auto"/>
              <w:right w:val="single" w:sz="8" w:color="auto"/>
            </w:tcBorders>
            <w:gridSpan w:val="3"/>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26.</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Cash Construction Company, Inc.</w:t>
            </w:r>
          </w:p>
        </w:tc>
        <w:tc>
          <w:tcPr>
            <w:tcW w:w="50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222222"/>
              </w:rPr>
              <w:t>18607 N Heatherwilde Blvd, Pflugerville, TX 78660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Texas</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74-2774271</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5020" w:type="dxa"/>
            <w:vAlign w:val="bottom"/>
            <w:tcBorders>
              <w:bottom w:val="single" w:sz="8" w:color="auto"/>
              <w:right w:val="single" w:sz="8" w:color="auto"/>
            </w:tcBorders>
            <w:gridSpan w:val="3"/>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27.</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Lemartec Corporation</w:t>
            </w:r>
          </w:p>
        </w:tc>
        <w:tc>
          <w:tcPr>
            <w:tcW w:w="50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222222"/>
              </w:rPr>
              <w:t>11740 SW 80th St, Miami, FL 33183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59-1917239</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Equipment, Inc.</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47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South Douglas Road Ste 1200, Coral Gables, FL 33134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Florida</w:t>
            </w:r>
          </w:p>
        </w:tc>
        <w:tc>
          <w:tcPr>
            <w:tcW w:w="146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7"/>
                <w:szCs w:val="17"/>
                <w:color w:val="auto"/>
              </w:rPr>
              <w:t>82-3138620</w:t>
            </w:r>
          </w:p>
        </w:tc>
        <w:tc>
          <w:tcPr>
            <w:tcW w:w="0" w:type="dxa"/>
            <w:vAlign w:val="bottom"/>
          </w:tcPr>
          <w:p>
            <w:pPr>
              <w:spacing w:after="0"/>
              <w:rPr>
                <w:sz w:val="1"/>
                <w:szCs w:val="1"/>
                <w:color w:val="auto"/>
              </w:rPr>
            </w:pPr>
          </w:p>
        </w:tc>
      </w:tr>
      <w:tr>
        <w:trPr>
          <w:trHeight w:val="68"/>
        </w:trPr>
        <w:tc>
          <w:tcPr>
            <w:tcW w:w="640" w:type="dxa"/>
            <w:vAlign w:val="bottom"/>
            <w:tcBorders>
              <w:left w:val="single" w:sz="8" w:color="auto"/>
            </w:tcBorders>
          </w:tcPr>
          <w:p>
            <w:pPr>
              <w:spacing w:after="0"/>
              <w:rPr>
                <w:sz w:val="5"/>
                <w:szCs w:val="5"/>
                <w:color w:val="auto"/>
              </w:rPr>
            </w:pPr>
          </w:p>
        </w:tc>
        <w:tc>
          <w:tcPr>
            <w:tcW w:w="2820" w:type="dxa"/>
            <w:vAlign w:val="bottom"/>
            <w:tcBorders>
              <w:right w:val="single" w:sz="8" w:color="auto"/>
            </w:tcBorders>
          </w:tcPr>
          <w:p>
            <w:pPr>
              <w:spacing w:after="0"/>
              <w:rPr>
                <w:sz w:val="5"/>
                <w:szCs w:val="5"/>
                <w:color w:val="auto"/>
              </w:rPr>
            </w:pPr>
          </w:p>
        </w:tc>
        <w:tc>
          <w:tcPr>
            <w:tcW w:w="300" w:type="dxa"/>
            <w:vAlign w:val="bottom"/>
            <w:vMerge w:val="continue"/>
          </w:tcPr>
          <w:p>
            <w:pPr>
              <w:spacing w:after="0"/>
              <w:rPr>
                <w:sz w:val="5"/>
                <w:szCs w:val="5"/>
                <w:color w:val="auto"/>
              </w:rPr>
            </w:pPr>
          </w:p>
        </w:tc>
        <w:tc>
          <w:tcPr>
            <w:tcW w:w="4720" w:type="dxa"/>
            <w:vAlign w:val="bottom"/>
            <w:tcBorders>
              <w:right w:val="single" w:sz="8" w:color="auto"/>
            </w:tcBorders>
            <w:gridSpan w:val="2"/>
            <w:vMerge w:val="continue"/>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4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40" w:type="dxa"/>
            <w:vAlign w:val="bottom"/>
            <w:tcBorders>
              <w:left w:val="single" w:sz="8" w:color="auto"/>
              <w:bottom w:val="single" w:sz="8" w:color="auto"/>
            </w:tcBorders>
          </w:tcPr>
          <w:p>
            <w:pPr>
              <w:spacing w:after="0"/>
              <w:rPr>
                <w:sz w:val="15"/>
                <w:szCs w:val="15"/>
                <w:color w:val="auto"/>
              </w:rPr>
            </w:pPr>
          </w:p>
        </w:tc>
        <w:tc>
          <w:tcPr>
            <w:tcW w:w="2820" w:type="dxa"/>
            <w:vAlign w:val="bottom"/>
            <w:tcBorders>
              <w:bottom w:val="single" w:sz="8" w:color="auto"/>
              <w:right w:val="single" w:sz="8" w:color="auto"/>
            </w:tcBorders>
          </w:tcPr>
          <w:p>
            <w:pPr>
              <w:spacing w:after="0"/>
              <w:rPr>
                <w:sz w:val="15"/>
                <w:szCs w:val="15"/>
                <w:color w:val="auto"/>
              </w:rPr>
            </w:pPr>
          </w:p>
        </w:tc>
        <w:tc>
          <w:tcPr>
            <w:tcW w:w="380" w:type="dxa"/>
            <w:vAlign w:val="bottom"/>
            <w:tcBorders>
              <w:bottom w:val="single" w:sz="8" w:color="auto"/>
            </w:tcBorders>
            <w:gridSpan w:val="2"/>
          </w:tcPr>
          <w:p>
            <w:pPr>
              <w:spacing w:after="0"/>
              <w:rPr>
                <w:sz w:val="15"/>
                <w:szCs w:val="15"/>
                <w:color w:val="auto"/>
              </w:rPr>
            </w:pPr>
          </w:p>
        </w:tc>
        <w:tc>
          <w:tcPr>
            <w:tcW w:w="464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Kingsley Constructors, Inc.</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9"/>
              </w:rPr>
              <w:t>7001</w:t>
            </w:r>
          </w:p>
        </w:tc>
        <w:tc>
          <w:tcPr>
            <w:tcW w:w="4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South US Hwy 83 Asherton, TX 78827</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Texas</w:t>
            </w:r>
          </w:p>
        </w:tc>
        <w:tc>
          <w:tcPr>
            <w:tcW w:w="14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76-0017747</w:t>
            </w:r>
          </w:p>
        </w:tc>
        <w:tc>
          <w:tcPr>
            <w:tcW w:w="0" w:type="dxa"/>
            <w:vAlign w:val="bottom"/>
          </w:tcPr>
          <w:p>
            <w:pPr>
              <w:spacing w:after="0"/>
              <w:rPr>
                <w:sz w:val="1"/>
                <w:szCs w:val="1"/>
                <w:color w:val="auto"/>
              </w:rPr>
            </w:pP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40"/>
          </w:cols>
          <w:pgMar w:left="240" w:top="727" w:right="219" w:bottom="1440" w:gutter="0" w:footer="0" w:header="0"/>
        </w:sectPr>
      </w:pPr>
    </w:p>
    <w:bookmarkStart w:id="267" w:name="page268"/>
    <w:bookmarkEnd w:id="267"/>
    <w:tbl>
      <w:tblPr>
        <w:tblLayout w:type="fixed"/>
        <w:tblInd w:w="10" w:type="dxa"/>
        <w:tblCellMar>
          <w:top w:w="0" w:type="dxa"/>
          <w:left w:w="0" w:type="dxa"/>
          <w:bottom w:w="0" w:type="dxa"/>
          <w:right w:w="0" w:type="dxa"/>
        </w:tblCellMar>
      </w:tblPr>
      <w:tr>
        <w:trPr>
          <w:trHeight w:val="274"/>
        </w:trPr>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SCHEDULE 5.13</w:t>
            </w:r>
          </w:p>
        </w:tc>
      </w:tr>
      <w:tr>
        <w:trPr>
          <w:trHeight w:val="49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Part (c)</w:t>
            </w:r>
          </w:p>
        </w:tc>
      </w:tr>
      <w:tr>
        <w:trPr>
          <w:trHeight w:val="49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500" w:type="dxa"/>
            <w:vAlign w:val="bottom"/>
          </w:tcPr>
          <w:p>
            <w:pPr>
              <w:ind w:left="200"/>
              <w:spacing w:after="0"/>
              <w:rPr>
                <w:sz w:val="20"/>
                <w:szCs w:val="20"/>
                <w:color w:val="auto"/>
              </w:rPr>
            </w:pPr>
            <w:r>
              <w:rPr>
                <w:rFonts w:ascii="Times New Roman" w:cs="Times New Roman" w:eastAsia="Times New Roman" w:hAnsi="Times New Roman"/>
                <w:sz w:val="21"/>
                <w:szCs w:val="21"/>
                <w:b w:val="1"/>
                <w:bCs w:val="1"/>
                <w:color w:val="auto"/>
              </w:rPr>
              <w:t>RESTRICTED SUBSIDIARIES</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97"/>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Affiliated Entity</w:t>
            </w:r>
          </w:p>
        </w:tc>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MasTec Ownership</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Jurisdiction</w:t>
            </w:r>
          </w:p>
        </w:tc>
        <w:tc>
          <w:tcPr>
            <w:tcW w:w="16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Tax ID</w:t>
            </w:r>
          </w:p>
        </w:tc>
      </w:tr>
      <w:tr>
        <w:trPr>
          <w:trHeight w:val="129"/>
        </w:trPr>
        <w:tc>
          <w:tcPr>
            <w:tcW w:w="4080" w:type="dxa"/>
            <w:vAlign w:val="bottom"/>
            <w:tcBorders>
              <w:bottom w:val="single" w:sz="8" w:color="auto"/>
            </w:tcBorders>
            <w:gridSpan w:val="3"/>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26"/>
        </w:trPr>
        <w:tc>
          <w:tcPr>
            <w:tcW w:w="408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Domestic Entities</w:t>
            </w:r>
          </w:p>
        </w:tc>
        <w:tc>
          <w:tcPr>
            <w:tcW w:w="4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6"/>
        </w:trPr>
        <w:tc>
          <w:tcPr>
            <w:tcW w:w="60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90"/>
        </w:trPr>
        <w:tc>
          <w:tcPr>
            <w:tcW w:w="60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1.</w:t>
            </w:r>
          </w:p>
        </w:tc>
        <w:tc>
          <w:tcPr>
            <w:tcW w:w="40" w:type="dxa"/>
            <w:vAlign w:val="bottom"/>
          </w:tcPr>
          <w:p>
            <w:pPr>
              <w:spacing w:after="0"/>
              <w:rPr>
                <w:sz w:val="24"/>
                <w:szCs w:val="24"/>
                <w:color w:val="auto"/>
              </w:rPr>
            </w:pPr>
          </w:p>
        </w:tc>
        <w:tc>
          <w:tcPr>
            <w:tcW w:w="3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MasTec Renewables Construction Company,</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27-2971344</w:t>
            </w:r>
          </w:p>
        </w:tc>
        <w:tc>
          <w:tcPr>
            <w:tcW w:w="140" w:type="dxa"/>
            <w:vAlign w:val="bottom"/>
          </w:tcPr>
          <w:p>
            <w:pPr>
              <w:spacing w:after="0"/>
              <w:rPr>
                <w:sz w:val="24"/>
                <w:szCs w:val="24"/>
                <w:color w:val="auto"/>
              </w:rPr>
            </w:pPr>
          </w:p>
        </w:tc>
      </w:tr>
      <w:tr>
        <w:trPr>
          <w:trHeight w:val="194"/>
        </w:trPr>
        <w:tc>
          <w:tcPr>
            <w:tcW w:w="600" w:type="dxa"/>
            <w:vAlign w:val="bottom"/>
            <w:tcBorders>
              <w:left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Inc.</w:t>
            </w:r>
          </w:p>
        </w:tc>
        <w:tc>
          <w:tcPr>
            <w:tcW w:w="450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70"/>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2.</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MasTec North America,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65-0829357</w:t>
            </w:r>
          </w:p>
        </w:tc>
        <w:tc>
          <w:tcPr>
            <w:tcW w:w="140" w:type="dxa"/>
            <w:vAlign w:val="bottom"/>
          </w:tcPr>
          <w:p>
            <w:pPr>
              <w:spacing w:after="0"/>
              <w:rPr>
                <w:sz w:val="23"/>
                <w:szCs w:val="23"/>
                <w:color w:val="auto"/>
              </w:rPr>
            </w:pP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3.</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CCM Investment Holding Co.</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46-4037665</w:t>
            </w:r>
          </w:p>
        </w:tc>
        <w:tc>
          <w:tcPr>
            <w:tcW w:w="140" w:type="dxa"/>
            <w:vAlign w:val="bottom"/>
          </w:tcPr>
          <w:p>
            <w:pPr>
              <w:spacing w:after="0"/>
              <w:rPr>
                <w:sz w:val="24"/>
                <w:szCs w:val="24"/>
                <w:color w:val="auto"/>
              </w:rPr>
            </w:pP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4.</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Douglas Fiber Enterprises,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46-3147663</w:t>
            </w:r>
          </w:p>
        </w:tc>
        <w:tc>
          <w:tcPr>
            <w:tcW w:w="140" w:type="dxa"/>
            <w:vAlign w:val="bottom"/>
          </w:tcPr>
          <w:p>
            <w:pPr>
              <w:spacing w:after="0"/>
              <w:rPr>
                <w:sz w:val="24"/>
                <w:szCs w:val="24"/>
                <w:color w:val="auto"/>
              </w:rPr>
            </w:pP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5.</w:t>
            </w:r>
          </w:p>
        </w:tc>
        <w:tc>
          <w:tcPr>
            <w:tcW w:w="40" w:type="dxa"/>
            <w:vAlign w:val="bottom"/>
            <w:tcBorders>
              <w:bottom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Energy Erectors,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39-1363163</w:t>
            </w:r>
          </w:p>
        </w:tc>
        <w:tc>
          <w:tcPr>
            <w:tcW w:w="140" w:type="dxa"/>
            <w:vAlign w:val="bottom"/>
          </w:tcPr>
          <w:p>
            <w:pPr>
              <w:spacing w:after="0"/>
              <w:rPr>
                <w:sz w:val="24"/>
                <w:szCs w:val="24"/>
                <w:color w:val="auto"/>
              </w:rPr>
            </w:pP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6.</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MasTec ETS Service Company,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46-3702652</w:t>
            </w:r>
          </w:p>
        </w:tc>
        <w:tc>
          <w:tcPr>
            <w:tcW w:w="140" w:type="dxa"/>
            <w:vAlign w:val="bottom"/>
          </w:tcPr>
          <w:p>
            <w:pPr>
              <w:spacing w:after="0"/>
              <w:rPr>
                <w:sz w:val="24"/>
                <w:szCs w:val="24"/>
                <w:color w:val="auto"/>
              </w:rPr>
            </w:pP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7.</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MasTec EV Solutions,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67% owned by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27-2585223</w:t>
            </w:r>
          </w:p>
        </w:tc>
        <w:tc>
          <w:tcPr>
            <w:tcW w:w="140" w:type="dxa"/>
            <w:vAlign w:val="bottom"/>
          </w:tcPr>
          <w:p>
            <w:pPr>
              <w:spacing w:after="0"/>
              <w:rPr>
                <w:sz w:val="24"/>
                <w:szCs w:val="24"/>
                <w:color w:val="auto"/>
              </w:rPr>
            </w:pP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8.</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Masco Energy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47-4004312</w:t>
            </w:r>
          </w:p>
        </w:tc>
        <w:tc>
          <w:tcPr>
            <w:tcW w:w="140" w:type="dxa"/>
            <w:vAlign w:val="bottom"/>
          </w:tcPr>
          <w:p>
            <w:pPr>
              <w:spacing w:after="0"/>
              <w:rPr>
                <w:sz w:val="24"/>
                <w:szCs w:val="24"/>
                <w:color w:val="auto"/>
              </w:rPr>
            </w:pPr>
          </w:p>
        </w:tc>
      </w:tr>
      <w:tr>
        <w:trPr>
          <w:trHeight w:val="277"/>
        </w:trPr>
        <w:tc>
          <w:tcPr>
            <w:tcW w:w="6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rPr>
              <w:t>9.</w:t>
            </w:r>
          </w:p>
        </w:tc>
        <w:tc>
          <w:tcPr>
            <w:tcW w:w="34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MasTec Foreign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100% owned by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27-0822919</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Mexico Foreign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Cooperatief</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27-2990566</w:t>
            </w:r>
          </w:p>
        </w:tc>
        <w:tc>
          <w:tcPr>
            <w:tcW w:w="140" w:type="dxa"/>
            <w:vAlign w:val="bottom"/>
          </w:tcPr>
          <w:p>
            <w:pPr>
              <w:spacing w:after="0"/>
              <w:rPr>
                <w:sz w:val="24"/>
                <w:szCs w:val="24"/>
                <w:color w:val="auto"/>
              </w:rPr>
            </w:pPr>
          </w:p>
        </w:tc>
      </w:tr>
      <w:tr>
        <w:trPr>
          <w:trHeight w:val="277"/>
        </w:trPr>
        <w:tc>
          <w:tcPr>
            <w:tcW w:w="4080" w:type="dxa"/>
            <w:vAlign w:val="bottom"/>
            <w:tcBorders>
              <w:left w:val="single" w:sz="8" w:color="auto"/>
              <w:bottom w:val="single" w:sz="8" w:color="auto"/>
              <w:right w:val="single" w:sz="8" w:color="auto"/>
            </w:tcBorders>
            <w:gridSpan w:val="3"/>
          </w:tcPr>
          <w:p>
            <w:pPr>
              <w:ind w:left="360"/>
              <w:spacing w:after="0"/>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17"/>
                <w:szCs w:val="17"/>
                <w:color w:val="auto"/>
              </w:rPr>
              <w:t>MasTec Latin America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27-2669097</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Mexico Holding Company,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100% owned by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27-2990566</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Network Solutions,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Network Solutions, LLC.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45-3250780</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Network Solutions,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27-0637848</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Residential Services,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27-0637848</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MTZ Alexander,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46-3355020</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Nsoro Procurement Company,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Network Solutions, LLC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80-0792309</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Wireless Services,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Network Solutions,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14-1943970</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19.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MP Drilling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Precision Pipeline LLC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32-0490051</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Pipeline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47-4005417</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Pretec Directional Drilling,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80 % owned by MP Drilling Holdings, LLC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81-2154750</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Power Partners MasTec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North Carolina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26-1623356</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Power Partners MasTec,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27-3506112</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Bottom Line Services,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94% owned by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65-0829355</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PPMASI,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51% owned by Power Partners MasTec, LLC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27-1646891</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PPMASI Klamath I,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PPMASI, LLC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27-1938819</w:t>
            </w:r>
          </w:p>
        </w:tc>
        <w:tc>
          <w:tcPr>
            <w:tcW w:w="140" w:type="dxa"/>
            <w:vAlign w:val="bottom"/>
          </w:tcPr>
          <w:p>
            <w:pPr>
              <w:spacing w:after="0"/>
              <w:rPr>
                <w:sz w:val="24"/>
                <w:szCs w:val="24"/>
                <w:color w:val="auto"/>
              </w:rPr>
            </w:pPr>
          </w:p>
        </w:tc>
      </w:tr>
      <w:tr>
        <w:trPr>
          <w:trHeight w:val="277"/>
        </w:trPr>
        <w:tc>
          <w:tcPr>
            <w:tcW w:w="640" w:type="dxa"/>
            <w:vAlign w:val="bottom"/>
            <w:tcBorders>
              <w:left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w w:val="98"/>
              </w:rPr>
              <w:t>27.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Go Green Services,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65-0829355</w:t>
            </w:r>
          </w:p>
        </w:tc>
        <w:tc>
          <w:tcPr>
            <w:tcW w:w="140" w:type="dxa"/>
            <w:vAlign w:val="bottom"/>
          </w:tcPr>
          <w:p>
            <w:pPr>
              <w:spacing w:after="0"/>
              <w:rPr>
                <w:sz w:val="24"/>
                <w:szCs w:val="24"/>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600" w:right="239" w:bottom="1440" w:gutter="0" w:footer="0" w:header="0"/>
        </w:sectPr>
      </w:pPr>
    </w:p>
    <w:bookmarkStart w:id="268" w:name="page269"/>
    <w:bookmarkEnd w:id="268"/>
    <w:tbl>
      <w:tblPr>
        <w:tblLayout w:type="fixed"/>
        <w:tblInd w:w="10" w:type="dxa"/>
        <w:tblCellMar>
          <w:top w:w="0" w:type="dxa"/>
          <w:left w:w="0" w:type="dxa"/>
          <w:bottom w:w="0" w:type="dxa"/>
          <w:right w:w="0" w:type="dxa"/>
        </w:tblCellMar>
      </w:tblPr>
      <w:tr>
        <w:trPr>
          <w:trHeight w:val="290"/>
        </w:trPr>
        <w:tc>
          <w:tcPr>
            <w:tcW w:w="640" w:type="dxa"/>
            <w:vAlign w:val="bottom"/>
            <w:tcBorders>
              <w:top w:val="single" w:sz="8" w:color="auto"/>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344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Pumpco, Inc.</w:t>
            </w:r>
          </w:p>
        </w:tc>
        <w:tc>
          <w:tcPr>
            <w:tcW w:w="45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74-2196341</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Wanzek Construction,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North Dakota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45-0311915</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Acquisition,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Wisconsin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27-1186147</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Pipeline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Precision Acquisition,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Wisconsin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20-0667117</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Transport Company,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Precision Acquisition,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Wisconsin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20-3843698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Three Phase Acquisition Corp.</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New Hampshire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26-1623833</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Three Phase Line Construction,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Three Phase Acquisition Corp.</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New Hampshire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02-0486688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EC Source Services,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27-3046138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EC Source Transportation,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EC Source Services,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27-3046138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AT Power,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EC Source Services,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66-0756042</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T&amp;D Power,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EC Source Services,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26-4474622</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Energy Environmental Group,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EC Source Services,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26-4399738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Halsted Communications, Ltd.</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New York</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14-1726726</w:t>
            </w:r>
          </w:p>
        </w:tc>
        <w:tc>
          <w:tcPr>
            <w:tcW w:w="0" w:type="dxa"/>
            <w:vAlign w:val="bottom"/>
          </w:tcPr>
          <w:p>
            <w:pPr>
              <w:spacing w:after="0"/>
              <w:rPr>
                <w:sz w:val="1"/>
                <w:szCs w:val="1"/>
                <w:color w:val="auto"/>
              </w:rPr>
            </w:pPr>
          </w:p>
        </w:tc>
      </w:tr>
      <w:tr>
        <w:trPr>
          <w:trHeight w:val="229"/>
        </w:trPr>
        <w:tc>
          <w:tcPr>
            <w:tcW w:w="640" w:type="dxa"/>
            <w:vAlign w:val="bottom"/>
            <w:tcBorders>
              <w:left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color w:val="auto"/>
              </w:rPr>
              <w:t>41.</w:t>
            </w:r>
          </w:p>
        </w:tc>
        <w:tc>
          <w:tcPr>
            <w:tcW w:w="34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MasTec Puerto Rico Engineering Services</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GP-  MasTec  Foreign  Holdings,  LLC;  LP-  MasTec  Latin</w:t>
            </w: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27-4095246</w:t>
            </w:r>
          </w:p>
        </w:tc>
        <w:tc>
          <w:tcPr>
            <w:tcW w:w="0" w:type="dxa"/>
            <w:vAlign w:val="bottom"/>
          </w:tcPr>
          <w:p>
            <w:pPr>
              <w:spacing w:after="0"/>
              <w:rPr>
                <w:sz w:val="1"/>
                <w:szCs w:val="1"/>
                <w:color w:val="auto"/>
              </w:rPr>
            </w:pPr>
          </w:p>
        </w:tc>
      </w:tr>
      <w:tr>
        <w:trPr>
          <w:trHeight w:val="120"/>
        </w:trPr>
        <w:tc>
          <w:tcPr>
            <w:tcW w:w="640" w:type="dxa"/>
            <w:vAlign w:val="bottom"/>
            <w:tcBorders>
              <w:left w:val="single" w:sz="8" w:color="auto"/>
            </w:tcBorders>
          </w:tcPr>
          <w:p>
            <w:pPr>
              <w:spacing w:after="0"/>
              <w:rPr>
                <w:sz w:val="10"/>
                <w:szCs w:val="10"/>
                <w:color w:val="auto"/>
              </w:rPr>
            </w:pPr>
          </w:p>
        </w:tc>
        <w:tc>
          <w:tcPr>
            <w:tcW w:w="34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Holding, LLP</w:t>
            </w:r>
          </w:p>
        </w:tc>
        <w:tc>
          <w:tcPr>
            <w:tcW w:w="45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America Holdings, LLC</w:t>
            </w:r>
          </w:p>
        </w:tc>
        <w:tc>
          <w:tcPr>
            <w:tcW w:w="13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40" w:type="dxa"/>
            <w:vAlign w:val="bottom"/>
            <w:tcBorders>
              <w:left w:val="single" w:sz="8" w:color="auto"/>
            </w:tcBorders>
          </w:tcPr>
          <w:p>
            <w:pPr>
              <w:spacing w:after="0"/>
              <w:rPr>
                <w:sz w:val="10"/>
                <w:szCs w:val="10"/>
                <w:color w:val="auto"/>
              </w:rPr>
            </w:pPr>
          </w:p>
        </w:tc>
        <w:tc>
          <w:tcPr>
            <w:tcW w:w="3440" w:type="dxa"/>
            <w:vAlign w:val="bottom"/>
            <w:tcBorders>
              <w:right w:val="single" w:sz="8" w:color="auto"/>
            </w:tcBorders>
            <w:vMerge w:val="continue"/>
          </w:tcPr>
          <w:p>
            <w:pPr>
              <w:spacing w:after="0"/>
              <w:rPr>
                <w:sz w:val="10"/>
                <w:szCs w:val="10"/>
                <w:color w:val="auto"/>
              </w:rPr>
            </w:pPr>
          </w:p>
        </w:tc>
        <w:tc>
          <w:tcPr>
            <w:tcW w:w="45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4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Big Country Energy Services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Colorado</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27-3989838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FFH,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47-2208772</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Power Corp.</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47-4824701</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TPP,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Pipeline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32-0466766</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Comanche,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MasTec Pipeline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37-1794427</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Pacer Construction Corporation</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47-5488553</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West,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75% owned by Precision Pipeline,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30-1007011</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Engineering Solutions,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Precision West,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83-0815492</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Dewatering,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Precision West,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83-1792443</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Fabrication Services,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Precision West,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 (not active)</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Precision Infrastructure,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Precision Pipeline,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83-1800357</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Equipment,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82-3138620</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MasCo Trading Services,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80% owned by MasCo Energy,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46-4969463</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SEFNCO Communications,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91-1975632</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NAL Communications,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SEFNCO Communications,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27-1882962</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Cash Construction Company,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74-2774271</w:t>
            </w:r>
          </w:p>
        </w:tc>
        <w:tc>
          <w:tcPr>
            <w:tcW w:w="0" w:type="dxa"/>
            <w:vAlign w:val="bottom"/>
          </w:tcPr>
          <w:p>
            <w:pPr>
              <w:spacing w:after="0"/>
              <w:rPr>
                <w:sz w:val="1"/>
                <w:szCs w:val="1"/>
                <w:color w:val="auto"/>
              </w:rPr>
            </w:pPr>
          </w:p>
        </w:tc>
      </w:tr>
      <w:tr>
        <w:trPr>
          <w:trHeight w:val="297"/>
        </w:trPr>
        <w:tc>
          <w:tcPr>
            <w:tcW w:w="6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58.</w:t>
            </w:r>
          </w:p>
        </w:tc>
        <w:tc>
          <w:tcPr>
            <w:tcW w:w="34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Running R Pipeline Equipment Specialist,</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Sole Member – Pumpco, Inc.</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40" w:type="dxa"/>
            <w:vAlign w:val="bottom"/>
            <w:tcBorders>
              <w:left w:val="single" w:sz="8" w:color="auto"/>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LLC</w:t>
            </w:r>
          </w:p>
        </w:tc>
        <w:tc>
          <w:tcPr>
            <w:tcW w:w="45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Lemartec Corporation</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59-1917239</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Lemartec USVI,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Lemartec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US Virgin Islands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66-0892122</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Engineering Corp.</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Network Solutions,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Michigan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Applied For</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Kingsley Constructors,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76-0017747</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280"/>
          </w:cols>
          <w:pgMar w:left="240" w:top="727" w:right="379" w:bottom="1440" w:gutter="0" w:footer="0" w:header="0"/>
        </w:sectPr>
      </w:pPr>
    </w:p>
    <w:bookmarkStart w:id="269" w:name="page270"/>
    <w:bookmarkEnd w:id="269"/>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154305</wp:posOffset>
            </wp:positionH>
            <wp:positionV relativeFrom="page">
              <wp:posOffset>474345</wp:posOffset>
            </wp:positionV>
            <wp:extent cx="7153910" cy="6899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6899910"/>
                    </a:xfrm>
                    <a:prstGeom prst="rect">
                      <a:avLst/>
                    </a:prstGeom>
                    <a:noFill/>
                  </pic:spPr>
                </pic:pic>
              </a:graphicData>
            </a:graphic>
          </wp:anchor>
        </w:drawing>
        <w:t>Foreign Entities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63.</w:t>
            </w:r>
          </w:p>
        </w:tc>
        <w:tc>
          <w:tcPr>
            <w:tcW w:w="34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Aidco de Mexico, S.A. de C.V.</w:t>
            </w:r>
          </w:p>
        </w:tc>
        <w:tc>
          <w:tcPr>
            <w:tcW w:w="4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98%  owned  by  MasTec,  Inc.,  2%  owned  by  MasTec</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168"/>
        </w:trPr>
        <w:tc>
          <w:tcPr>
            <w:tcW w:w="640" w:type="dxa"/>
            <w:vAlign w:val="bottom"/>
            <w:tcBorders>
              <w:bottom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ind w:left="20"/>
              <w:spacing w:after="0" w:line="168" w:lineRule="exact"/>
              <w:rPr>
                <w:sz w:val="20"/>
                <w:szCs w:val="20"/>
                <w:color w:val="auto"/>
              </w:rPr>
            </w:pPr>
            <w:r>
              <w:rPr>
                <w:rFonts w:ascii="Times New Roman" w:cs="Times New Roman" w:eastAsia="Times New Roman" w:hAnsi="Times New Roman"/>
                <w:sz w:val="17"/>
                <w:szCs w:val="17"/>
                <w:color w:val="auto"/>
              </w:rPr>
              <w:t>International Holdings, Inc.</w:t>
            </w:r>
          </w:p>
        </w:tc>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r>
      <w:tr>
        <w:trPr>
          <w:trHeight w:val="290"/>
        </w:trPr>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34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Acietel Mexicana, S.A.</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 owned by MasTec North America, Inc., 1% owned by</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168"/>
        </w:trPr>
        <w:tc>
          <w:tcPr>
            <w:tcW w:w="640" w:type="dxa"/>
            <w:vAlign w:val="bottom"/>
            <w:tcBorders>
              <w:bottom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ind w:left="20"/>
              <w:spacing w:after="0" w:line="168" w:lineRule="exact"/>
              <w:rPr>
                <w:sz w:val="20"/>
                <w:szCs w:val="20"/>
                <w:color w:val="auto"/>
              </w:rPr>
            </w:pPr>
            <w:r>
              <w:rPr>
                <w:rFonts w:ascii="Times New Roman" w:cs="Times New Roman" w:eastAsia="Times New Roman" w:hAnsi="Times New Roman"/>
                <w:sz w:val="17"/>
                <w:szCs w:val="17"/>
                <w:color w:val="auto"/>
              </w:rPr>
              <w:t>MasTec International Holdings, Inc.</w:t>
            </w:r>
          </w:p>
        </w:tc>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r>
      <w:tr>
        <w:trPr>
          <w:trHeight w:val="270"/>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Blue Rock Quarries, S.A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80%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Panama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Canada,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Pacer Construction Holdings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Canada Construction,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Pacer Construction Holdings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Canada Projects,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Pacer Construction Holdings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Transmission Services Canada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Canadian Holdco</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Canadian Holdco ULC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Cooperatief (UA)</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MasTelecom Europe I APS</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Denmark</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Pacer Promec Energy Corporation</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50% owned by Pacer Construction Holdings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97"/>
        </w:trPr>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w:t>
            </w:r>
          </w:p>
        </w:tc>
        <w:tc>
          <w:tcPr>
            <w:tcW w:w="3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Pacer  Promec  Energy  Construction</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Pacer Promec Energy Corporation</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194"/>
        </w:trPr>
        <w:tc>
          <w:tcPr>
            <w:tcW w:w="6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Corporation</w:t>
            </w:r>
          </w:p>
        </w:tc>
        <w:tc>
          <w:tcPr>
            <w:tcW w:w="45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r>
      <w:tr>
        <w:trPr>
          <w:trHeight w:val="270"/>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TFL Industrial Services Ltd.</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50% owned by Pacer Construction Holdings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TFL Structures Corporation</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TFL Industrial Services, Ltd.</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TFL Projects Corporation</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TFL Industrial Services, Ltd.</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TFL Landco,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50% owned by Pacer Construction Holdings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MasTelecom Europe II BV</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MasTelecom Europe I APS</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Netherlands</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Cooperatief</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99.99% owned by MasTec North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(UA)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(Mauritius) Limited</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Cooperatief</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Mauritius</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Nsoro MasTec (Mauritius) Limited</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60% owned by MasTec (Mauritius) Limited</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Mauritius</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82.</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Nsoro MasTec India Private, Ltd.</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Nsoro MasTec (Mauritius) Limited</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India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Lux Foreign Finance S.a r.l.</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FFH,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Luxembourg</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MasTelecom S. DE R.L. DE C.V.</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MasTelecom Europe II BV</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85.</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Renewables Construction, Ltd.</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Pantel Inversiones de Venezuela, CA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Venezuela,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Venezuela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87.</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Burntel Telecommunications, C.A.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50% owned by Pantel Inversiones</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Venezuela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Participacoes Do Brasil LTDA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Brazil</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Brasil S/A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88% owned by MasTec Latin America, Inc.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Brazil</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90.</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CIDE Engeharia, Ltda.</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Brasil S/A</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Brazil</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MTZ Enterprises, S. de R.L. de C.V.</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99.9% owned by MasTec Foreign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97"/>
        </w:trPr>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3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MTZ Wireless Telecommunications, S. de</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MTZ Enterprises</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194"/>
        </w:trPr>
        <w:tc>
          <w:tcPr>
            <w:tcW w:w="6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R.L. de C.V.</w:t>
            </w:r>
          </w:p>
        </w:tc>
        <w:tc>
          <w:tcPr>
            <w:tcW w:w="45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r>
      <w:tr>
        <w:trPr>
          <w:trHeight w:val="270"/>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MTZ Personnel Services, S. de R.L. de C.V.</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MTZ Enterprises</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r>
        <w:trPr>
          <w:trHeight w:val="277"/>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94.</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MTZ Energias S. de R.L. de C.V.</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99.97% owned by MTZ Enterprises</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280"/>
          </w:cols>
          <w:pgMar w:left="240" w:top="1060" w:right="379" w:bottom="1440" w:gutter="0" w:footer="0" w:header="0"/>
        </w:sectPr>
      </w:pPr>
    </w:p>
    <w:bookmarkStart w:id="270" w:name="page271"/>
    <w:bookmarkEnd w:id="270"/>
    <w:tbl>
      <w:tblPr>
        <w:tblLayout w:type="fixed"/>
        <w:tblInd w:w="10" w:type="dxa"/>
        <w:tblCellMar>
          <w:top w:w="0" w:type="dxa"/>
          <w:left w:w="0" w:type="dxa"/>
          <w:bottom w:w="0" w:type="dxa"/>
          <w:right w:w="0" w:type="dxa"/>
        </w:tblCellMar>
      </w:tblPr>
      <w:tr>
        <w:trPr>
          <w:trHeight w:val="290"/>
        </w:trPr>
        <w:tc>
          <w:tcPr>
            <w:tcW w:w="640" w:type="dxa"/>
            <w:vAlign w:val="bottom"/>
            <w:tcBorders>
              <w:top w:val="single" w:sz="8" w:color="auto"/>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w w:val="98"/>
              </w:rPr>
              <w:t>95.</w:t>
            </w:r>
          </w:p>
        </w:tc>
        <w:tc>
          <w:tcPr>
            <w:tcW w:w="344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MTCO Energias de Mexico, S. de R.L. de C.V.</w:t>
            </w:r>
          </w:p>
        </w:tc>
        <w:tc>
          <w:tcPr>
            <w:tcW w:w="45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80% owned by MTZ Enterprises</w:t>
            </w:r>
          </w:p>
        </w:tc>
        <w:tc>
          <w:tcPr>
            <w:tcW w:w="13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w w:val="98"/>
              </w:rPr>
              <w:t>96.</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MSTEC Enterprises Mexico</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99.97% owned by MasTec Foreign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97"/>
        </w:trPr>
        <w:tc>
          <w:tcPr>
            <w:tcW w:w="64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w w:val="98"/>
              </w:rPr>
              <w:t>97.</w:t>
            </w:r>
          </w:p>
        </w:tc>
        <w:tc>
          <w:tcPr>
            <w:tcW w:w="3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MasTec Infrastructuras de Mexico, S. de R.L.</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80% owned by MTZ Energias, S. de R.L. de C.V.</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94"/>
        </w:trPr>
        <w:tc>
          <w:tcPr>
            <w:tcW w:w="640" w:type="dxa"/>
            <w:vAlign w:val="bottom"/>
            <w:tcBorders>
              <w:left w:val="single" w:sz="8" w:color="auto"/>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de C.V.</w:t>
            </w:r>
          </w:p>
        </w:tc>
        <w:tc>
          <w:tcPr>
            <w:tcW w:w="45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w w:val="98"/>
              </w:rPr>
              <w:t>98.</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Renewables Puerto Rico,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Puerto Rico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66-0754928</w:t>
            </w:r>
          </w:p>
        </w:tc>
        <w:tc>
          <w:tcPr>
            <w:tcW w:w="0" w:type="dxa"/>
            <w:vAlign w:val="bottom"/>
          </w:tcPr>
          <w:p>
            <w:pPr>
              <w:spacing w:after="0"/>
              <w:rPr>
                <w:sz w:val="1"/>
                <w:szCs w:val="1"/>
                <w:color w:val="auto"/>
              </w:rPr>
            </w:pPr>
          </w:p>
        </w:tc>
      </w:tr>
      <w:tr>
        <w:trPr>
          <w:trHeight w:val="277"/>
        </w:trPr>
        <w:tc>
          <w:tcPr>
            <w:tcW w:w="64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1"/>
                <w:szCs w:val="21"/>
                <w:color w:val="auto"/>
                <w:w w:val="98"/>
              </w:rPr>
              <w:t>99.</w:t>
            </w:r>
          </w:p>
        </w:tc>
        <w:tc>
          <w:tcPr>
            <w:tcW w:w="34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MasTec Puerto Rico Holdings,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Foreign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100.</w:t>
            </w:r>
            <w:r>
              <w:rPr>
                <w:rFonts w:ascii="Times New Roman" w:cs="Times New Roman" w:eastAsia="Times New Roman" w:hAnsi="Times New Roman"/>
                <w:sz w:val="17"/>
                <w:szCs w:val="17"/>
                <w:color w:val="auto"/>
              </w:rPr>
              <w:t>MasCo PR,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60% owned by MasTec Puerto Rico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66-0754929</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101.</w:t>
            </w:r>
            <w:r>
              <w:rPr>
                <w:rFonts w:ascii="Times New Roman" w:cs="Times New Roman" w:eastAsia="Times New Roman" w:hAnsi="Times New Roman"/>
                <w:sz w:val="17"/>
                <w:szCs w:val="17"/>
                <w:color w:val="auto"/>
              </w:rPr>
              <w:t>MasTec Engineering, LLP</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98% owned by MasTec Puerto Rico Engineering Services</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102.</w:t>
            </w:r>
            <w:r>
              <w:rPr>
                <w:rFonts w:ascii="Times New Roman" w:cs="Times New Roman" w:eastAsia="Times New Roman" w:hAnsi="Times New Roman"/>
                <w:sz w:val="17"/>
                <w:szCs w:val="17"/>
                <w:color w:val="auto"/>
              </w:rPr>
              <w:t>MasTec Precision,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Puerto Rico Holdings,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66-0756097</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103.</w:t>
            </w:r>
            <w:r>
              <w:rPr>
                <w:rFonts w:ascii="Times New Roman" w:cs="Times New Roman" w:eastAsia="Times New Roman" w:hAnsi="Times New Roman"/>
                <w:sz w:val="17"/>
                <w:szCs w:val="17"/>
                <w:color w:val="auto"/>
              </w:rPr>
              <w:t>BLDM – Precision, LLC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60% owned by MasTec Precision, LLC</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66-0756042</w:t>
            </w:r>
          </w:p>
        </w:tc>
        <w:tc>
          <w:tcPr>
            <w:tcW w:w="0" w:type="dxa"/>
            <w:vAlign w:val="bottom"/>
          </w:tcPr>
          <w:p>
            <w:pPr>
              <w:spacing w:after="0"/>
              <w:rPr>
                <w:sz w:val="1"/>
                <w:szCs w:val="1"/>
                <w:color w:val="auto"/>
              </w:rPr>
            </w:pPr>
          </w:p>
        </w:tc>
      </w:tr>
      <w:tr>
        <w:trPr>
          <w:trHeight w:val="297"/>
        </w:trPr>
        <w:tc>
          <w:tcPr>
            <w:tcW w:w="4080" w:type="dxa"/>
            <w:vAlign w:val="bottom"/>
            <w:tcBorders>
              <w:left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104.</w:t>
            </w:r>
            <w:r>
              <w:rPr>
                <w:rFonts w:ascii="Times New Roman" w:cs="Times New Roman" w:eastAsia="Times New Roman" w:hAnsi="Times New Roman"/>
                <w:sz w:val="17"/>
                <w:szCs w:val="17"/>
                <w:color w:val="auto"/>
              </w:rPr>
              <w:t>MasTec Panama, S. de R.L.</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 owned by MasTec Foreign Holdings, LLC; 1% owned by</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Panama</w:t>
            </w:r>
          </w:p>
        </w:tc>
        <w:tc>
          <w:tcPr>
            <w:tcW w:w="1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ind w:left="20"/>
              <w:spacing w:after="0" w:line="168" w:lineRule="exact"/>
              <w:rPr>
                <w:sz w:val="20"/>
                <w:szCs w:val="20"/>
                <w:color w:val="auto"/>
              </w:rPr>
            </w:pPr>
            <w:r>
              <w:rPr>
                <w:rFonts w:ascii="Times New Roman" w:cs="Times New Roman" w:eastAsia="Times New Roman" w:hAnsi="Times New Roman"/>
                <w:sz w:val="17"/>
                <w:szCs w:val="17"/>
                <w:color w:val="auto"/>
              </w:rPr>
              <w:t>MasTec Latin America Holdings, LLC</w:t>
            </w:r>
          </w:p>
        </w:tc>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080" w:type="dxa"/>
            <w:vAlign w:val="bottom"/>
            <w:tcBorders>
              <w:left w:val="single" w:sz="8" w:color="auto"/>
              <w:right w:val="single" w:sz="8" w:color="auto"/>
            </w:tcBorders>
            <w:gridSpan w:val="2"/>
          </w:tcPr>
          <w:p>
            <w:pPr>
              <w:ind w:left="360"/>
              <w:spacing w:after="0" w:line="222" w:lineRule="exact"/>
              <w:rPr>
                <w:sz w:val="20"/>
                <w:szCs w:val="20"/>
                <w:color w:val="auto"/>
              </w:rPr>
            </w:pPr>
            <w:r>
              <w:rPr>
                <w:rFonts w:ascii="Times New Roman" w:cs="Times New Roman" w:eastAsia="Times New Roman" w:hAnsi="Times New Roman"/>
                <w:sz w:val="21"/>
                <w:szCs w:val="21"/>
                <w:color w:val="auto"/>
              </w:rPr>
              <w:t>105.</w:t>
            </w:r>
            <w:r>
              <w:rPr>
                <w:rFonts w:ascii="Times New Roman" w:cs="Times New Roman" w:eastAsia="Times New Roman" w:hAnsi="Times New Roman"/>
                <w:sz w:val="17"/>
                <w:szCs w:val="17"/>
                <w:color w:val="auto"/>
              </w:rPr>
              <w:t>MasTec Servicios Publicos Soterrados, S. de</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99% owned by MasTec Foreign Holdings, LLC; 1% owned by</w:t>
            </w: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Panama</w:t>
            </w: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20"/>
        </w:trPr>
        <w:tc>
          <w:tcPr>
            <w:tcW w:w="640" w:type="dxa"/>
            <w:vAlign w:val="bottom"/>
            <w:tcBorders>
              <w:left w:val="single" w:sz="8" w:color="auto"/>
            </w:tcBorders>
          </w:tcPr>
          <w:p>
            <w:pPr>
              <w:spacing w:after="0"/>
              <w:rPr>
                <w:sz w:val="10"/>
                <w:szCs w:val="10"/>
                <w:color w:val="auto"/>
              </w:rPr>
            </w:pPr>
          </w:p>
        </w:tc>
        <w:tc>
          <w:tcPr>
            <w:tcW w:w="34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R.L.</w:t>
            </w:r>
          </w:p>
        </w:tc>
        <w:tc>
          <w:tcPr>
            <w:tcW w:w="45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MasTec Latin America Holdings, LLC</w:t>
            </w:r>
          </w:p>
        </w:tc>
        <w:tc>
          <w:tcPr>
            <w:tcW w:w="13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40" w:type="dxa"/>
            <w:vAlign w:val="bottom"/>
            <w:tcBorders>
              <w:left w:val="single" w:sz="8" w:color="auto"/>
            </w:tcBorders>
          </w:tcPr>
          <w:p>
            <w:pPr>
              <w:spacing w:after="0"/>
              <w:rPr>
                <w:sz w:val="10"/>
                <w:szCs w:val="10"/>
                <w:color w:val="auto"/>
              </w:rPr>
            </w:pPr>
          </w:p>
        </w:tc>
        <w:tc>
          <w:tcPr>
            <w:tcW w:w="3440" w:type="dxa"/>
            <w:vAlign w:val="bottom"/>
            <w:tcBorders>
              <w:right w:val="single" w:sz="8" w:color="auto"/>
            </w:tcBorders>
            <w:vMerge w:val="continue"/>
          </w:tcPr>
          <w:p>
            <w:pPr>
              <w:spacing w:after="0"/>
              <w:rPr>
                <w:sz w:val="10"/>
                <w:szCs w:val="10"/>
                <w:color w:val="auto"/>
              </w:rPr>
            </w:pPr>
          </w:p>
        </w:tc>
        <w:tc>
          <w:tcPr>
            <w:tcW w:w="45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4080" w:type="dxa"/>
            <w:vAlign w:val="bottom"/>
            <w:tcBorders>
              <w:left w:val="single" w:sz="8" w:color="auto"/>
              <w:bottom w:val="single" w:sz="8" w:color="auto"/>
              <w:right w:val="single" w:sz="8" w:color="auto"/>
            </w:tcBorders>
            <w:gridSpan w:val="2"/>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106.</w:t>
            </w:r>
            <w:r>
              <w:rPr>
                <w:rFonts w:ascii="Times New Roman" w:cs="Times New Roman" w:eastAsia="Times New Roman" w:hAnsi="Times New Roman"/>
                <w:sz w:val="17"/>
                <w:szCs w:val="17"/>
                <w:color w:val="auto"/>
              </w:rPr>
              <w:t>Pacer Construction Holdings Corporation</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Canadian Holdco</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107.</w:t>
            </w:r>
            <w:r>
              <w:rPr>
                <w:rFonts w:ascii="Times New Roman" w:cs="Times New Roman" w:eastAsia="Times New Roman" w:hAnsi="Times New Roman"/>
                <w:sz w:val="17"/>
                <w:szCs w:val="17"/>
                <w:color w:val="auto"/>
              </w:rPr>
              <w:t>MasTec Network Services Colombia S.A.S.</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Cooperatief (UA)</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Colombia</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77"/>
        </w:trPr>
        <w:tc>
          <w:tcPr>
            <w:tcW w:w="40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1"/>
                <w:szCs w:val="21"/>
                <w:color w:val="auto"/>
              </w:rPr>
              <w:t>108.</w:t>
            </w:r>
            <w:r>
              <w:rPr>
                <w:rFonts w:ascii="Times New Roman" w:cs="Times New Roman" w:eastAsia="Times New Roman" w:hAnsi="Times New Roman"/>
                <w:sz w:val="17"/>
                <w:szCs w:val="17"/>
                <w:color w:val="auto"/>
              </w:rPr>
              <w:t>MasTec Network Solutions Puerto Rico, Inc.</w:t>
            </w:r>
          </w:p>
        </w:tc>
        <w:tc>
          <w:tcPr>
            <w:tcW w:w="4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 owned by MasTec Cooperatief (UA)</w:t>
            </w: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280"/>
          </w:cols>
          <w:pgMar w:left="240" w:top="727" w:right="379" w:bottom="1440" w:gutter="0" w:footer="0" w:header="0"/>
        </w:sectPr>
      </w:pPr>
    </w:p>
    <w:bookmarkStart w:id="271" w:name="page272"/>
    <w:bookmarkEnd w:id="271"/>
    <w:p>
      <w:pPr>
        <w:jc w:val="right"/>
        <w:ind w:right="40"/>
        <w:spacing w:after="0"/>
        <w:rPr>
          <w:sz w:val="20"/>
          <w:szCs w:val="20"/>
          <w:color w:val="auto"/>
        </w:rPr>
      </w:pPr>
      <w:r>
        <w:rPr>
          <w:rFonts w:ascii="Times New Roman" w:cs="Times New Roman" w:eastAsia="Times New Roman" w:hAnsi="Times New Roman"/>
          <w:sz w:val="21"/>
          <w:szCs w:val="21"/>
          <w:b w:val="1"/>
          <w:bCs w:val="1"/>
          <w:i w:val="1"/>
          <w:iCs w:val="1"/>
          <w:color w:val="auto"/>
        </w:rPr>
        <w:t>SCHEDULE 5.13</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Part (d)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UNRESTRICTED SUBSIDIARIES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599" w:right="2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SCHEDULE 5.21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LABOR MATTERS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 &amp; D LABOR UNION CONTRACTS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Arizona -APS Project</w:t>
      </w:r>
    </w:p>
    <w:p>
      <w:pPr>
        <w:spacing w:after="0" w:line="3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T&amp;D employees, other than non-union management-level employees, are represented by I.B.E.W. Local Union 769 pursuant to the following agreements:</w:t>
      </w:r>
    </w:p>
    <w:p>
      <w:pPr>
        <w:spacing w:after="0" w:line="193" w:lineRule="exact"/>
        <w:rPr>
          <w:sz w:val="20"/>
          <w:szCs w:val="20"/>
          <w:color w:val="auto"/>
        </w:rPr>
      </w:pPr>
    </w:p>
    <w:p>
      <w:pPr>
        <w:ind w:left="620" w:hanging="307"/>
        <w:spacing w:after="0" w:line="270" w:lineRule="auto"/>
        <w:tabs>
          <w:tab w:leader="none" w:pos="62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Southwestern Line Constructors, Chapter N.E.C.A. and I.B.E.W. Local Union 769 approved on September 17, 2009.</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I.B.E.W., Local Union 769 Working Assessments/Benefits/Contractor Assessments, Contractor Presentation/Information, updated September 8, 2009.</w:t>
      </w:r>
    </w:p>
    <w:p>
      <w:pPr>
        <w:spacing w:after="0" w:line="15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Project Labor Agreement for APS Transmission SOOKV PS-9, dated June 19, 2009.</w:t>
      </w:r>
    </w:p>
    <w:p>
      <w:pPr>
        <w:spacing w:after="0" w:line="210"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Outside Agreement between Southwestern Line Constructors, N.E.C.A., and LB.E.W. Local Union 769.</w:t>
      </w:r>
    </w:p>
    <w:p>
      <w:pPr>
        <w:spacing w:after="0" w:line="210"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Outside Agreement Language/N.E.C.A., dated January 11, 2010.</w:t>
      </w:r>
    </w:p>
    <w:p>
      <w:pPr>
        <w:spacing w:after="0" w:line="210"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Contribution Rates for the Construction Bargaining Agreement received by facsimile on April 29, 2009.</w:t>
      </w:r>
    </w:p>
    <w:p>
      <w:pPr>
        <w:spacing w:after="0" w:line="211" w:lineRule="exact"/>
        <w:rPr>
          <w:sz w:val="20"/>
          <w:szCs w:val="20"/>
          <w:color w:val="auto"/>
        </w:rPr>
      </w:pPr>
    </w:p>
    <w:p>
      <w:pPr>
        <w:ind w:left="700" w:hanging="395"/>
        <w:spacing w:after="0" w:line="270" w:lineRule="auto"/>
        <w:rPr>
          <w:sz w:val="20"/>
          <w:szCs w:val="20"/>
          <w:color w:val="auto"/>
        </w:rPr>
      </w:pPr>
      <w:r>
        <w:rPr>
          <w:rFonts w:ascii="Times New Roman" w:cs="Times New Roman" w:eastAsia="Times New Roman" w:hAnsi="Times New Roman"/>
          <w:sz w:val="21"/>
          <w:szCs w:val="21"/>
          <w:color w:val="auto"/>
        </w:rPr>
        <w:t>7.Amendment Restating the I.B.E.W. Local 769 and Southwestern Line Constructors (N.E.C.A) Health and Welfare Fund Trust Agreement, dated September 4, 2003.</w:t>
      </w:r>
    </w:p>
    <w:p>
      <w:pPr>
        <w:spacing w:after="0" w:line="154" w:lineRule="exact"/>
        <w:rPr>
          <w:sz w:val="20"/>
          <w:szCs w:val="20"/>
          <w:color w:val="auto"/>
        </w:rPr>
      </w:pPr>
    </w:p>
    <w:p>
      <w:pPr>
        <w:ind w:left="620" w:hanging="307"/>
        <w:spacing w:after="0" w:line="270" w:lineRule="auto"/>
        <w:tabs>
          <w:tab w:leader="none" w:pos="620"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Amendment to the LB.E.W. Local 769 and Southwestern Line Constructors (N.E.C.A.) Health and Welfare Fund Trust Agreement, dated December 2, 2004.</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Amendment Amending and Restating The International Brotherhood of Electrical Workers, LB.E.W. Local 769 - Management Pension Plan (As Amended and Restated Effective July 1, 2001).</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Third Amendment to The International Brotherhood of Electrical Workers, LB.E.W. Local 769 -Management Pension Plan, dated June 15, 2003.</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Amendment to The International Brotherhood of Electrical Workers, LB.E.W. Local 769 -Management Pension Plan, dated August 13, 2003.</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Fifth Amendment to The International Brotherhood of Electrical Workers, I.B .E.W. Local 769 -Management Pension Plan, dated May 24, 2004.</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599" w:right="239" w:bottom="1440" w:gutter="0" w:footer="0" w:header="0"/>
        </w:sectPr>
      </w:pPr>
    </w:p>
    <w:bookmarkStart w:id="273" w:name="page274"/>
    <w:bookmarkEnd w:id="273"/>
    <w:p>
      <w:pPr>
        <w:ind w:left="620" w:hanging="307"/>
        <w:spacing w:after="0" w:line="270" w:lineRule="auto"/>
        <w:tabs>
          <w:tab w:leader="none" w:pos="62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Sixth Amendment to The International Brotherhood of Electrical Workers, I.B.E.W. Local 769 -Management Pension Plan, dated September 24, 2004.</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Seventh Amendment to The International Brotherhood of Electrical Workers, I.B.E.W. Local 769 -Management Pension Plan, dated March 28, 2005.</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Eighth Amendment to the International Brotherhood of Electrical Workers, I.B.E.W. Local 769 -Management Pension Plan, dated June 30, 2008.</w:t>
      </w:r>
    </w:p>
    <w:p>
      <w:pPr>
        <w:spacing w:after="0" w:line="15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Restated Agreement and Declaration of Trust Establishing the Line Construction Benefit Fund, dated March 14, 1995.</w:t>
      </w:r>
    </w:p>
    <w:p>
      <w:pPr>
        <w:spacing w:after="0" w:line="210"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Amendment No. 1 to the Restated Agreement and Declaration of Trust Establishing the Line Construction Benefit Fund, dated September 12, 1997 (effective July 1, 1997).</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Amendment No.2 to the Restated Agreement and Declaration of Trust Establishing the Line Construction Benefit Fund, dated June 23, 2000.</w:t>
      </w:r>
    </w:p>
    <w:p>
      <w:pPr>
        <w:spacing w:after="0" w:line="154" w:lineRule="exact"/>
        <w:rPr>
          <w:sz w:val="20"/>
          <w:szCs w:val="20"/>
          <w:color w:val="auto"/>
        </w:rPr>
      </w:pPr>
    </w:p>
    <w:p>
      <w:pPr>
        <w:ind w:left="820" w:hanging="498"/>
        <w:spacing w:after="0" w:line="270" w:lineRule="auto"/>
        <w:rPr>
          <w:sz w:val="20"/>
          <w:szCs w:val="20"/>
          <w:color w:val="auto"/>
        </w:rPr>
      </w:pPr>
      <w:r>
        <w:rPr>
          <w:rFonts w:ascii="Times New Roman" w:cs="Times New Roman" w:eastAsia="Times New Roman" w:hAnsi="Times New Roman"/>
          <w:sz w:val="21"/>
          <w:szCs w:val="21"/>
          <w:color w:val="auto"/>
        </w:rPr>
        <w:t>19.Amendment No. 3 to the Restated Agreement and Declaration of Trust Establishing the Line Construction Benefit Fund, dated June 25, 2003 (effective June 25, 2003).</w:t>
      </w:r>
    </w:p>
    <w:p>
      <w:pPr>
        <w:spacing w:after="0" w:line="154" w:lineRule="exact"/>
        <w:rPr>
          <w:sz w:val="20"/>
          <w:szCs w:val="20"/>
          <w:color w:val="auto"/>
        </w:rPr>
      </w:pPr>
    </w:p>
    <w:p>
      <w:pPr>
        <w:ind w:left="620" w:hanging="307"/>
        <w:spacing w:after="0" w:line="270" w:lineRule="auto"/>
        <w:tabs>
          <w:tab w:leader="none" w:pos="62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 and Declaration of Trust of the N.E.C.A.-I.B.E.W. National Labor-Management Cooperation Committee Trust Fund, dated November 13, 1995.</w:t>
      </w:r>
    </w:p>
    <w:p>
      <w:pPr>
        <w:spacing w:after="0" w:line="15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N.E.C.A.-I.B.E.W. Agreement for a National Labor-Management Cooperation Committee, dated December 1, 1995.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I.B.E.W Local Union 57</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1.  Letter of Assent dated February 21, 2011 between T&amp;D and I.B.E.W. Local Union 57.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80808"/>
        </w:rPr>
        <w:t>I.B.E.W. Local Union 47</w:t>
      </w:r>
    </w:p>
    <w:p>
      <w:pPr>
        <w:spacing w:after="0" w:line="239" w:lineRule="exact"/>
        <w:rPr>
          <w:sz w:val="20"/>
          <w:szCs w:val="20"/>
          <w:color w:val="auto"/>
        </w:rPr>
      </w:pPr>
    </w:p>
    <w:p>
      <w:pPr>
        <w:ind w:left="620" w:hanging="307"/>
        <w:spacing w:after="0" w:line="272" w:lineRule="auto"/>
        <w:tabs>
          <w:tab w:leader="none" w:pos="62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80808"/>
        </w:rPr>
        <w:t>California Outside Line Construction Agreement between Western Line Constructors Chapter of NECA and Local Unions No. 47 and 1245, AFL-CIO, International Brotherhood of Electrical Workers, effective June 1,2009 through May 31,2012.</w:t>
      </w:r>
    </w:p>
    <w:p>
      <w:pPr>
        <w:spacing w:after="0" w:line="189" w:lineRule="exact"/>
        <w:rPr>
          <w:rFonts w:ascii="Times New Roman" w:cs="Times New Roman" w:eastAsia="Times New Roman" w:hAnsi="Times New Roman"/>
          <w:sz w:val="20"/>
          <w:szCs w:val="20"/>
          <w:color w:val="auto"/>
        </w:rPr>
      </w:pPr>
    </w:p>
    <w:p>
      <w:pPr>
        <w:ind w:left="1240" w:hanging="306"/>
        <w:spacing w:after="0"/>
        <w:tabs>
          <w:tab w:leader="none" w:pos="1240" w:val="left"/>
        </w:tabs>
        <w:numPr>
          <w:ilvl w:val="1"/>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080808"/>
        </w:rPr>
        <w:t>Exhibit A -Wage Exhibit.</w:t>
      </w:r>
    </w:p>
    <w:p>
      <w:pPr>
        <w:spacing w:after="0" w:line="210" w:lineRule="exact"/>
        <w:rPr>
          <w:rFonts w:ascii="Times New Roman" w:cs="Times New Roman" w:eastAsia="Times New Roman" w:hAnsi="Times New Roman"/>
          <w:sz w:val="21"/>
          <w:szCs w:val="21"/>
          <w:color w:val="auto"/>
        </w:rPr>
      </w:pPr>
    </w:p>
    <w:p>
      <w:pPr>
        <w:ind w:left="1240" w:hanging="306"/>
        <w:spacing w:after="0"/>
        <w:tabs>
          <w:tab w:leader="none" w:pos="1240" w:val="left"/>
        </w:tabs>
        <w:numPr>
          <w:ilvl w:val="1"/>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080808"/>
        </w:rPr>
        <w:t>Letter of Assent -B, effective January 18, 2011.</w:t>
      </w:r>
    </w:p>
    <w:p>
      <w:pPr>
        <w:spacing w:after="0" w:line="210" w:lineRule="exact"/>
        <w:rPr>
          <w:rFonts w:ascii="Times New Roman" w:cs="Times New Roman" w:eastAsia="Times New Roman" w:hAnsi="Times New Roman"/>
          <w:sz w:val="21"/>
          <w:szCs w:val="21"/>
          <w:color w:val="auto"/>
        </w:rPr>
      </w:pPr>
    </w:p>
    <w:p>
      <w:pPr>
        <w:ind w:left="1240" w:hanging="306"/>
        <w:spacing w:after="0"/>
        <w:tabs>
          <w:tab w:leader="none" w:pos="1240" w:val="left"/>
        </w:tabs>
        <w:numPr>
          <w:ilvl w:val="1"/>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080808"/>
        </w:rPr>
        <w:t>Voluntary Recognition Letter, dated March 22, 2011.</w:t>
      </w:r>
    </w:p>
    <w:p>
      <w:pPr>
        <w:spacing w:after="0" w:line="210" w:lineRule="exact"/>
        <w:rPr>
          <w:rFonts w:ascii="Times New Roman" w:cs="Times New Roman" w:eastAsia="Times New Roman" w:hAnsi="Times New Roman"/>
          <w:sz w:val="21"/>
          <w:szCs w:val="21"/>
          <w:color w:val="auto"/>
        </w:rPr>
      </w:pPr>
    </w:p>
    <w:p>
      <w:pPr>
        <w:ind w:left="1240" w:hanging="306"/>
        <w:spacing w:after="0"/>
        <w:tabs>
          <w:tab w:leader="none" w:pos="1240" w:val="left"/>
        </w:tabs>
        <w:numPr>
          <w:ilvl w:val="1"/>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080808"/>
        </w:rPr>
        <w:t>Employers Cost Per Hour For IBEW Local Unions 47 and 1245, January 1, 2011 -May 31, 2011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605" w:right="23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80808"/>
        </w:rPr>
        <w:t>I.B.E.W. Local Union 1245</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1.</w:t>
      </w:r>
      <w:r>
        <w:rPr>
          <w:rFonts w:ascii="Times New Roman" w:cs="Times New Roman" w:eastAsia="Times New Roman" w:hAnsi="Times New Roman"/>
          <w:sz w:val="19"/>
          <w:szCs w:val="19"/>
          <w:color w:val="080808"/>
        </w:rPr>
        <w:t>California Outside Line Construction Agreement between Western Line Constructors Chapter of NECA and Local Unions No. 47 and</w:t>
      </w:r>
    </w:p>
    <w:p>
      <w:pPr>
        <w:spacing w:after="0" w:line="4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080808"/>
        </w:rPr>
        <w:t>1245, AFL-CIO, International Brotherhood of Electrical Workers, effective June 1, 2009 through May 31, 2012.</w:t>
      </w:r>
    </w:p>
    <w:p>
      <w:pPr>
        <w:spacing w:after="0" w:line="2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19"/>
          <w:szCs w:val="19"/>
          <w:color w:val="080808"/>
        </w:rPr>
        <w:t>Exhibit A -Wage Exhibit.</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19"/>
          <w:szCs w:val="19"/>
          <w:color w:val="080808"/>
        </w:rPr>
        <w:t>Letter of Assent -B, effective February 2, 2011.</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19"/>
          <w:szCs w:val="19"/>
          <w:color w:val="080808"/>
        </w:rPr>
        <w:t>Employers Cost Per Hour For IBEW Local Unions 47 and 1245, January 1, 2011 -May 31, 2011.</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2.</w:t>
      </w:r>
      <w:r>
        <w:rPr>
          <w:rFonts w:ascii="Times New Roman" w:cs="Times New Roman" w:eastAsia="Times New Roman" w:hAnsi="Times New Roman"/>
          <w:sz w:val="19"/>
          <w:szCs w:val="19"/>
          <w:color w:val="080808"/>
        </w:rPr>
        <w:t>NECA-IBEW Agreement for a National Labor-Management Cooperation Committee</w:t>
      </w:r>
      <w:r>
        <w:rPr>
          <w:rFonts w:ascii="Times New Roman" w:cs="Times New Roman" w:eastAsia="Times New Roman" w:hAnsi="Times New Roman"/>
          <w:sz w:val="19"/>
          <w:szCs w:val="19"/>
          <w:color w:val="2B2B2B"/>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080808"/>
        </w:rPr>
        <w:t>effective on December 1, 1995.</w:t>
      </w:r>
    </w:p>
    <w:p>
      <w:pPr>
        <w:spacing w:after="0" w:line="3" w:lineRule="exact"/>
        <w:rPr>
          <w:sz w:val="20"/>
          <w:szCs w:val="20"/>
          <w:color w:val="auto"/>
        </w:rPr>
      </w:pPr>
    </w:p>
    <w:p>
      <w:pPr>
        <w:ind w:left="780" w:hanging="464"/>
        <w:spacing w:after="0" w:line="253" w:lineRule="auto"/>
        <w:rPr>
          <w:sz w:val="20"/>
          <w:szCs w:val="20"/>
          <w:color w:val="auto"/>
        </w:rPr>
      </w:pPr>
      <w:r>
        <w:rPr>
          <w:rFonts w:ascii="Times New Roman" w:cs="Times New Roman" w:eastAsia="Times New Roman" w:hAnsi="Times New Roman"/>
          <w:sz w:val="21"/>
          <w:szCs w:val="21"/>
          <w:color w:val="auto"/>
        </w:rPr>
        <w:t>3.</w:t>
      </w:r>
      <w:r>
        <w:rPr>
          <w:rFonts w:ascii="Times New Roman" w:cs="Times New Roman" w:eastAsia="Times New Roman" w:hAnsi="Times New Roman"/>
          <w:sz w:val="19"/>
          <w:szCs w:val="19"/>
          <w:color w:val="080808"/>
        </w:rPr>
        <w:t>Agreement and Declaration of Trust of the NECA-IBEW National Labor-Management Cooperation Committee Trust Fund, dated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080808"/>
        </w:rPr>
        <w:t>November 13, 1995.</w:t>
      </w:r>
    </w:p>
    <w:p>
      <w:pPr>
        <w:spacing w:after="0" w:line="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b w:val="1"/>
          <w:bCs w:val="1"/>
          <w:u w:val="single" w:color="auto"/>
          <w:color w:val="080808"/>
        </w:rPr>
        <w:t>I.B.E.W. Local Union 602</w:t>
      </w:r>
    </w:p>
    <w:p>
      <w:pPr>
        <w:spacing w:after="0" w:line="226" w:lineRule="exact"/>
        <w:rPr>
          <w:sz w:val="20"/>
          <w:szCs w:val="20"/>
          <w:color w:val="auto"/>
        </w:rPr>
      </w:pPr>
    </w:p>
    <w:p>
      <w:pPr>
        <w:ind w:left="320" w:hanging="317"/>
        <w:spacing w:after="0"/>
        <w:tabs>
          <w:tab w:leader="none" w:pos="320"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080808"/>
        </w:rPr>
        <w:t>Letter of Assent -A, dated November 4, 2010 between Southwestern Line Constructors, Chapter N.E.C.A. and I.B.E.W. Local Union 602.</w:t>
      </w:r>
    </w:p>
    <w:p>
      <w:pPr>
        <w:spacing w:after="0" w:line="21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080808"/>
        </w:rPr>
        <w:t>NECA-IBEW Agreement for a National Labor-Management Cooperation Committee, effective on December 1, 1995.</w:t>
      </w:r>
    </w:p>
    <w:p>
      <w:pPr>
        <w:spacing w:after="0" w:line="210" w:lineRule="exact"/>
        <w:rPr>
          <w:rFonts w:ascii="Times New Roman" w:cs="Times New Roman" w:eastAsia="Times New Roman" w:hAnsi="Times New Roman"/>
          <w:sz w:val="21"/>
          <w:szCs w:val="21"/>
          <w:color w:val="auto"/>
        </w:rPr>
      </w:pPr>
    </w:p>
    <w:p>
      <w:pPr>
        <w:ind w:left="320" w:hanging="317"/>
        <w:spacing w:after="0" w:line="273" w:lineRule="auto"/>
        <w:tabs>
          <w:tab w:leader="none" w:pos="320"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080808"/>
        </w:rPr>
        <w:t>Agreement and Declaration of Trust of the NECA-IBEW National Labor-Management Cooperation Committee Trust Fund, dated November 13, 1995.</w:t>
      </w:r>
    </w:p>
    <w:p>
      <w:pPr>
        <w:spacing w:after="0" w:line="35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b w:val="1"/>
          <w:bCs w:val="1"/>
          <w:u w:val="single" w:color="auto"/>
          <w:color w:val="080808"/>
        </w:rPr>
        <w:t>T&amp;D Power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1.Letter of Assent from the American Line Builders Chapter NECA and IBEW Local Union 1393 approved on July 29, 2014</w:t>
      </w:r>
    </w:p>
    <w:p>
      <w:pPr>
        <w:spacing w:after="0" w:line="26" w:lineRule="exact"/>
        <w:rPr>
          <w:sz w:val="20"/>
          <w:szCs w:val="20"/>
          <w:color w:val="auto"/>
        </w:rPr>
      </w:pPr>
    </w:p>
    <w:p>
      <w:pPr>
        <w:ind w:left="320" w:hanging="317"/>
        <w:spacing w:after="0"/>
        <w:tabs>
          <w:tab w:leader="none" w:pos="32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American Line Builders Chapter NECA and IBEW Local Union 317</w:t>
      </w:r>
    </w:p>
    <w:p>
      <w:pPr>
        <w:spacing w:after="0" w:line="4"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American Line Builders Chapter NECA and IBEW Local Union 55 approved on August 9, 2013</w:t>
      </w:r>
    </w:p>
    <w:p>
      <w:pPr>
        <w:spacing w:after="0" w:line="16"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American Line Builders Chapter NECA and IBEW Local Union 583</w:t>
      </w:r>
    </w:p>
    <w:p>
      <w:pPr>
        <w:spacing w:after="0" w:line="16"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American Line Builders Chapter NECA and IBEW Local Union 71</w:t>
      </w:r>
    </w:p>
    <w:p>
      <w:pPr>
        <w:spacing w:after="0" w:line="16"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American Line Builders Chapter NECA and IBEW Local Union 876 approved on May 31, 2016</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596" w:right="23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PRECISION LABOR CONTRACTS</w:t>
      </w:r>
    </w:p>
    <w:p>
      <w:pPr>
        <w:spacing w:after="0" w:line="3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Precision is a member of the Pipeline Contractors Association (“PLCA”). The PLCA has entered into various labor contracts with the laborers, operators, teamsters and welders and helpers. These labor agreements are what set the rates for the labor locals in which Precision operates. Precision itself has not entered into these collective bargaining agreements. Instead, the PLCA enters into the agreements on behalf of Precision.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THREE PHASE LABOR UNION CONTRACTS</w:t>
      </w:r>
    </w:p>
    <w:p>
      <w:pPr>
        <w:spacing w:after="0" w:line="200" w:lineRule="exact"/>
        <w:rPr>
          <w:sz w:val="20"/>
          <w:szCs w:val="20"/>
          <w:color w:val="auto"/>
        </w:rPr>
      </w:pPr>
    </w:p>
    <w:p>
      <w:pPr>
        <w:spacing w:after="0" w:line="221" w:lineRule="exact"/>
        <w:rPr>
          <w:sz w:val="20"/>
          <w:szCs w:val="20"/>
          <w:color w:val="auto"/>
        </w:rPr>
      </w:pPr>
    </w:p>
    <w:p>
      <w:pPr>
        <w:jc w:val="both"/>
        <w:ind w:firstLine="1240"/>
        <w:spacing w:after="0" w:line="252" w:lineRule="auto"/>
        <w:rPr>
          <w:sz w:val="20"/>
          <w:szCs w:val="20"/>
          <w:color w:val="auto"/>
        </w:rPr>
      </w:pPr>
      <w:r>
        <w:rPr>
          <w:rFonts w:ascii="Times New Roman" w:cs="Times New Roman" w:eastAsia="Times New Roman" w:hAnsi="Times New Roman"/>
          <w:sz w:val="21"/>
          <w:szCs w:val="21"/>
          <w:color w:val="auto"/>
        </w:rPr>
        <w:t>Three Phase is a member of the Northeastern Line Constructors Chapter of the National Electrical Contractors Association, Inc. (“NLCC”) which has entered into a Utility Agreement with Local Union No 104 of the International Brotherhood of Electrical Workers 2009-2012, dated August 31, 2009. Three Phase itself has not entered into this agreement. Instead, the NLCC has entered into this agreement on behalf of Three Phase.</w:t>
      </w:r>
    </w:p>
    <w:p>
      <w:pPr>
        <w:spacing w:after="0" w:line="174" w:lineRule="exact"/>
        <w:rPr>
          <w:sz w:val="20"/>
          <w:szCs w:val="20"/>
          <w:color w:val="auto"/>
        </w:rPr>
      </w:pPr>
    </w:p>
    <w:p>
      <w:pPr>
        <w:ind w:left="620" w:hanging="307"/>
        <w:spacing w:after="0"/>
        <w:tabs>
          <w:tab w:leader="none" w:pos="62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American Line Builders Chapter NECA and I.B.E.W. Local Union 196 approved on May 20, 2014.</w:t>
      </w:r>
    </w:p>
    <w:p>
      <w:pPr>
        <w:spacing w:after="0" w:line="210"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American Line Builders Chapter NECA and I.B.E.W. Local Union 309 approved on August 1, 2016.</w:t>
      </w:r>
    </w:p>
    <w:p>
      <w:pPr>
        <w:spacing w:after="0" w:line="210"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of Assent from the American Line Builders Chapter NECA and I.B.E.W. Local Union 0051 approved on January 14, 2015.</w:t>
      </w:r>
    </w:p>
    <w:p>
      <w:pPr>
        <w:spacing w:after="0" w:line="222" w:lineRule="exact"/>
        <w:rPr>
          <w:rFonts w:ascii="Times New Roman" w:cs="Times New Roman" w:eastAsia="Times New Roman" w:hAnsi="Times New Roman"/>
          <w:sz w:val="20"/>
          <w:szCs w:val="20"/>
          <w:color w:val="auto"/>
        </w:rPr>
      </w:pPr>
    </w:p>
    <w:p>
      <w:pPr>
        <w:ind w:left="620" w:hanging="307"/>
        <w:spacing w:after="0"/>
        <w:tabs>
          <w:tab w:leader="none" w:pos="62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Penn Del Jersey Chapter NECA and I.B.E.W. Local Union 126 approved on August 11, 2010.</w:t>
      </w:r>
    </w:p>
    <w:p>
      <w:pPr>
        <w:spacing w:after="0" w:line="210"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Middle States Electrical Contractors Association of Chicago and I.B.E.W. Local Union 009 approved on May 27, 2014.</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Southwestern Line Contractor Chapter &amp; NECA and I.B.E.W. Local Union 66 approved on June 23, 2014.</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Northeastern Line Constructors Chapter, NECA and I.B.E.W. Local Union 104 approved on May 20, 1998.</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Northeastern Line Constructors Chapter of NECA and I.B.E.W. Local Union 1249 approved on December 1, 2003.</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Southern Division – Southern NJ Chapter, Inc. NECA and I.B.E.W. Local Union 351 approved on November 2, 2016.</w:t>
      </w:r>
    </w:p>
    <w:p>
      <w:pPr>
        <w:spacing w:after="0" w:line="15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Memorandum of Agreement (Local 150 Heavery, Highway &amp; Underground Agreements) with Local Union 150 I.U.O.E., dated August 2, 2016.</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989" w:right="239" w:bottom="1440" w:gutter="0" w:footer="0" w:header="0"/>
        </w:sectPr>
      </w:pPr>
    </w:p>
    <w:bookmarkStart w:id="276" w:name="page277"/>
    <w:bookmarkEnd w:id="276"/>
    <w:p>
      <w:pPr>
        <w:jc w:val="both"/>
        <w:ind w:left="620" w:hanging="307"/>
        <w:spacing w:after="0" w:line="257" w:lineRule="auto"/>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National Distribution Pipeline Agreement Acceptance of Agreement between the United Association of Journeymen and Apprentices of the Plumbing and Pipe Fitting Industry of the United States and Canada and the Distribution Contractors Association dated August 5, 2016.</w:t>
      </w:r>
    </w:p>
    <w:p>
      <w:pPr>
        <w:spacing w:after="0" w:line="167"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Construction &amp; General Laborers’ District Council of Chicago and Vicinity Independent Construction Industry Collective Bargaining Agreement dated August 3, 2016.</w:t>
      </w:r>
    </w:p>
    <w:p>
      <w:pPr>
        <w:spacing w:after="0" w:line="193"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American Line Builders Chapter NECA and IBEW Local Union 42</w:t>
      </w:r>
    </w:p>
    <w:p>
      <w:pPr>
        <w:spacing w:after="0" w:line="249"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American Line Builders Chapter NECA and IBEW Local Union 02</w:t>
      </w:r>
    </w:p>
    <w:p>
      <w:pPr>
        <w:spacing w:after="0" w:line="249"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Assent from the American Line Builders Chapter NECA and IBEW Local Union 702</w:t>
      </w:r>
    </w:p>
    <w:p>
      <w:pPr>
        <w:spacing w:after="0" w:line="249"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 from International Union of Operating Engineers, Local 15 and its Branches, AFL-CIO</w:t>
      </w:r>
    </w:p>
    <w:p>
      <w:pPr>
        <w:spacing w:after="0" w:line="249"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 from International Union of Operating Engineers, Local 18 and its Branches, AFL-CIO dated March 29, 2019</w:t>
      </w:r>
    </w:p>
    <w:p>
      <w:pPr>
        <w:spacing w:after="0" w:line="249"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Collective Bargaining Agreement Construction General Laborers District Council of Chicago and Vicinity and its Local 681</w:t>
      </w:r>
    </w:p>
    <w:p>
      <w:pPr>
        <w:spacing w:after="0" w:line="249"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LiUNA Local 189 - KY</w:t>
      </w:r>
    </w:p>
    <w:p>
      <w:pPr>
        <w:spacing w:after="0" w:line="249"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Collective Bargaining Agreement Construction General Laborers District Council of Chicago and Vicinity and its Local 68</w:t>
      </w:r>
    </w:p>
    <w:p>
      <w:pPr>
        <w:spacing w:after="0" w:line="249"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LiUNA Local 265 - OH</w:t>
      </w:r>
    </w:p>
    <w:p>
      <w:pPr>
        <w:spacing w:after="0" w:line="249"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LiUNA Local 576 - KY</w:t>
      </w:r>
    </w:p>
    <w:p>
      <w:pPr>
        <w:spacing w:after="0" w:line="249"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LiUNA Local 582 - IL</w:t>
      </w:r>
    </w:p>
    <w:p>
      <w:pPr>
        <w:spacing w:after="0" w:line="249"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LiUNA Local 710 - MD</w:t>
      </w:r>
    </w:p>
    <w:p>
      <w:pPr>
        <w:spacing w:after="0" w:line="249"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LiUNA Local 731 - NY</w:t>
      </w:r>
    </w:p>
    <w:p>
      <w:pPr>
        <w:spacing w:after="0" w:line="249"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 from United Association of Journeymen and Apprentices of the Plumbing and Pipe Fitting Industry of the United States and Canada, AFL-CIO, Local Union 190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605" w:right="239" w:bottom="1440" w:gutter="0" w:footer="0" w:header="0"/>
        </w:sectPr>
      </w:pPr>
    </w:p>
    <w:bookmarkStart w:id="277" w:name="page278"/>
    <w:bookmarkEnd w:id="277"/>
    <w:p>
      <w:pPr>
        <w:ind w:left="860" w:hanging="547"/>
        <w:spacing w:after="0"/>
        <w:tabs>
          <w:tab w:leader="none" w:pos="86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 from United Association of Journeymen and Apprentices of the Plumbing and Pipe Fitting Industry of the United</w:t>
      </w:r>
    </w:p>
    <w:p>
      <w:pPr>
        <w:spacing w:after="0" w:line="37" w:lineRule="exact"/>
        <w:rPr>
          <w:rFonts w:ascii="Times New Roman" w:cs="Times New Roman" w:eastAsia="Times New Roman" w:hAnsi="Times New Roman"/>
          <w:sz w:val="20"/>
          <w:szCs w:val="20"/>
          <w:color w:val="auto"/>
        </w:rPr>
      </w:pPr>
    </w:p>
    <w:p>
      <w:pPr>
        <w:ind w:left="4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States and Canada, AFL-CIO, Local Union 597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200"/>
          </w:cols>
          <w:pgMar w:left="240" w:top="605" w:right="459" w:bottom="1440" w:gutter="0" w:footer="0" w:header="0"/>
        </w:sectPr>
      </w:pPr>
    </w:p>
    <w:bookmarkStart w:id="278" w:name="page279"/>
    <w:bookmarkEnd w:id="278"/>
    <w:tbl>
      <w:tblPr>
        <w:tblLayout w:type="fixed"/>
        <w:tblInd w:w="10" w:type="dxa"/>
        <w:tblCellMar>
          <w:top w:w="0" w:type="dxa"/>
          <w:left w:w="0" w:type="dxa"/>
          <w:bottom w:w="0" w:type="dxa"/>
          <w:right w:w="0" w:type="dxa"/>
        </w:tblCellMar>
      </w:tblPr>
      <w:tr>
        <w:trPr>
          <w:trHeight w:val="274"/>
        </w:trPr>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4"/>
          </w:tcPr>
          <w:p>
            <w:pPr>
              <w:ind w:left="40"/>
              <w:spacing w:after="0"/>
              <w:rPr>
                <w:sz w:val="20"/>
                <w:szCs w:val="20"/>
                <w:color w:val="auto"/>
              </w:rPr>
            </w:pPr>
            <w:r>
              <w:rPr>
                <w:rFonts w:ascii="Times New Roman" w:cs="Times New Roman" w:eastAsia="Times New Roman" w:hAnsi="Times New Roman"/>
                <w:sz w:val="21"/>
                <w:szCs w:val="21"/>
                <w:b w:val="1"/>
                <w:bCs w:val="1"/>
                <w:i w:val="1"/>
                <w:iCs w:val="1"/>
                <w:color w:val="auto"/>
                <w:w w:val="96"/>
              </w:rPr>
              <w:t>SCHEDULE 6.12(f)</w:t>
            </w:r>
          </w:p>
        </w:tc>
      </w:tr>
      <w:tr>
        <w:trPr>
          <w:trHeight w:val="452"/>
        </w:trPr>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100" w:type="dxa"/>
            <w:vAlign w:val="bottom"/>
            <w:gridSpan w:val="7"/>
          </w:tcPr>
          <w:p>
            <w:pPr>
              <w:ind w:left="320"/>
              <w:spacing w:after="0"/>
              <w:rPr>
                <w:sz w:val="20"/>
                <w:szCs w:val="20"/>
                <w:color w:val="auto"/>
              </w:rPr>
            </w:pPr>
            <w:r>
              <w:rPr>
                <w:rFonts w:ascii="Times New Roman" w:cs="Times New Roman" w:eastAsia="Times New Roman" w:hAnsi="Times New Roman"/>
                <w:sz w:val="21"/>
                <w:szCs w:val="21"/>
                <w:b w:val="1"/>
                <w:bCs w:val="1"/>
                <w:color w:val="auto"/>
              </w:rPr>
              <w:t>EXCLUDED SUBSIDIARIES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58"/>
        </w:trPr>
        <w:tc>
          <w:tcPr>
            <w:tcW w:w="40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Affiliated Entity</w:t>
            </w:r>
          </w:p>
        </w:tc>
        <w:tc>
          <w:tcPr>
            <w:tcW w:w="760" w:type="dxa"/>
            <w:vAlign w:val="bottom"/>
          </w:tcPr>
          <w:p>
            <w:pPr>
              <w:spacing w:after="0"/>
              <w:rPr>
                <w:sz w:val="24"/>
                <w:szCs w:val="24"/>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Jurisdiction</w:t>
            </w: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Tax ID</w:t>
            </w:r>
          </w:p>
        </w:tc>
        <w:tc>
          <w:tcPr>
            <w:tcW w:w="30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Owned Assets</w:t>
            </w:r>
          </w:p>
        </w:tc>
        <w:tc>
          <w:tcPr>
            <w:tcW w:w="200" w:type="dxa"/>
            <w:vAlign w:val="bottom"/>
          </w:tcPr>
          <w:p>
            <w:pPr>
              <w:spacing w:after="0"/>
              <w:rPr>
                <w:sz w:val="24"/>
                <w:szCs w:val="24"/>
                <w:color w:val="auto"/>
              </w:rPr>
            </w:pPr>
          </w:p>
        </w:tc>
        <w:tc>
          <w:tcPr>
            <w:tcW w:w="158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Asset Description</w:t>
            </w:r>
          </w:p>
        </w:tc>
      </w:tr>
      <w:tr>
        <w:trPr>
          <w:trHeight w:val="161"/>
        </w:trPr>
        <w:tc>
          <w:tcPr>
            <w:tcW w:w="5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226"/>
        </w:trPr>
        <w:tc>
          <w:tcPr>
            <w:tcW w:w="5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Church &amp; Tower, Inc.</w:t>
            </w:r>
          </w:p>
        </w:tc>
        <w:tc>
          <w:tcPr>
            <w:tcW w:w="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Florida</w:t>
            </w:r>
          </w:p>
        </w:tc>
        <w:tc>
          <w:tcPr>
            <w:tcW w:w="1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65-0227979</w:t>
            </w:r>
          </w:p>
        </w:tc>
        <w:tc>
          <w:tcPr>
            <w:tcW w:w="30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N/A</w:t>
            </w:r>
          </w:p>
        </w:tc>
      </w:tr>
      <w:tr>
        <w:trPr>
          <w:trHeight w:val="26"/>
        </w:trPr>
        <w:tc>
          <w:tcPr>
            <w:tcW w:w="5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26"/>
        </w:trPr>
        <w:tc>
          <w:tcPr>
            <w:tcW w:w="5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MasTec Property Holdings, LLC</w:t>
            </w:r>
          </w:p>
        </w:tc>
        <w:tc>
          <w:tcPr>
            <w:tcW w:w="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Nevada</w:t>
            </w:r>
          </w:p>
        </w:tc>
        <w:tc>
          <w:tcPr>
            <w:tcW w:w="1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26-4027848</w:t>
            </w:r>
          </w:p>
        </w:tc>
        <w:tc>
          <w:tcPr>
            <w:tcW w:w="30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Real Property</w:t>
            </w:r>
          </w:p>
        </w:tc>
        <w:tc>
          <w:tcPr>
            <w:tcW w:w="20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See Schedule 5.08(c)</w:t>
            </w:r>
          </w:p>
        </w:tc>
      </w:tr>
      <w:tr>
        <w:trPr>
          <w:trHeight w:val="26"/>
        </w:trPr>
        <w:tc>
          <w:tcPr>
            <w:tcW w:w="5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26"/>
        </w:trPr>
        <w:tc>
          <w:tcPr>
            <w:tcW w:w="5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Nsoro MasTec International, Inc.</w:t>
            </w:r>
          </w:p>
        </w:tc>
        <w:tc>
          <w:tcPr>
            <w:tcW w:w="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Nevada</w:t>
            </w:r>
          </w:p>
        </w:tc>
        <w:tc>
          <w:tcPr>
            <w:tcW w:w="1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26-4097196</w:t>
            </w:r>
          </w:p>
        </w:tc>
        <w:tc>
          <w:tcPr>
            <w:tcW w:w="30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N/A</w:t>
            </w:r>
          </w:p>
        </w:tc>
      </w:tr>
      <w:tr>
        <w:trPr>
          <w:trHeight w:val="26"/>
        </w:trPr>
        <w:tc>
          <w:tcPr>
            <w:tcW w:w="5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26"/>
        </w:trPr>
        <w:tc>
          <w:tcPr>
            <w:tcW w:w="5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MasTec Services Company, Inc.</w:t>
            </w:r>
          </w:p>
        </w:tc>
        <w:tc>
          <w:tcPr>
            <w:tcW w:w="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Florida</w:t>
            </w:r>
          </w:p>
        </w:tc>
        <w:tc>
          <w:tcPr>
            <w:tcW w:w="1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65-0791004</w:t>
            </w:r>
          </w:p>
        </w:tc>
        <w:tc>
          <w:tcPr>
            <w:tcW w:w="30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N/A</w:t>
            </w:r>
          </w:p>
        </w:tc>
      </w:tr>
      <w:tr>
        <w:trPr>
          <w:trHeight w:val="26"/>
        </w:trPr>
        <w:tc>
          <w:tcPr>
            <w:tcW w:w="5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26"/>
        </w:trPr>
        <w:tc>
          <w:tcPr>
            <w:tcW w:w="5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MasTec Venezuela, Inc. (Holding Company)</w:t>
            </w:r>
          </w:p>
        </w:tc>
        <w:tc>
          <w:tcPr>
            <w:tcW w:w="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Florida</w:t>
            </w:r>
          </w:p>
        </w:tc>
        <w:tc>
          <w:tcPr>
            <w:tcW w:w="1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65-0890232</w:t>
            </w:r>
          </w:p>
        </w:tc>
        <w:tc>
          <w:tcPr>
            <w:tcW w:w="1500" w:type="dxa"/>
            <w:vAlign w:val="bottom"/>
            <w:gridSpan w:val="3"/>
          </w:tcPr>
          <w:p>
            <w:pPr>
              <w:jc w:val="center"/>
              <w:ind w:left="74"/>
              <w:spacing w:after="0"/>
              <w:rPr>
                <w:sz w:val="20"/>
                <w:szCs w:val="20"/>
                <w:color w:val="auto"/>
              </w:rPr>
            </w:pPr>
            <w:r>
              <w:rPr>
                <w:rFonts w:ascii="Times New Roman" w:cs="Times New Roman" w:eastAsia="Times New Roman" w:hAnsi="Times New Roman"/>
                <w:sz w:val="17"/>
                <w:szCs w:val="17"/>
                <w:color w:val="auto"/>
              </w:rPr>
              <w:t>Foreign Subsidiary</w:t>
            </w:r>
          </w:p>
        </w:tc>
        <w:tc>
          <w:tcPr>
            <w:tcW w:w="20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See Schedule 5.13(a)</w:t>
            </w:r>
          </w:p>
        </w:tc>
      </w:tr>
      <w:tr>
        <w:trPr>
          <w:trHeight w:val="26"/>
        </w:trPr>
        <w:tc>
          <w:tcPr>
            <w:tcW w:w="5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26"/>
        </w:trPr>
        <w:tc>
          <w:tcPr>
            <w:tcW w:w="5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MasTec Spain, Inc. (Holding Company)</w:t>
            </w:r>
          </w:p>
        </w:tc>
        <w:tc>
          <w:tcPr>
            <w:tcW w:w="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Florida</w:t>
            </w:r>
          </w:p>
        </w:tc>
        <w:tc>
          <w:tcPr>
            <w:tcW w:w="1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65-0890231</w:t>
            </w:r>
          </w:p>
        </w:tc>
        <w:tc>
          <w:tcPr>
            <w:tcW w:w="30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N/A</w:t>
            </w:r>
          </w:p>
        </w:tc>
      </w:tr>
      <w:tr>
        <w:trPr>
          <w:trHeight w:val="26"/>
        </w:trPr>
        <w:tc>
          <w:tcPr>
            <w:tcW w:w="5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26"/>
        </w:trPr>
        <w:tc>
          <w:tcPr>
            <w:tcW w:w="5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MasTec Latin America, Inc.</w:t>
            </w:r>
          </w:p>
        </w:tc>
        <w:tc>
          <w:tcPr>
            <w:tcW w:w="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Delaware</w:t>
            </w:r>
          </w:p>
        </w:tc>
        <w:tc>
          <w:tcPr>
            <w:tcW w:w="540" w:type="dxa"/>
            <w:vAlign w:val="bottom"/>
          </w:tcPr>
          <w:p>
            <w:pPr>
              <w:spacing w:after="0"/>
              <w:rPr>
                <w:sz w:val="19"/>
                <w:szCs w:val="19"/>
                <w:color w:val="auto"/>
              </w:rPr>
            </w:pPr>
          </w:p>
        </w:tc>
        <w:tc>
          <w:tcPr>
            <w:tcW w:w="1080" w:type="dxa"/>
            <w:vAlign w:val="bottom"/>
            <w:tcBorders>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7"/>
                <w:szCs w:val="17"/>
                <w:color w:val="auto"/>
              </w:rPr>
              <w:t>N/A</w:t>
            </w:r>
          </w:p>
        </w:tc>
        <w:tc>
          <w:tcPr>
            <w:tcW w:w="1500" w:type="dxa"/>
            <w:vAlign w:val="bottom"/>
            <w:gridSpan w:val="3"/>
          </w:tcPr>
          <w:p>
            <w:pPr>
              <w:jc w:val="center"/>
              <w:ind w:left="74"/>
              <w:spacing w:after="0"/>
              <w:rPr>
                <w:sz w:val="20"/>
                <w:szCs w:val="20"/>
                <w:color w:val="auto"/>
              </w:rPr>
            </w:pPr>
            <w:r>
              <w:rPr>
                <w:rFonts w:ascii="Times New Roman" w:cs="Times New Roman" w:eastAsia="Times New Roman" w:hAnsi="Times New Roman"/>
                <w:sz w:val="17"/>
                <w:szCs w:val="17"/>
                <w:color w:val="auto"/>
              </w:rPr>
              <w:t>Foreign Subsidiary</w:t>
            </w:r>
          </w:p>
        </w:tc>
        <w:tc>
          <w:tcPr>
            <w:tcW w:w="20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See Schedule 5.13(a)</w:t>
            </w:r>
          </w:p>
        </w:tc>
      </w:tr>
      <w:tr>
        <w:trPr>
          <w:trHeight w:val="26"/>
        </w:trPr>
        <w:tc>
          <w:tcPr>
            <w:tcW w:w="5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26"/>
        </w:trPr>
        <w:tc>
          <w:tcPr>
            <w:tcW w:w="5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MasTec Brazil I, Inc. (Holding Company)</w:t>
            </w:r>
          </w:p>
        </w:tc>
        <w:tc>
          <w:tcPr>
            <w:tcW w:w="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Florida</w:t>
            </w:r>
          </w:p>
        </w:tc>
        <w:tc>
          <w:tcPr>
            <w:tcW w:w="1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65-0890223</w:t>
            </w:r>
          </w:p>
        </w:tc>
        <w:tc>
          <w:tcPr>
            <w:tcW w:w="30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N/A</w:t>
            </w:r>
          </w:p>
        </w:tc>
      </w:tr>
      <w:tr>
        <w:trPr>
          <w:trHeight w:val="26"/>
        </w:trPr>
        <w:tc>
          <w:tcPr>
            <w:tcW w:w="5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26"/>
        </w:trPr>
        <w:tc>
          <w:tcPr>
            <w:tcW w:w="5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MasTec Brazil II, Inc. (Holding Company)</w:t>
            </w:r>
          </w:p>
        </w:tc>
        <w:tc>
          <w:tcPr>
            <w:tcW w:w="7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Florida</w:t>
            </w:r>
          </w:p>
        </w:tc>
        <w:tc>
          <w:tcPr>
            <w:tcW w:w="1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65-0890224</w:t>
            </w:r>
          </w:p>
        </w:tc>
        <w:tc>
          <w:tcPr>
            <w:tcW w:w="30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N/A</w:t>
            </w:r>
          </w:p>
        </w:tc>
      </w:tr>
      <w:tr>
        <w:trPr>
          <w:trHeight w:val="26"/>
        </w:trPr>
        <w:tc>
          <w:tcPr>
            <w:tcW w:w="5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40"/>
          </w:cols>
          <w:pgMar w:left="240" w:top="600" w:right="219" w:bottom="1440" w:gutter="0" w:footer="0" w:header="0"/>
        </w:sectPr>
      </w:pPr>
    </w:p>
    <w:bookmarkStart w:id="279" w:name="page280"/>
    <w:bookmarkEnd w:id="279"/>
    <w:tbl>
      <w:tblPr>
        <w:tblLayout w:type="fixed"/>
        <w:tblInd w:w="10" w:type="dxa"/>
        <w:tblCellMar>
          <w:top w:w="0" w:type="dxa"/>
          <w:left w:w="0" w:type="dxa"/>
          <w:bottom w:w="0" w:type="dxa"/>
          <w:right w:w="0" w:type="dxa"/>
        </w:tblCellMar>
      </w:tblPr>
      <w:tr>
        <w:trPr>
          <w:trHeight w:val="274"/>
        </w:trPr>
        <w:tc>
          <w:tcPr>
            <w:tcW w:w="3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21"/>
                <w:szCs w:val="21"/>
                <w:b w:val="1"/>
                <w:bCs w:val="1"/>
                <w:i w:val="1"/>
                <w:iCs w:val="1"/>
                <w:color w:val="auto"/>
                <w:w w:val="96"/>
              </w:rPr>
              <w:t>SCHEDULE 7.03</w:t>
            </w:r>
          </w:p>
        </w:tc>
      </w:tr>
      <w:tr>
        <w:trPr>
          <w:trHeight w:val="452"/>
        </w:trPr>
        <w:tc>
          <w:tcPr>
            <w:tcW w:w="3940" w:type="dxa"/>
            <w:vAlign w:val="bottom"/>
          </w:tcPr>
          <w:p>
            <w:pPr>
              <w:spacing w:after="0"/>
              <w:rPr>
                <w:sz w:val="24"/>
                <w:szCs w:val="24"/>
                <w:color w:val="auto"/>
              </w:rPr>
            </w:pPr>
          </w:p>
        </w:tc>
        <w:tc>
          <w:tcPr>
            <w:tcW w:w="4100" w:type="dxa"/>
            <w:vAlign w:val="bottom"/>
            <w:gridSpan w:val="2"/>
          </w:tcPr>
          <w:p>
            <w:pPr>
              <w:jc w:val="center"/>
              <w:ind w:right="471"/>
              <w:spacing w:after="0"/>
              <w:rPr>
                <w:sz w:val="20"/>
                <w:szCs w:val="20"/>
                <w:color w:val="auto"/>
              </w:rPr>
            </w:pPr>
            <w:r>
              <w:rPr>
                <w:rFonts w:ascii="Times New Roman" w:cs="Times New Roman" w:eastAsia="Times New Roman" w:hAnsi="Times New Roman"/>
                <w:sz w:val="21"/>
                <w:szCs w:val="21"/>
                <w:b w:val="1"/>
                <w:bCs w:val="1"/>
                <w:color w:val="auto"/>
                <w:w w:val="98"/>
              </w:rPr>
              <w:t>EXISTING INDEBTEDNESS</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2"/>
        </w:trPr>
        <w:tc>
          <w:tcPr>
            <w:tcW w:w="3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jc w:val="center"/>
              <w:ind w:right="991"/>
              <w:spacing w:after="0"/>
              <w:rPr>
                <w:sz w:val="20"/>
                <w:szCs w:val="20"/>
                <w:color w:val="auto"/>
              </w:rPr>
            </w:pPr>
            <w:r>
              <w:rPr>
                <w:rFonts w:ascii="Times New Roman" w:cs="Times New Roman" w:eastAsia="Times New Roman" w:hAnsi="Times New Roman"/>
                <w:sz w:val="21"/>
                <w:szCs w:val="21"/>
                <w:b w:val="1"/>
                <w:bCs w:val="1"/>
                <w:color w:val="auto"/>
                <w:w w:val="97"/>
              </w:rPr>
              <w:t>Notes Payable</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91"/>
        </w:trPr>
        <w:tc>
          <w:tcPr>
            <w:tcW w:w="3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jc w:val="center"/>
              <w:ind w:right="1011"/>
              <w:spacing w:after="0"/>
              <w:rPr>
                <w:sz w:val="20"/>
                <w:szCs w:val="20"/>
                <w:color w:val="auto"/>
              </w:rPr>
            </w:pPr>
            <w:r>
              <w:rPr>
                <w:rFonts w:ascii="Times New Roman" w:cs="Times New Roman" w:eastAsia="Times New Roman" w:hAnsi="Times New Roman"/>
                <w:sz w:val="21"/>
                <w:szCs w:val="21"/>
                <w:color w:val="auto"/>
                <w:w w:val="98"/>
              </w:rPr>
              <w:t>None.</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98"/>
        </w:trPr>
        <w:tc>
          <w:tcPr>
            <w:tcW w:w="3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jc w:val="center"/>
              <w:ind w:right="1011"/>
              <w:spacing w:after="0"/>
              <w:rPr>
                <w:sz w:val="20"/>
                <w:szCs w:val="20"/>
                <w:color w:val="auto"/>
              </w:rPr>
            </w:pPr>
            <w:r>
              <w:rPr>
                <w:rFonts w:ascii="Times New Roman" w:cs="Times New Roman" w:eastAsia="Times New Roman" w:hAnsi="Times New Roman"/>
                <w:sz w:val="21"/>
                <w:szCs w:val="21"/>
                <w:b w:val="1"/>
                <w:bCs w:val="1"/>
                <w:color w:val="auto"/>
                <w:w w:val="99"/>
              </w:rPr>
              <w:t>Capital Leases</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6"/>
        </w:trPr>
        <w:tc>
          <w:tcPr>
            <w:tcW w:w="3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26"/>
        </w:trPr>
        <w:tc>
          <w:tcPr>
            <w:tcW w:w="3940" w:type="dxa"/>
            <w:vAlign w:val="bottom"/>
            <w:tcBorders>
              <w:left w:val="single" w:sz="8" w:color="auto"/>
            </w:tcBorders>
            <w:shd w:val="clear" w:color="auto" w:fill="AEAAAA"/>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Services Lines</w:t>
            </w:r>
          </w:p>
        </w:tc>
        <w:tc>
          <w:tcPr>
            <w:tcW w:w="540" w:type="dxa"/>
            <w:vAlign w:val="bottom"/>
            <w:tcBorders>
              <w:right w:val="single" w:sz="8" w:color="auto"/>
            </w:tcBorders>
            <w:shd w:val="clear" w:color="auto" w:fill="AEAAAA"/>
          </w:tcPr>
          <w:p>
            <w:pPr>
              <w:spacing w:after="0"/>
              <w:rPr>
                <w:sz w:val="19"/>
                <w:szCs w:val="19"/>
                <w:color w:val="auto"/>
              </w:rPr>
            </w:pPr>
          </w:p>
        </w:tc>
        <w:tc>
          <w:tcPr>
            <w:tcW w:w="3560" w:type="dxa"/>
            <w:vAlign w:val="bottom"/>
            <w:tcBorders>
              <w:right w:val="single" w:sz="8" w:color="auto"/>
            </w:tcBorders>
            <w:shd w:val="clear" w:color="auto" w:fill="AEAAAA"/>
          </w:tcPr>
          <w:p>
            <w:pPr>
              <w:ind w:left="560"/>
              <w:spacing w:after="0"/>
              <w:rPr>
                <w:sz w:val="20"/>
                <w:szCs w:val="20"/>
                <w:color w:val="auto"/>
              </w:rPr>
            </w:pPr>
            <w:r>
              <w:rPr>
                <w:rFonts w:ascii="Times New Roman" w:cs="Times New Roman" w:eastAsia="Times New Roman" w:hAnsi="Times New Roman"/>
                <w:sz w:val="17"/>
                <w:szCs w:val="17"/>
                <w:b w:val="1"/>
                <w:bCs w:val="1"/>
                <w:color w:val="auto"/>
              </w:rPr>
              <w:t>Principal Balance, June 30, 2019</w:t>
            </w:r>
          </w:p>
        </w:tc>
        <w:tc>
          <w:tcPr>
            <w:tcW w:w="1800" w:type="dxa"/>
            <w:vAlign w:val="bottom"/>
            <w:shd w:val="clear" w:color="auto" w:fill="AEAAAA"/>
          </w:tcPr>
          <w:p>
            <w:pPr>
              <w:ind w:left="140"/>
              <w:spacing w:after="0"/>
              <w:rPr>
                <w:sz w:val="20"/>
                <w:szCs w:val="20"/>
                <w:color w:val="auto"/>
              </w:rPr>
            </w:pPr>
            <w:r>
              <w:rPr>
                <w:rFonts w:ascii="Times New Roman" w:cs="Times New Roman" w:eastAsia="Times New Roman" w:hAnsi="Times New Roman"/>
                <w:sz w:val="17"/>
                <w:szCs w:val="17"/>
                <w:b w:val="1"/>
                <w:bCs w:val="1"/>
                <w:color w:val="auto"/>
              </w:rPr>
              <w:t>Installments Through</w:t>
            </w:r>
          </w:p>
        </w:tc>
        <w:tc>
          <w:tcPr>
            <w:tcW w:w="140" w:type="dxa"/>
            <w:vAlign w:val="bottom"/>
            <w:tcBorders>
              <w:right w:val="single" w:sz="8" w:color="auto"/>
            </w:tcBorders>
            <w:shd w:val="clear" w:color="auto" w:fill="AEAAAA"/>
          </w:tcPr>
          <w:p>
            <w:pPr>
              <w:spacing w:after="0"/>
              <w:rPr>
                <w:sz w:val="19"/>
                <w:szCs w:val="19"/>
                <w:color w:val="auto"/>
              </w:rPr>
            </w:pPr>
          </w:p>
        </w:tc>
        <w:tc>
          <w:tcPr>
            <w:tcW w:w="1460" w:type="dxa"/>
            <w:vAlign w:val="bottom"/>
            <w:tcBorders>
              <w:right w:val="single" w:sz="8" w:color="auto"/>
            </w:tcBorders>
            <w:shd w:val="clear" w:color="auto" w:fill="AEAAAA"/>
          </w:tcPr>
          <w:p>
            <w:pPr>
              <w:ind w:left="540"/>
              <w:spacing w:after="0"/>
              <w:rPr>
                <w:sz w:val="20"/>
                <w:szCs w:val="20"/>
                <w:color w:val="auto"/>
              </w:rPr>
            </w:pPr>
            <w:r>
              <w:rPr>
                <w:rFonts w:ascii="Times New Roman" w:cs="Times New Roman" w:eastAsia="Times New Roman" w:hAnsi="Times New Roman"/>
                <w:sz w:val="17"/>
                <w:szCs w:val="17"/>
                <w:b w:val="1"/>
                <w:bCs w:val="1"/>
                <w:color w:val="auto"/>
              </w:rPr>
              <w:t>Rate</w:t>
            </w:r>
          </w:p>
        </w:tc>
      </w:tr>
      <w:tr>
        <w:trPr>
          <w:trHeight w:val="413"/>
        </w:trPr>
        <w:tc>
          <w:tcPr>
            <w:tcW w:w="3940" w:type="dxa"/>
            <w:vAlign w:val="bottom"/>
            <w:tcBorders>
              <w:left w:val="single" w:sz="8" w:color="auto"/>
              <w:bottom w:val="single" w:sz="8" w:color="auto"/>
            </w:tcBorders>
            <w:shd w:val="clear" w:color="auto" w:fill="AEAAAA"/>
          </w:tcPr>
          <w:p>
            <w:pPr>
              <w:spacing w:after="0"/>
              <w:rPr>
                <w:sz w:val="24"/>
                <w:szCs w:val="24"/>
                <w:color w:val="auto"/>
              </w:rPr>
            </w:pPr>
          </w:p>
        </w:tc>
        <w:tc>
          <w:tcPr>
            <w:tcW w:w="540" w:type="dxa"/>
            <w:vAlign w:val="bottom"/>
            <w:tcBorders>
              <w:bottom w:val="single" w:sz="8" w:color="auto"/>
              <w:right w:val="single" w:sz="8" w:color="auto"/>
            </w:tcBorders>
            <w:shd w:val="clear" w:color="auto" w:fill="AEAAAA"/>
          </w:tcPr>
          <w:p>
            <w:pPr>
              <w:spacing w:after="0"/>
              <w:rPr>
                <w:sz w:val="24"/>
                <w:szCs w:val="24"/>
                <w:color w:val="auto"/>
              </w:rPr>
            </w:pPr>
          </w:p>
        </w:tc>
        <w:tc>
          <w:tcPr>
            <w:tcW w:w="3560" w:type="dxa"/>
            <w:vAlign w:val="bottom"/>
            <w:tcBorders>
              <w:bottom w:val="single" w:sz="8" w:color="auto"/>
              <w:right w:val="single" w:sz="8" w:color="auto"/>
            </w:tcBorders>
            <w:shd w:val="clear" w:color="auto" w:fill="AEAAAA"/>
          </w:tcPr>
          <w:p>
            <w:pPr>
              <w:spacing w:after="0"/>
              <w:rPr>
                <w:sz w:val="24"/>
                <w:szCs w:val="24"/>
                <w:color w:val="auto"/>
              </w:rPr>
            </w:pPr>
          </w:p>
        </w:tc>
        <w:tc>
          <w:tcPr>
            <w:tcW w:w="1800" w:type="dxa"/>
            <w:vAlign w:val="bottom"/>
            <w:tcBorders>
              <w:bottom w:val="single" w:sz="8" w:color="auto"/>
            </w:tcBorders>
            <w:shd w:val="clear" w:color="auto" w:fill="AEAAAA"/>
          </w:tcPr>
          <w:p>
            <w:pPr>
              <w:spacing w:after="0"/>
              <w:rPr>
                <w:sz w:val="24"/>
                <w:szCs w:val="24"/>
                <w:color w:val="auto"/>
              </w:rPr>
            </w:pPr>
          </w:p>
        </w:tc>
        <w:tc>
          <w:tcPr>
            <w:tcW w:w="140" w:type="dxa"/>
            <w:vAlign w:val="bottom"/>
            <w:tcBorders>
              <w:bottom w:val="single" w:sz="8" w:color="auto"/>
              <w:right w:val="single" w:sz="8" w:color="auto"/>
            </w:tcBorders>
            <w:shd w:val="clear" w:color="auto" w:fill="AEAAAA"/>
          </w:tcPr>
          <w:p>
            <w:pPr>
              <w:spacing w:after="0"/>
              <w:rPr>
                <w:sz w:val="24"/>
                <w:szCs w:val="24"/>
                <w:color w:val="auto"/>
              </w:rPr>
            </w:pPr>
          </w:p>
        </w:tc>
        <w:tc>
          <w:tcPr>
            <w:tcW w:w="1460" w:type="dxa"/>
            <w:vAlign w:val="bottom"/>
            <w:tcBorders>
              <w:bottom w:val="single" w:sz="8" w:color="auto"/>
              <w:right w:val="single" w:sz="8" w:color="auto"/>
            </w:tcBorders>
            <w:shd w:val="clear" w:color="auto" w:fill="AEAAAA"/>
          </w:tcPr>
          <w:p>
            <w:pPr>
              <w:spacing w:after="0"/>
              <w:rPr>
                <w:sz w:val="24"/>
                <w:szCs w:val="24"/>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Three Phase Construction Line,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$5,745,457</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6/6/2023</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4.1%</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MasTec North America,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$8,421,153</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7/31/2022</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3.0%</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34"/>
              <w:spacing w:after="0"/>
              <w:rPr>
                <w:sz w:val="20"/>
                <w:szCs w:val="20"/>
                <w:color w:val="auto"/>
              </w:rPr>
            </w:pPr>
            <w:r>
              <w:rPr>
                <w:rFonts w:ascii="Times New Roman" w:cs="Times New Roman" w:eastAsia="Times New Roman" w:hAnsi="Times New Roman"/>
                <w:sz w:val="17"/>
                <w:szCs w:val="17"/>
                <w:color w:val="auto"/>
              </w:rPr>
              <w:t>EC Source Services, LLC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$11,746,344</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7/31/2023</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2.0%</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MasTec Network Solutions, LLC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$11,269,431</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5/31/2024</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4.8%</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Wanzek Construction,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$4,579,334</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6/12/2023</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3.1%</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34"/>
              <w:spacing w:after="0"/>
              <w:rPr>
                <w:sz w:val="20"/>
                <w:szCs w:val="20"/>
                <w:color w:val="auto"/>
              </w:rPr>
            </w:pPr>
            <w:r>
              <w:rPr>
                <w:rFonts w:ascii="Times New Roman" w:cs="Times New Roman" w:eastAsia="Times New Roman" w:hAnsi="Times New Roman"/>
                <w:sz w:val="17"/>
                <w:szCs w:val="17"/>
                <w:color w:val="auto"/>
              </w:rPr>
              <w:t>Precision Pipeline, LLC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$77,318,467</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6/19/2023</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4.8%</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Pumpco,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$61,257,641</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5/31/2023</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4.2%</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MasTec North America,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$211,649</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12/1/2019</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3.3%</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MasTec North America,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$18,871,535</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5/31/2023</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2.9%</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MasTec North America,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$12,214,558</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5/31/2023</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5.0%</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MasTec North America,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$5,531,324</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1/31/2024</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3.6%</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MasTec North America,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$4,765,614</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1/18/2022</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3.8%</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MasTec North America,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$8,479,041</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11/1/2023</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4.5%</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34"/>
              <w:spacing w:after="0"/>
              <w:rPr>
                <w:sz w:val="20"/>
                <w:szCs w:val="20"/>
                <w:color w:val="auto"/>
              </w:rPr>
            </w:pPr>
            <w:r>
              <w:rPr>
                <w:rFonts w:ascii="Times New Roman" w:cs="Times New Roman" w:eastAsia="Times New Roman" w:hAnsi="Times New Roman"/>
                <w:sz w:val="17"/>
                <w:szCs w:val="17"/>
                <w:color w:val="auto"/>
              </w:rPr>
              <w:t>Energy Erectors,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$34,872</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9/30/2022</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1.9%</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Mastec Canada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$5,933,742</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12/30/2022</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3.1%</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Cash Construction Company,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$3,432,501</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2/28/2023</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3.9%</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26"/>
        </w:trPr>
        <w:tc>
          <w:tcPr>
            <w:tcW w:w="3940" w:type="dxa"/>
            <w:vAlign w:val="bottom"/>
            <w:tcBorders>
              <w:left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Kingsley Constructors, Inc.</w:t>
            </w:r>
          </w:p>
        </w:tc>
        <w:tc>
          <w:tcPr>
            <w:tcW w:w="54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$12,942,980</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5/31/2022</w:t>
            </w:r>
          </w:p>
        </w:tc>
        <w:tc>
          <w:tcPr>
            <w:tcW w:w="1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4.3%</w:t>
            </w:r>
          </w:p>
        </w:tc>
      </w:tr>
      <w:tr>
        <w:trPr>
          <w:trHeight w:val="26"/>
        </w:trPr>
        <w:tc>
          <w:tcPr>
            <w:tcW w:w="39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Other Credit Facilities:</w:t>
      </w:r>
    </w:p>
    <w:p>
      <w:pPr>
        <w:spacing w:after="0" w:line="249" w:lineRule="exact"/>
        <w:rPr>
          <w:sz w:val="20"/>
          <w:szCs w:val="20"/>
          <w:color w:val="auto"/>
        </w:rPr>
      </w:pPr>
    </w:p>
    <w:p>
      <w:pPr>
        <w:ind w:left="620" w:right="20" w:hanging="307"/>
        <w:spacing w:after="0" w:line="270" w:lineRule="auto"/>
        <w:tabs>
          <w:tab w:leader="none" w:pos="62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outstanding under the credit facility between Mastec Canada, Inc., Mastec Canada Projects, Inc. and HSBC Bank Canada, with an aggregate commitment amount of C$20,000,000.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40"/>
          </w:cols>
          <w:pgMar w:left="240" w:top="599" w:right="21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SCHEDULE 7.08</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EXISTING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599" w:right="2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SCHEDULE 7.09</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EXISTING BURDENSOME AGREEMENTS</w:t>
      </w:r>
    </w:p>
    <w:p>
      <w:pPr>
        <w:spacing w:after="0" w:line="200" w:lineRule="exact"/>
        <w:rPr>
          <w:sz w:val="20"/>
          <w:szCs w:val="20"/>
          <w:color w:val="auto"/>
        </w:rPr>
      </w:pPr>
    </w:p>
    <w:p>
      <w:pPr>
        <w:spacing w:after="0" w:line="273" w:lineRule="exact"/>
        <w:rPr>
          <w:sz w:val="20"/>
          <w:szCs w:val="20"/>
          <w:color w:val="auto"/>
        </w:rPr>
      </w:pPr>
    </w:p>
    <w:p>
      <w:pPr>
        <w:ind w:left="620" w:hanging="307"/>
        <w:spacing w:after="0"/>
        <w:tabs>
          <w:tab w:leader="none" w:pos="62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Senior Notes Indenture.</w:t>
      </w:r>
    </w:p>
    <w:p>
      <w:pPr>
        <w:spacing w:after="0" w:line="314" w:lineRule="exact"/>
        <w:rPr>
          <w:rFonts w:ascii="Times New Roman" w:cs="Times New Roman" w:eastAsia="Times New Roman" w:hAnsi="Times New Roman"/>
          <w:sz w:val="21"/>
          <w:szCs w:val="21"/>
          <w:color w:val="auto"/>
        </w:rPr>
      </w:pPr>
    </w:p>
    <w:p>
      <w:pPr>
        <w:ind w:left="620" w:hanging="307"/>
        <w:spacing w:after="0" w:line="270" w:lineRule="auto"/>
        <w:tabs>
          <w:tab w:leader="none" w:pos="62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outstanding under the credit facility between Mastec Canada, Inc., Mastec Canada Projects, Inc. and HSBC Bank Canada, with an aggregate commitment amount of C$20,000,000.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US\19817124.6</w:t>
      </w:r>
    </w:p>
    <w:p>
      <w:pPr>
        <w:sectPr>
          <w:pgSz w:w="11900" w:h="16838" w:orient="portrait"/>
          <w:cols w:equalWidth="0" w:num="1">
            <w:col w:w="11420"/>
          </w:cols>
          <w:pgMar w:left="240" w:top="599" w:right="2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SCHEDULE 10.02</w:t>
      </w:r>
    </w:p>
    <w:p>
      <w:pPr>
        <w:spacing w:after="0" w:line="2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ADMINISTRATIVE AGENT’S OFFICE;</w:t>
      </w:r>
    </w:p>
    <w:p>
      <w:pPr>
        <w:spacing w:after="0" w:line="3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b w:val="1"/>
          <w:bCs w:val="1"/>
          <w:color w:val="auto"/>
        </w:rPr>
        <w:t>CERTAIN ADDRESSES FOR NOTICES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COMPANY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MasTec,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800 S. Douglas Road, Suite 1200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Coral Gables, FL 33134</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1"/>
          <w:szCs w:val="21"/>
          <w:color w:val="auto"/>
        </w:rPr>
        <w:t>Attention:</w:t>
        <w:tab/>
        <w:t>Albert De Cardenas, Secretary and General Counsel</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Telephone:</w:t>
        <w:tab/>
        <w:t>305-406-1849</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Telecopier:</w:t>
        <w:tab/>
        <w:t>305-406-1907</w:t>
      </w:r>
    </w:p>
    <w:p>
      <w:pPr>
        <w:spacing w:after="0" w:line="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albert.decardenas@mastec.com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and</w:t>
      </w:r>
    </w:p>
    <w:p>
      <w:pPr>
        <w:spacing w:after="0" w:line="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1"/>
          <w:szCs w:val="21"/>
          <w:color w:val="auto"/>
        </w:rPr>
        <w:t>Attention:</w:t>
        <w:tab/>
        <w:t>Paul DiMarco, Vice President Corporate Finance and Treasurer</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Telephone:</w:t>
        <w:tab/>
        <w:t>305-406-1885</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Telecopier:</w:t>
        <w:tab/>
        <w:t>305-406-1947</w:t>
      </w:r>
    </w:p>
    <w:p>
      <w:pPr>
        <w:spacing w:after="0" w:line="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paul.dimarco@mastec.com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Website Address: www.mastec.com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U.S. Taxpayer Identification Number(s): 65-0829355</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DESIGNATED BORROWER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MasTec North America,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800 S. Douglas Road, Suite 1200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Coral Gables, FL 33134</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1"/>
          <w:szCs w:val="21"/>
          <w:color w:val="auto"/>
        </w:rPr>
        <w:t>Attention:</w:t>
        <w:tab/>
        <w:t>Albert De Cardenas, Secretary and General Counsel</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Telephone:</w:t>
        <w:tab/>
        <w:t>305-406-1849</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Telecopier:</w:t>
        <w:tab/>
        <w:t>305-406-1907</w:t>
      </w:r>
    </w:p>
    <w:p>
      <w:pPr>
        <w:spacing w:after="0" w:line="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albert.decardenas@mastec.com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and</w:t>
      </w:r>
    </w:p>
    <w:p>
      <w:pPr>
        <w:spacing w:after="0" w:line="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1"/>
          <w:szCs w:val="21"/>
          <w:color w:val="auto"/>
        </w:rPr>
        <w:t>Attention:</w:t>
        <w:tab/>
        <w:t>Paul DiMarco, Vice President Corporate Finance and Treasurer</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Telephone:</w:t>
        <w:tab/>
        <w:t>305-406-1885</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Telecopier:</w:t>
        <w:tab/>
        <w:t>305-406-1947</w:t>
      </w:r>
    </w:p>
    <w:p>
      <w:pPr>
        <w:spacing w:after="0" w:line="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paul.dimarco@mastec.com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Website Address: www.mastec.com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U.S. Taxpayer Identification Number(s): 65-0829357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121295946</w:t>
      </w:r>
    </w:p>
    <w:p>
      <w:pPr>
        <w:sectPr>
          <w:pgSz w:w="11900" w:h="16838" w:orient="portrait"/>
          <w:cols w:equalWidth="0" w:num="1">
            <w:col w:w="11420"/>
          </w:cols>
          <w:pgMar w:left="240" w:top="599" w:right="2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1"/>
          <w:szCs w:val="21"/>
          <w:b w:val="1"/>
          <w:bCs w:val="1"/>
          <w:u w:val="single" w:color="auto"/>
          <w:color w:val="auto"/>
        </w:rPr>
        <w:t>ADMINISTRATIVE AGENT: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Administrative Agent’s Office (daily borrowing/repaying activity, billing and fee activity):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900 W. Trade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Mailcode: NC1-026-06-04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Charlotte, NC 28255-0001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Mail Code: NC1-001-04-39</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0"/>
          <w:szCs w:val="20"/>
          <w:color w:val="auto"/>
        </w:rPr>
        <w:t>Brittany Sheppard</w:t>
      </w:r>
    </w:p>
    <w:p>
      <w:pPr>
        <w:spacing w:after="0" w:line="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1"/>
          <w:szCs w:val="21"/>
          <w:color w:val="auto"/>
        </w:rPr>
        <w:t>Telephone:</w:t>
      </w:r>
      <w:r>
        <w:rPr>
          <w:sz w:val="20"/>
          <w:szCs w:val="20"/>
          <w:color w:val="auto"/>
        </w:rPr>
        <w:tab/>
      </w:r>
      <w:r>
        <w:rPr>
          <w:rFonts w:ascii="Times New Roman" w:cs="Times New Roman" w:eastAsia="Times New Roman" w:hAnsi="Times New Roman"/>
          <w:sz w:val="20"/>
          <w:szCs w:val="20"/>
          <w:color w:val="auto"/>
        </w:rPr>
        <w:t>980-683-5401</w:t>
      </w:r>
    </w:p>
    <w:p>
      <w:pPr>
        <w:spacing w:after="0" w:line="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1"/>
          <w:szCs w:val="21"/>
          <w:color w:val="auto"/>
        </w:rPr>
        <w:t>Telecopier:</w:t>
      </w:r>
      <w:r>
        <w:rPr>
          <w:sz w:val="20"/>
          <w:szCs w:val="20"/>
          <w:color w:val="auto"/>
        </w:rPr>
        <w:tab/>
      </w:r>
      <w:r>
        <w:rPr>
          <w:rFonts w:ascii="Times New Roman" w:cs="Times New Roman" w:eastAsia="Times New Roman" w:hAnsi="Times New Roman"/>
          <w:sz w:val="20"/>
          <w:szCs w:val="20"/>
          <w:color w:val="auto"/>
        </w:rPr>
        <w:t>704-409-0550</w:t>
      </w:r>
    </w:p>
    <w:p>
      <w:pPr>
        <w:spacing w:after="0" w:line="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brittany.n.sheppard@bofa.com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Wire Instructions: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Bank of America, N.A.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Account No.: 1366072250600</w:t>
      </w:r>
    </w:p>
    <w:p>
      <w:pPr>
        <w:spacing w:after="0" w:line="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1"/>
          <w:szCs w:val="21"/>
          <w:color w:val="auto"/>
        </w:rPr>
        <w:t>Reference:</w:t>
        <w:tab/>
        <w:t>MasTec, Inc.</w:t>
      </w:r>
    </w:p>
    <w:p>
      <w:pPr>
        <w:spacing w:after="0" w:line="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1"/>
          <w:szCs w:val="21"/>
          <w:color w:val="auto"/>
        </w:rPr>
        <w:t>Attention:</w:t>
        <w:tab/>
        <w:t>Wire Clearing Acct for Syn Loans - LIQ</w:t>
      </w:r>
    </w:p>
    <w:p>
      <w:pPr>
        <w:spacing w:after="0" w:line="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1"/>
          <w:szCs w:val="21"/>
          <w:color w:val="auto"/>
        </w:rPr>
        <w:t>ABA No.:</w:t>
      </w:r>
      <w:r>
        <w:rPr>
          <w:sz w:val="20"/>
          <w:szCs w:val="20"/>
          <w:color w:val="auto"/>
        </w:rPr>
        <w:tab/>
      </w:r>
      <w:r>
        <w:rPr>
          <w:rFonts w:ascii="Times New Roman" w:cs="Times New Roman" w:eastAsia="Times New Roman" w:hAnsi="Times New Roman"/>
          <w:sz w:val="20"/>
          <w:szCs w:val="20"/>
          <w:color w:val="auto"/>
        </w:rPr>
        <w:t>026009593</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Other Notices as Administrative Agent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(Agency related questions, financial reporting requirements, bank group related issues, etc):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Primary Contact: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Agency Management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135 South LaSalle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Mailcode: IL4-135-09-61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Chicago, Illinois 60603</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0"/>
          <w:szCs w:val="20"/>
          <w:color w:val="auto"/>
        </w:rPr>
        <w:t>Felicia Brinson, Agency Management Officer</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Telephone:</w:t>
        <w:tab/>
        <w:t>312-828-7299</w:t>
      </w:r>
    </w:p>
    <w:p>
      <w:pPr>
        <w:spacing w:after="0" w:line="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1"/>
          <w:szCs w:val="21"/>
          <w:color w:val="auto"/>
        </w:rPr>
        <w:t>Telecopier:</w:t>
      </w:r>
      <w:r>
        <w:rPr>
          <w:sz w:val="20"/>
          <w:szCs w:val="20"/>
          <w:color w:val="auto"/>
        </w:rPr>
        <w:tab/>
      </w:r>
      <w:r>
        <w:rPr>
          <w:rFonts w:ascii="Times New Roman" w:cs="Times New Roman" w:eastAsia="Times New Roman" w:hAnsi="Times New Roman"/>
          <w:sz w:val="20"/>
          <w:szCs w:val="20"/>
          <w:color w:val="auto"/>
        </w:rPr>
        <w:t>877-216-2432</w:t>
      </w:r>
    </w:p>
    <w:p>
      <w:pPr>
        <w:spacing w:after="0" w:line="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felicia.brinson@bofa.com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Secondary Contact: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Agency Management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135 South LaSalle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Chicago, Illinois 60603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Mailcode: IL4-135-09-61</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0"/>
          <w:szCs w:val="20"/>
          <w:color w:val="auto"/>
        </w:rPr>
        <w:t>Elizabeth Uribe</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Telephone:</w:t>
        <w:tab/>
        <w:t>312-828-5060</w:t>
      </w:r>
    </w:p>
    <w:p>
      <w:pPr>
        <w:spacing w:after="0" w:line="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1"/>
          <w:szCs w:val="21"/>
          <w:color w:val="auto"/>
        </w:rPr>
        <w:t>Telecopier:</w:t>
      </w:r>
      <w:r>
        <w:rPr>
          <w:sz w:val="20"/>
          <w:szCs w:val="20"/>
          <w:color w:val="auto"/>
        </w:rPr>
        <w:tab/>
      </w:r>
      <w:r>
        <w:rPr>
          <w:rFonts w:ascii="Times New Roman" w:cs="Times New Roman" w:eastAsia="Times New Roman" w:hAnsi="Times New Roman"/>
          <w:sz w:val="20"/>
          <w:szCs w:val="20"/>
          <w:color w:val="auto"/>
        </w:rPr>
        <w:t>877-216-2432</w:t>
      </w:r>
    </w:p>
    <w:p>
      <w:pPr>
        <w:spacing w:after="0" w:line="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elizabeth.uribe@bofa.com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121295946</w:t>
      </w:r>
    </w:p>
    <w:p>
      <w:pPr>
        <w:sectPr>
          <w:pgSz w:w="11900" w:h="16838" w:orient="portrait"/>
          <w:cols w:equalWidth="0" w:num="1">
            <w:col w:w="10219"/>
          </w:cols>
          <w:pgMar w:left="240" w:top="601"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21"/>
          <w:szCs w:val="21"/>
          <w:b w:val="1"/>
          <w:bCs w:val="1"/>
          <w:u w:val="single" w:color="auto"/>
          <w:color w:val="auto"/>
        </w:rPr>
        <w:t>CREDIT CONTACT: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701 Brickell Avenue</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0"/>
          <w:szCs w:val="20"/>
          <w:color w:val="auto"/>
        </w:rPr>
        <w:t>Julia Rocawhich</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Telephone:</w:t>
        <w:tab/>
        <w:t>305-347-2770</w:t>
      </w:r>
    </w:p>
    <w:p>
      <w:pPr>
        <w:spacing w:after="0" w:line="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1"/>
          <w:szCs w:val="21"/>
          <w:color w:val="auto"/>
        </w:rPr>
        <w:t>Telecopier:</w:t>
      </w:r>
      <w:r>
        <w:rPr>
          <w:sz w:val="20"/>
          <w:szCs w:val="20"/>
          <w:color w:val="auto"/>
        </w:rPr>
        <w:tab/>
      </w:r>
      <w:r>
        <w:rPr>
          <w:rFonts w:ascii="Times New Roman" w:cs="Times New Roman" w:eastAsia="Times New Roman" w:hAnsi="Times New Roman"/>
          <w:sz w:val="20"/>
          <w:szCs w:val="20"/>
          <w:color w:val="auto"/>
        </w:rPr>
        <w:t>877-216-2432</w:t>
      </w:r>
    </w:p>
    <w:p>
      <w:pPr>
        <w:spacing w:after="0" w:line="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julia.rocawhich@baml.com</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L/C ISSUER: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Trade Operations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 Fleet Way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Scranton, PA 18507</w:t>
      </w:r>
    </w:p>
    <w:p>
      <w:pPr>
        <w:spacing w:after="0" w:line="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1"/>
          <w:szCs w:val="21"/>
          <w:color w:val="auto"/>
        </w:rPr>
        <w:t>Attention:</w:t>
        <w:tab/>
        <w:t>Kimberly Corcoran</w:t>
      </w:r>
    </w:p>
    <w:p>
      <w:pPr>
        <w:spacing w:after="0" w:line="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kimberly.corcoran@bofa.com</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SWING LINE LENDER: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900 W. Trade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Mailcode: NC1-026-06-04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Charlotte, NC 28255-0001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Mail Code: NC1-001-04-39</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0"/>
          <w:szCs w:val="20"/>
          <w:color w:val="auto"/>
        </w:rPr>
        <w:t>Brittany Sheppard</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Telephone:</w:t>
        <w:tab/>
        <w:t>980-683-5401</w:t>
      </w:r>
    </w:p>
    <w:p>
      <w:pPr>
        <w:spacing w:after="0" w:line="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1"/>
          <w:szCs w:val="21"/>
          <w:color w:val="auto"/>
        </w:rPr>
        <w:t>Telecopier:</w:t>
      </w:r>
      <w:r>
        <w:rPr>
          <w:sz w:val="20"/>
          <w:szCs w:val="20"/>
          <w:color w:val="auto"/>
        </w:rPr>
        <w:tab/>
      </w:r>
      <w:r>
        <w:rPr>
          <w:rFonts w:ascii="Times New Roman" w:cs="Times New Roman" w:eastAsia="Times New Roman" w:hAnsi="Times New Roman"/>
          <w:sz w:val="20"/>
          <w:szCs w:val="20"/>
          <w:color w:val="auto"/>
        </w:rPr>
        <w:t>704-409-0550</w:t>
      </w:r>
    </w:p>
    <w:p>
      <w:pPr>
        <w:spacing w:after="0" w:line="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brittany.n.sheppard@bofa.com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121295946</w:t>
      </w:r>
    </w:p>
    <w:p>
      <w:pPr>
        <w:sectPr>
          <w:pgSz w:w="11900" w:h="16838" w:orient="portrait"/>
          <w:cols w:equalWidth="0" w:num="1">
            <w:col w:w="10219"/>
          </w:cols>
          <w:pgMar w:left="240" w:top="847" w:right="1440"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A</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LOAN NOTICE</w:t>
      </w:r>
    </w:p>
    <w:p>
      <w:pPr>
        <w:spacing w:after="0" w:line="215"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20"/>
          <w:szCs w:val="20"/>
          <w:color w:val="auto"/>
        </w:rPr>
        <w:t>Date: ___________, _____</w:t>
      </w:r>
    </w:p>
    <w:p>
      <w:pPr>
        <w:spacing w:after="0" w:line="22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To:</w:t>
      </w:r>
      <w:r>
        <w:rPr>
          <w:sz w:val="20"/>
          <w:szCs w:val="20"/>
          <w:color w:val="auto"/>
        </w:rPr>
        <w:tab/>
      </w:r>
      <w:r>
        <w:rPr>
          <w:rFonts w:ascii="Times New Roman" w:cs="Times New Roman" w:eastAsia="Times New Roman" w:hAnsi="Times New Roman"/>
          <w:sz w:val="20"/>
          <w:szCs w:val="20"/>
          <w:color w:val="auto"/>
        </w:rPr>
        <w:t>Bank of America, N.A., as Administrative Agent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Reference is made to that certain Fifth Amended and Restated Credit Agreement, dated as of [_________], 2019 (as amended,</w:t>
      </w:r>
    </w:p>
    <w:p>
      <w:pPr>
        <w:spacing w:after="0" w:line="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restated, extended, supplemented or otherwise modified in writing from time to time,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terms defined therein being used herein as therein defined), among MasTec, Inc., a Florida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MasTec North America, Inc., a Florida corporation (together with the Company, collectively,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Lenders from time to time party thereto, and Bank of America, N.A., as Administrative Agent, L/C Issuer and Swing Line Lender.</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Company hereby requests, on behalf of itself or, if applicable, the Borrower referenced in item 6 below (select one):</w:t>
      </w:r>
    </w:p>
    <w:p>
      <w:pPr>
        <w:spacing w:after="0" w:line="211" w:lineRule="exact"/>
        <w:rPr>
          <w:sz w:val="20"/>
          <w:szCs w:val="20"/>
          <w:color w:val="auto"/>
        </w:rPr>
      </w:pPr>
    </w:p>
    <w:p>
      <w:pPr>
        <w:ind w:left="1080" w:right="4180" w:hanging="456"/>
        <w:spacing w:after="0" w:line="270" w:lineRule="auto"/>
        <w:tabs>
          <w:tab w:leader="none" w:pos="991" w:val="left"/>
        </w:tabs>
        <w:numPr>
          <w:ilvl w:val="0"/>
          <w:numId w:val="249"/>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A Borrowing of [Committed (USD) Loans][Committed (MC) Loans][Term Loans]</w:t>
      </w:r>
    </w:p>
    <w:p>
      <w:pPr>
        <w:spacing w:after="0" w:line="50" w:lineRule="exact"/>
        <w:rPr>
          <w:rFonts w:ascii="MS PGothic" w:cs="MS PGothic" w:eastAsia="MS PGothic" w:hAnsi="MS PGothic"/>
          <w:sz w:val="21"/>
          <w:szCs w:val="21"/>
          <w:color w:val="auto"/>
        </w:rPr>
      </w:pPr>
    </w:p>
    <w:p>
      <w:pPr>
        <w:ind w:left="1080" w:right="3940" w:hanging="456"/>
        <w:spacing w:after="0" w:line="270" w:lineRule="auto"/>
        <w:tabs>
          <w:tab w:leader="none" w:pos="1043" w:val="left"/>
        </w:tabs>
        <w:numPr>
          <w:ilvl w:val="0"/>
          <w:numId w:val="249"/>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A conversion or continuation of [Committed (USD) Loans][Committed (MC) Loans][Term Loans]</w:t>
      </w:r>
    </w:p>
    <w:p>
      <w:pPr>
        <w:spacing w:after="0" w:line="258" w:lineRule="exact"/>
        <w:rPr>
          <w:sz w:val="20"/>
          <w:szCs w:val="20"/>
          <w:color w:val="auto"/>
        </w:rPr>
      </w:pPr>
    </w:p>
    <w:p>
      <w:pPr>
        <w:ind w:left="1080" w:hanging="456"/>
        <w:spacing w:after="0"/>
        <w:tabs>
          <w:tab w:leader="none" w:pos="1080"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_________________________ (a Business Day).</w:t>
      </w:r>
    </w:p>
    <w:p>
      <w:pPr>
        <w:spacing w:after="0" w:line="210" w:lineRule="exact"/>
        <w:rPr>
          <w:rFonts w:ascii="Times New Roman" w:cs="Times New Roman" w:eastAsia="Times New Roman" w:hAnsi="Times New Roman"/>
          <w:sz w:val="21"/>
          <w:szCs w:val="21"/>
          <w:color w:val="auto"/>
        </w:rPr>
      </w:pPr>
    </w:p>
    <w:p>
      <w:pPr>
        <w:ind w:left="1080" w:hanging="456"/>
        <w:spacing w:after="0"/>
        <w:tabs>
          <w:tab w:leader="none" w:pos="1080"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amount of _______________.</w:t>
      </w:r>
    </w:p>
    <w:p>
      <w:pPr>
        <w:spacing w:after="0" w:line="210" w:lineRule="exact"/>
        <w:rPr>
          <w:rFonts w:ascii="Times New Roman" w:cs="Times New Roman" w:eastAsia="Times New Roman" w:hAnsi="Times New Roman"/>
          <w:sz w:val="21"/>
          <w:szCs w:val="21"/>
          <w:color w:val="auto"/>
        </w:rPr>
      </w:pPr>
    </w:p>
    <w:p>
      <w:pPr>
        <w:ind w:left="1080" w:hanging="456"/>
        <w:spacing w:after="0"/>
        <w:tabs>
          <w:tab w:leader="none" w:pos="1080"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Comprised of ______________________________.</w:t>
      </w:r>
    </w:p>
    <w:p>
      <w:pPr>
        <w:spacing w:after="0" w:line="2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1"/>
          <w:szCs w:val="21"/>
          <w:color w:val="auto"/>
        </w:rPr>
        <w:t>[Type of Committed Loan or Term Loan requested]</w:t>
      </w:r>
    </w:p>
    <w:p>
      <w:pPr>
        <w:spacing w:after="0" w:line="189" w:lineRule="exact"/>
        <w:rPr>
          <w:sz w:val="20"/>
          <w:szCs w:val="20"/>
          <w:color w:val="auto"/>
        </w:rPr>
      </w:pPr>
    </w:p>
    <w:p>
      <w:pPr>
        <w:ind w:left="1080" w:hanging="456"/>
        <w:spacing w:after="0"/>
        <w:tabs>
          <w:tab w:leader="none" w:pos="108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following currency ______________________.</w:t>
      </w:r>
    </w:p>
    <w:p>
      <w:pPr>
        <w:spacing w:after="0" w:line="202" w:lineRule="exact"/>
        <w:rPr>
          <w:rFonts w:ascii="Times New Roman" w:cs="Times New Roman" w:eastAsia="Times New Roman" w:hAnsi="Times New Roman"/>
          <w:sz w:val="21"/>
          <w:szCs w:val="21"/>
          <w:color w:val="auto"/>
        </w:rPr>
      </w:pPr>
    </w:p>
    <w:p>
      <w:pPr>
        <w:ind w:left="1080" w:hanging="456"/>
        <w:spacing w:after="0"/>
        <w:tabs>
          <w:tab w:leader="none" w:pos="108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Eurocurrency Rate Loans: with an Interest Period of _____________________ [days][months].</w:t>
      </w:r>
      <w:r>
        <w:rPr>
          <w:rFonts w:ascii="Times New Roman" w:cs="Times New Roman" w:eastAsia="Times New Roman" w:hAnsi="Times New Roman"/>
          <w:sz w:val="27"/>
          <w:szCs w:val="27"/>
          <w:color w:val="auto"/>
          <w:vertAlign w:val="superscript"/>
        </w:rPr>
        <w:t>1</w:t>
      </w:r>
    </w:p>
    <w:p>
      <w:pPr>
        <w:spacing w:after="0" w:line="145" w:lineRule="exact"/>
        <w:rPr>
          <w:rFonts w:ascii="Times New Roman" w:cs="Times New Roman" w:eastAsia="Times New Roman" w:hAnsi="Times New Roman"/>
          <w:sz w:val="21"/>
          <w:szCs w:val="21"/>
          <w:color w:val="auto"/>
        </w:rPr>
      </w:pPr>
    </w:p>
    <w:p>
      <w:pPr>
        <w:ind w:left="1080" w:hanging="456"/>
        <w:spacing w:after="0"/>
        <w:tabs>
          <w:tab w:leader="none" w:pos="108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behalf of _________________________ </w:t>
      </w:r>
      <w:r>
        <w:rPr>
          <w:rFonts w:ascii="Times New Roman" w:cs="Times New Roman" w:eastAsia="Times New Roman" w:hAnsi="Times New Roman"/>
          <w:sz w:val="21"/>
          <w:szCs w:val="21"/>
          <w:i w:val="1"/>
          <w:iCs w:val="1"/>
          <w:color w:val="auto"/>
        </w:rPr>
        <w:t>[insert name of applicable Borrower]</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w:t>
      </w:r>
    </w:p>
    <w:p>
      <w:pPr>
        <w:spacing w:after="0" w:line="108" w:lineRule="exact"/>
        <w:rPr>
          <w:sz w:val="20"/>
          <w:szCs w:val="20"/>
          <w:color w:val="auto"/>
        </w:rPr>
      </w:pPr>
    </w:p>
    <w:p>
      <w:pPr>
        <w:ind w:right="520" w:firstLine="624"/>
        <w:spacing w:after="0" w:line="214" w:lineRule="auto"/>
        <w:tabs>
          <w:tab w:leader="none" w:pos="698" w:val="left"/>
        </w:tabs>
        <w:numPr>
          <w:ilvl w:val="0"/>
          <w:numId w:val="2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If denominated in Dollars or Canadian Dollars, select one, two, three or six months or such other period that is twelve months or less requested by the Company and consented to by all the applicable Lenders. If denominated in Mexican Pesos, select 28, 91, 182 days.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Loan Notice</w:t>
      </w:r>
    </w:p>
    <w:p>
      <w:pPr>
        <w:spacing w:after="0"/>
        <w:rPr>
          <w:sz w:val="20"/>
          <w:szCs w:val="20"/>
          <w:color w:val="auto"/>
        </w:rPr>
      </w:pPr>
      <w:r>
        <w:rPr>
          <w:rFonts w:ascii="Times New Roman" w:cs="Times New Roman" w:eastAsia="Times New Roman" w:hAnsi="Times New Roman"/>
          <w:sz w:val="16"/>
          <w:szCs w:val="16"/>
          <w:color w:val="auto"/>
        </w:rPr>
        <w:t>120564890</w:t>
      </w:r>
    </w:p>
    <w:p>
      <w:pPr>
        <w:sectPr>
          <w:pgSz w:w="11900" w:h="16838" w:orient="portrait"/>
          <w:cols w:equalWidth="0" w:num="1">
            <w:col w:w="11420"/>
          </w:cols>
          <w:pgMar w:left="240" w:top="599" w:right="239" w:bottom="1440" w:gutter="0" w:footer="0" w:header="0"/>
        </w:sectPr>
      </w:pPr>
    </w:p>
    <w:bookmarkStart w:id="286" w:name="page287"/>
    <w:bookmarkEnd w:id="286"/>
    <w:p>
      <w:pPr>
        <w:jc w:val="both"/>
        <w:ind w:firstLine="620"/>
        <w:spacing w:after="0" w:line="235" w:lineRule="auto"/>
        <w:rPr>
          <w:sz w:val="20"/>
          <w:szCs w:val="20"/>
          <w:color w:val="auto"/>
        </w:rPr>
      </w:pPr>
      <w:r>
        <w:rPr>
          <w:rFonts w:ascii="Times New Roman" w:cs="Times New Roman" w:eastAsia="Times New Roman" w:hAnsi="Times New Roman"/>
          <w:sz w:val="21"/>
          <w:szCs w:val="21"/>
          <w:color w:val="auto"/>
        </w:rPr>
        <w:t xml:space="preserve">[The [Committed (USD) Borrowing][Committed (MC) Borrowing], if any, requested herein complies with the proviso to the first sentence of </w:t>
      </w:r>
      <w:r>
        <w:rPr>
          <w:rFonts w:ascii="Times New Roman" w:cs="Times New Roman" w:eastAsia="Times New Roman" w:hAnsi="Times New Roman"/>
          <w:sz w:val="21"/>
          <w:szCs w:val="21"/>
          <w:u w:val="single" w:color="auto"/>
          <w:color w:val="auto"/>
        </w:rPr>
        <w:t>Section 2.01[(a)][(b)]</w:t>
      </w:r>
      <w:r>
        <w:rPr>
          <w:rFonts w:ascii="Times New Roman" w:cs="Times New Roman" w:eastAsia="Times New Roman" w:hAnsi="Times New Roman"/>
          <w:sz w:val="21"/>
          <w:szCs w:val="21"/>
          <w:color w:val="auto"/>
        </w:rPr>
        <w:t xml:space="preserve"> of the Agreement.]</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The Company hereby represents that the [Committed (USD) Borrowing] [Committed (MC) Borrowing][Borrowing of Term Loans] requested hereunder will not cause the aggregate amount of secured Indebtedness of the Company and its Restricted Subsidiaries under credit facilities to exceed the Senior Notes Indenture Secured Debt Cap.</w:t>
      </w:r>
    </w:p>
    <w:p>
      <w:pPr>
        <w:spacing w:after="0" w:line="2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MASTEC, INC.</w:t>
      </w:r>
    </w:p>
    <w:p>
      <w:pPr>
        <w:spacing w:after="0" w:line="21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__________________________</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________________________</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To be deleted when used in connection with a Borrowing of Term Loans.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Loan Notice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606" w:right="2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B</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SWING LINE LOAN NOTICE</w:t>
      </w:r>
    </w:p>
    <w:p>
      <w:pPr>
        <w:spacing w:after="0" w:line="215"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20"/>
          <w:szCs w:val="20"/>
          <w:color w:val="auto"/>
        </w:rPr>
        <w:t>Date: ___________, _____</w:t>
      </w:r>
    </w:p>
    <w:p>
      <w:pPr>
        <w:spacing w:after="0" w:line="22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To:</w:t>
      </w:r>
      <w:r>
        <w:rPr>
          <w:sz w:val="20"/>
          <w:szCs w:val="20"/>
          <w:color w:val="auto"/>
        </w:rPr>
        <w:tab/>
      </w:r>
      <w:r>
        <w:rPr>
          <w:rFonts w:ascii="Times New Roman" w:cs="Times New Roman" w:eastAsia="Times New Roman" w:hAnsi="Times New Roman"/>
          <w:sz w:val="20"/>
          <w:szCs w:val="20"/>
          <w:color w:val="auto"/>
        </w:rPr>
        <w:t>Bank of America, N.A., as Swing Line Lender</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Bank of America, N.A., as Administrative Agent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Reference is made to that certain Fifth Amended and Restated Credit Agreement, dated as of [_________], 2019 (as amended,</w:t>
      </w:r>
    </w:p>
    <w:p>
      <w:pPr>
        <w:spacing w:after="0" w:line="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restated, extended, supplemented or otherwise modified in writing from time to time,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terms defined therein being used herein as therein defined), among MasTec, Inc., a Florida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MasTec North America, Inc., a Florida corporation (together with the Company, collectively,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Lenders from time to time party thereto, and Bank of America, N.A., as Administrative Agent, L/C Issuer and Swing Line Lender.</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requests a Swing Line Loan:</w:t>
      </w:r>
    </w:p>
    <w:p>
      <w:pPr>
        <w:spacing w:after="0" w:line="211" w:lineRule="exact"/>
        <w:rPr>
          <w:sz w:val="20"/>
          <w:szCs w:val="20"/>
          <w:color w:val="auto"/>
        </w:rPr>
      </w:pPr>
    </w:p>
    <w:p>
      <w:pPr>
        <w:ind w:left="980" w:hanging="356"/>
        <w:spacing w:after="0"/>
        <w:tabs>
          <w:tab w:leader="none" w:pos="980"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_________________________ (a Business Day).</w:t>
      </w:r>
    </w:p>
    <w:p>
      <w:pPr>
        <w:spacing w:after="0" w:line="210" w:lineRule="exact"/>
        <w:rPr>
          <w:rFonts w:ascii="Times New Roman" w:cs="Times New Roman" w:eastAsia="Times New Roman" w:hAnsi="Times New Roman"/>
          <w:sz w:val="21"/>
          <w:szCs w:val="21"/>
          <w:color w:val="auto"/>
        </w:rPr>
      </w:pPr>
    </w:p>
    <w:p>
      <w:pPr>
        <w:ind w:left="980" w:hanging="356"/>
        <w:spacing w:after="0"/>
        <w:tabs>
          <w:tab w:leader="none" w:pos="980"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amount of $_______________.</w:t>
      </w:r>
    </w:p>
    <w:p>
      <w:pPr>
        <w:spacing w:after="0" w:line="211"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 xml:space="preserve">The Swing Line Borrowing requested herein complies with the requirements of the provisos to the first sentence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2.04(a)</w:t>
      </w:r>
      <w:r>
        <w:rPr>
          <w:rFonts w:ascii="Times New Roman" w:cs="Times New Roman" w:eastAsia="Times New Roman" w:hAnsi="Times New Roman"/>
          <w:sz w:val="21"/>
          <w:szCs w:val="21"/>
          <w:color w:val="auto"/>
        </w:rPr>
        <w:t xml:space="preserve"> of the Agreement. The Company hereby represents that the Swing Line Borrowing requested hereunder will not cause the aggregate amount of secured Indebtedness of the Company and its Restricted Subsidiaries under credit facilities to exceed the Senior Notes Indenture Secured Debt Cap.</w:t>
      </w:r>
    </w:p>
    <w:p>
      <w:pPr>
        <w:spacing w:after="0" w:line="27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MASTEC, INC.</w:t>
      </w:r>
    </w:p>
    <w:p>
      <w:pPr>
        <w:spacing w:after="0" w:line="21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_______________________</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____________________</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 _____________________</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Swing Line Loan Notice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599" w:right="2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C</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NOTE</w:t>
      </w:r>
    </w:p>
    <w:p>
      <w:pPr>
        <w:spacing w:after="0" w:line="21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20"/>
          <w:szCs w:val="20"/>
          <w:color w:val="auto"/>
        </w:rPr>
        <w:t>_______________, 20__</w:t>
      </w:r>
    </w:p>
    <w:p>
      <w:pPr>
        <w:spacing w:after="0" w:line="222" w:lineRule="exact"/>
        <w:rPr>
          <w:sz w:val="20"/>
          <w:szCs w:val="20"/>
          <w:color w:val="auto"/>
        </w:rPr>
      </w:pPr>
    </w:p>
    <w:p>
      <w:pPr>
        <w:jc w:val="both"/>
        <w:ind w:firstLine="620"/>
        <w:spacing w:after="0" w:line="267" w:lineRule="auto"/>
        <w:rPr>
          <w:sz w:val="20"/>
          <w:szCs w:val="20"/>
          <w:color w:val="auto"/>
        </w:rPr>
      </w:pPr>
      <w:r>
        <w:rPr>
          <w:rFonts w:ascii="Times New Roman" w:cs="Times New Roman" w:eastAsia="Times New Roman" w:hAnsi="Times New Roman"/>
          <w:sz w:val="20"/>
          <w:szCs w:val="20"/>
          <w:color w:val="auto"/>
        </w:rPr>
        <w:t>FOR VALUE RECEIVED, each of the undersigned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hereby, jointly and severally, promises to pay to _____________________ or its registered assigns (the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in accordance with the provisions of the</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Agreement (as hereinafter defined), the principal amount of each Loan from time to time made by the Lender to any Borrower under that certain Fifth Amended and Restated Credit Agreement, dated as of [_________], 2019 (as amended, restated, extended, supplemented or</w:t>
      </w:r>
    </w:p>
    <w:p>
      <w:pPr>
        <w:jc w:val="both"/>
        <w:spacing w:after="0" w:line="246" w:lineRule="auto"/>
        <w:rPr>
          <w:sz w:val="20"/>
          <w:szCs w:val="20"/>
          <w:color w:val="auto"/>
        </w:rPr>
      </w:pPr>
      <w:r>
        <w:rPr>
          <w:rFonts w:ascii="Times New Roman" w:cs="Times New Roman" w:eastAsia="Times New Roman" w:hAnsi="Times New Roman"/>
          <w:sz w:val="21"/>
          <w:szCs w:val="21"/>
          <w:color w:val="auto"/>
        </w:rPr>
        <w:t>otherwise modified in writing from time to time,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terms defined therein being used herein as therein defined), among the Borrowers, the Lenders from time to time party thereto, and Bank of America, N.A., as Administrative Agent, L/C Issuer and Swing Line Lender.</w:t>
      </w:r>
    </w:p>
    <w:p>
      <w:pPr>
        <w:spacing w:after="0" w:line="179"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20"/>
          <w:szCs w:val="20"/>
          <w:color w:val="auto"/>
        </w:rPr>
        <w:t xml:space="preserve">Each Borrower, jointly and severally, promises to pay interest on the unpaid principal amount of each Loan from the date of such Loan until such principal amount is paid in full, at such interest rates and at such times as provided in the Agreement. Except as otherwise provided in </w:t>
      </w:r>
      <w:r>
        <w:rPr>
          <w:rFonts w:ascii="Times New Roman" w:cs="Times New Roman" w:eastAsia="Times New Roman" w:hAnsi="Times New Roman"/>
          <w:sz w:val="20"/>
          <w:szCs w:val="20"/>
          <w:u w:val="single" w:color="auto"/>
          <w:color w:val="auto"/>
        </w:rPr>
        <w:t>Section 2.04(f)</w:t>
      </w:r>
      <w:r>
        <w:rPr>
          <w:rFonts w:ascii="Times New Roman" w:cs="Times New Roman" w:eastAsia="Times New Roman" w:hAnsi="Times New Roman"/>
          <w:sz w:val="20"/>
          <w:szCs w:val="20"/>
          <w:color w:val="auto"/>
        </w:rPr>
        <w:t xml:space="preserve"> of the Agreement with respect to Swing Line Loans, all payments of principal and interest shall be made to the Administrative Agent for the account of the Lender and in Same Day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62"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This Note (this “</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is one of the Notes referred to in the Agreement, is entitled to the benefits thereof and may be prepaid in whole or in part subject to the terms and conditions provided therein. This Note is also entitled to the benefits of the Subsidiary Guaranty and is secured by the Collateral. Upon the occurrence and continuation of one or more of the Events of Default specified in the Agreement, all amounts then remaining unpaid on this Note shall become, or may be declared to be, immediately due and payable all as provided in the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7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Each Borrower, for itself, its successors and assigns, hereby waives diligence, presentment, protest and demand and notice of protest, demand, dishonor and non-payment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Note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600" w:right="239" w:bottom="1440" w:gutter="0" w:footer="0" w:header="0"/>
        </w:sectPr>
      </w:pPr>
    </w:p>
    <w:bookmarkStart w:id="289" w:name="page290"/>
    <w:bookmarkEnd w:id="289"/>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THIS NOTE SHALL BE GOVERNED BY AND CONSTRUED IN ACCORDANCE WITH THE LAWS OF THE STATE OF NEW YORK, WITHOUT REGARD TO CONFLICTS OF LAW THAT WOULD REQUIRE THE APPLICATION OF THE LAWS OF ANOTHER JURISDICTION.</w:t>
      </w:r>
    </w:p>
    <w:p>
      <w:pPr>
        <w:spacing w:after="0" w:line="16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MASTEC, INC.</w:t>
      </w:r>
    </w:p>
    <w:p>
      <w:pPr>
        <w:spacing w:after="0" w:line="24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_______________________</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____________________</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 _____________________</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MASTEC NORTH AMERICA, INC.</w:t>
      </w:r>
    </w:p>
    <w:p>
      <w:pPr>
        <w:spacing w:after="0" w:line="24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_______________________</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____________________</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Note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605" w:right="239" w:bottom="1440" w:gutter="0" w:footer="0" w:header="0"/>
        </w:sectPr>
      </w:pPr>
    </w:p>
    <w:bookmarkStart w:id="290" w:name="page291"/>
    <w:bookmarkEnd w:id="290"/>
    <w:tbl>
      <w:tblPr>
        <w:tblLayout w:type="fixed"/>
        <w:tblInd w:w="340" w:type="dxa"/>
        <w:tblCellMar>
          <w:top w:w="0" w:type="dxa"/>
          <w:left w:w="0" w:type="dxa"/>
          <w:bottom w:w="0" w:type="dxa"/>
          <w:right w:w="0" w:type="dxa"/>
        </w:tblCellMar>
      </w:tblPr>
      <w:tr>
        <w:trPr>
          <w:trHeight w:val="272"/>
        </w:trPr>
        <w:tc>
          <w:tcPr>
            <w:tcW w:w="1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760" w:type="dxa"/>
            <w:vAlign w:val="bottom"/>
            <w:gridSpan w:val="4"/>
          </w:tcPr>
          <w:p>
            <w:pPr>
              <w:ind w:left="80"/>
              <w:spacing w:after="0"/>
              <w:rPr>
                <w:sz w:val="20"/>
                <w:szCs w:val="20"/>
                <w:color w:val="auto"/>
              </w:rPr>
            </w:pPr>
            <w:r>
              <w:rPr>
                <w:rFonts w:ascii="Times New Roman" w:cs="Times New Roman" w:eastAsia="Times New Roman" w:hAnsi="Times New Roman"/>
                <w:sz w:val="21"/>
                <w:szCs w:val="21"/>
                <w:b w:val="1"/>
                <w:bCs w:val="1"/>
                <w:color w:val="auto"/>
              </w:rPr>
              <w:t>LOANS AND PAYMENTS WITH RESPECT THERETO</w:t>
            </w:r>
          </w:p>
        </w:tc>
        <w:tc>
          <w:tcPr>
            <w:tcW w:w="1460" w:type="dxa"/>
            <w:vAlign w:val="bottom"/>
          </w:tcPr>
          <w:p>
            <w:pPr>
              <w:spacing w:after="0"/>
              <w:rPr>
                <w:sz w:val="23"/>
                <w:szCs w:val="23"/>
                <w:color w:val="auto"/>
              </w:rPr>
            </w:pPr>
          </w:p>
        </w:tc>
      </w:tr>
      <w:tr>
        <w:trPr>
          <w:trHeight w:val="697"/>
        </w:trPr>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Amount of</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3"/>
        </w:trPr>
        <w:tc>
          <w:tcPr>
            <w:tcW w:w="1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60" w:type="dxa"/>
            <w:vAlign w:val="bottom"/>
          </w:tcPr>
          <w:p>
            <w:pPr>
              <w:jc w:val="center"/>
              <w:spacing w:after="0" w:line="233" w:lineRule="exact"/>
              <w:rPr>
                <w:sz w:val="20"/>
                <w:szCs w:val="20"/>
                <w:color w:val="auto"/>
              </w:rPr>
            </w:pPr>
            <w:r>
              <w:rPr>
                <w:rFonts w:ascii="Times New Roman" w:cs="Times New Roman" w:eastAsia="Times New Roman" w:hAnsi="Times New Roman"/>
                <w:sz w:val="21"/>
                <w:szCs w:val="21"/>
                <w:b w:val="1"/>
                <w:bCs w:val="1"/>
                <w:color w:val="auto"/>
                <w:w w:val="97"/>
              </w:rPr>
              <w:t>Currency and</w:t>
            </w:r>
          </w:p>
        </w:tc>
        <w:tc>
          <w:tcPr>
            <w:tcW w:w="1620" w:type="dxa"/>
            <w:vAlign w:val="bottom"/>
          </w:tcPr>
          <w:p>
            <w:pPr>
              <w:spacing w:after="0"/>
              <w:rPr>
                <w:sz w:val="20"/>
                <w:szCs w:val="20"/>
                <w:color w:val="auto"/>
              </w:rPr>
            </w:pPr>
          </w:p>
        </w:tc>
        <w:tc>
          <w:tcPr>
            <w:tcW w:w="1500" w:type="dxa"/>
            <w:vAlign w:val="bottom"/>
          </w:tcPr>
          <w:p>
            <w:pPr>
              <w:jc w:val="center"/>
              <w:spacing w:after="0" w:line="233" w:lineRule="exact"/>
              <w:rPr>
                <w:sz w:val="20"/>
                <w:szCs w:val="20"/>
                <w:color w:val="auto"/>
              </w:rPr>
            </w:pPr>
            <w:r>
              <w:rPr>
                <w:rFonts w:ascii="Times New Roman" w:cs="Times New Roman" w:eastAsia="Times New Roman" w:hAnsi="Times New Roman"/>
                <w:sz w:val="21"/>
                <w:szCs w:val="21"/>
                <w:b w:val="1"/>
                <w:bCs w:val="1"/>
                <w:color w:val="auto"/>
                <w:w w:val="98"/>
              </w:rPr>
              <w:t>Principal or</w:t>
            </w:r>
          </w:p>
        </w:tc>
        <w:tc>
          <w:tcPr>
            <w:tcW w:w="1880" w:type="dxa"/>
            <w:vAlign w:val="bottom"/>
          </w:tcPr>
          <w:p>
            <w:pPr>
              <w:jc w:val="center"/>
              <w:spacing w:after="0" w:line="233" w:lineRule="exact"/>
              <w:rPr>
                <w:sz w:val="20"/>
                <w:szCs w:val="20"/>
                <w:color w:val="auto"/>
              </w:rPr>
            </w:pPr>
            <w:r>
              <w:rPr>
                <w:rFonts w:ascii="Times New Roman" w:cs="Times New Roman" w:eastAsia="Times New Roman" w:hAnsi="Times New Roman"/>
                <w:sz w:val="21"/>
                <w:szCs w:val="21"/>
                <w:b w:val="1"/>
                <w:bCs w:val="1"/>
                <w:color w:val="auto"/>
                <w:w w:val="98"/>
              </w:rPr>
              <w:t>Outstanding</w:t>
            </w:r>
          </w:p>
        </w:tc>
        <w:tc>
          <w:tcPr>
            <w:tcW w:w="1460" w:type="dxa"/>
            <w:vAlign w:val="bottom"/>
          </w:tcPr>
          <w:p>
            <w:pPr>
              <w:spacing w:after="0"/>
              <w:rPr>
                <w:sz w:val="20"/>
                <w:szCs w:val="20"/>
                <w:color w:val="auto"/>
              </w:rPr>
            </w:pPr>
          </w:p>
        </w:tc>
      </w:tr>
      <w:tr>
        <w:trPr>
          <w:trHeight w:val="233"/>
        </w:trPr>
        <w:tc>
          <w:tcPr>
            <w:tcW w:w="1200" w:type="dxa"/>
            <w:vAlign w:val="bottom"/>
          </w:tcPr>
          <w:p>
            <w:pPr>
              <w:spacing w:after="0"/>
              <w:rPr>
                <w:sz w:val="20"/>
                <w:szCs w:val="20"/>
                <w:color w:val="auto"/>
              </w:rPr>
            </w:pPr>
          </w:p>
        </w:tc>
        <w:tc>
          <w:tcPr>
            <w:tcW w:w="1540" w:type="dxa"/>
            <w:vAlign w:val="bottom"/>
          </w:tcPr>
          <w:p>
            <w:pPr>
              <w:jc w:val="center"/>
              <w:ind w:left="97"/>
              <w:spacing w:after="0" w:line="233" w:lineRule="exact"/>
              <w:rPr>
                <w:sz w:val="20"/>
                <w:szCs w:val="20"/>
                <w:color w:val="auto"/>
              </w:rPr>
            </w:pPr>
            <w:r>
              <w:rPr>
                <w:rFonts w:ascii="Times New Roman" w:cs="Times New Roman" w:eastAsia="Times New Roman" w:hAnsi="Times New Roman"/>
                <w:sz w:val="21"/>
                <w:szCs w:val="21"/>
                <w:b w:val="1"/>
                <w:bCs w:val="1"/>
                <w:color w:val="auto"/>
                <w:w w:val="98"/>
              </w:rPr>
              <w:t>Type of Loan</w:t>
            </w:r>
          </w:p>
        </w:tc>
        <w:tc>
          <w:tcPr>
            <w:tcW w:w="1760" w:type="dxa"/>
            <w:vAlign w:val="bottom"/>
          </w:tcPr>
          <w:p>
            <w:pPr>
              <w:jc w:val="center"/>
              <w:spacing w:after="0" w:line="233" w:lineRule="exact"/>
              <w:rPr>
                <w:sz w:val="20"/>
                <w:szCs w:val="20"/>
                <w:color w:val="auto"/>
              </w:rPr>
            </w:pPr>
            <w:r>
              <w:rPr>
                <w:rFonts w:ascii="Times New Roman" w:cs="Times New Roman" w:eastAsia="Times New Roman" w:hAnsi="Times New Roman"/>
                <w:sz w:val="21"/>
                <w:szCs w:val="21"/>
                <w:b w:val="1"/>
                <w:bCs w:val="1"/>
                <w:color w:val="auto"/>
                <w:w w:val="98"/>
              </w:rPr>
              <w:t>Amount of Loan</w:t>
            </w:r>
          </w:p>
        </w:tc>
        <w:tc>
          <w:tcPr>
            <w:tcW w:w="1620" w:type="dxa"/>
            <w:vAlign w:val="bottom"/>
          </w:tcPr>
          <w:p>
            <w:pPr>
              <w:jc w:val="center"/>
              <w:spacing w:after="0" w:line="233" w:lineRule="exact"/>
              <w:rPr>
                <w:sz w:val="20"/>
                <w:szCs w:val="20"/>
                <w:color w:val="auto"/>
              </w:rPr>
            </w:pPr>
            <w:r>
              <w:rPr>
                <w:rFonts w:ascii="Times New Roman" w:cs="Times New Roman" w:eastAsia="Times New Roman" w:hAnsi="Times New Roman"/>
                <w:sz w:val="21"/>
                <w:szCs w:val="21"/>
                <w:b w:val="1"/>
                <w:bCs w:val="1"/>
                <w:color w:val="auto"/>
                <w:w w:val="98"/>
              </w:rPr>
              <w:t>End of Interest</w:t>
            </w:r>
          </w:p>
        </w:tc>
        <w:tc>
          <w:tcPr>
            <w:tcW w:w="1500" w:type="dxa"/>
            <w:vAlign w:val="bottom"/>
          </w:tcPr>
          <w:p>
            <w:pPr>
              <w:jc w:val="center"/>
              <w:spacing w:after="0" w:line="233" w:lineRule="exact"/>
              <w:rPr>
                <w:sz w:val="20"/>
                <w:szCs w:val="20"/>
                <w:color w:val="auto"/>
              </w:rPr>
            </w:pPr>
            <w:r>
              <w:rPr>
                <w:rFonts w:ascii="Times New Roman" w:cs="Times New Roman" w:eastAsia="Times New Roman" w:hAnsi="Times New Roman"/>
                <w:sz w:val="21"/>
                <w:szCs w:val="21"/>
                <w:b w:val="1"/>
                <w:bCs w:val="1"/>
                <w:color w:val="auto"/>
                <w:w w:val="98"/>
              </w:rPr>
              <w:t>Interest Paid</w:t>
            </w:r>
          </w:p>
        </w:tc>
        <w:tc>
          <w:tcPr>
            <w:tcW w:w="1880" w:type="dxa"/>
            <w:vAlign w:val="bottom"/>
          </w:tcPr>
          <w:p>
            <w:pPr>
              <w:jc w:val="center"/>
              <w:spacing w:after="0" w:line="233" w:lineRule="exact"/>
              <w:rPr>
                <w:sz w:val="20"/>
                <w:szCs w:val="20"/>
                <w:color w:val="auto"/>
              </w:rPr>
            </w:pPr>
            <w:r>
              <w:rPr>
                <w:rFonts w:ascii="Times New Roman" w:cs="Times New Roman" w:eastAsia="Times New Roman" w:hAnsi="Times New Roman"/>
                <w:sz w:val="21"/>
                <w:szCs w:val="21"/>
                <w:b w:val="1"/>
                <w:bCs w:val="1"/>
                <w:color w:val="auto"/>
                <w:w w:val="97"/>
              </w:rPr>
              <w:t>Principal Balance</w:t>
            </w:r>
          </w:p>
        </w:tc>
        <w:tc>
          <w:tcPr>
            <w:tcW w:w="1460" w:type="dxa"/>
            <w:vAlign w:val="bottom"/>
          </w:tcPr>
          <w:p>
            <w:pPr>
              <w:jc w:val="center"/>
              <w:ind w:left="17"/>
              <w:spacing w:after="0" w:line="233" w:lineRule="exact"/>
              <w:rPr>
                <w:sz w:val="20"/>
                <w:szCs w:val="20"/>
                <w:color w:val="auto"/>
              </w:rPr>
            </w:pPr>
            <w:r>
              <w:rPr>
                <w:rFonts w:ascii="Times New Roman" w:cs="Times New Roman" w:eastAsia="Times New Roman" w:hAnsi="Times New Roman"/>
                <w:sz w:val="21"/>
                <w:szCs w:val="21"/>
                <w:b w:val="1"/>
                <w:bCs w:val="1"/>
                <w:color w:val="auto"/>
                <w:w w:val="99"/>
              </w:rPr>
              <w:t>Notation Made</w:t>
            </w:r>
          </w:p>
        </w:tc>
      </w:tr>
      <w:tr>
        <w:trPr>
          <w:trHeight w:val="272"/>
        </w:trPr>
        <w:tc>
          <w:tcPr>
            <w:tcW w:w="1200" w:type="dxa"/>
            <w:vAlign w:val="bottom"/>
          </w:tcPr>
          <w:p>
            <w:pPr>
              <w:jc w:val="center"/>
              <w:ind w:right="157"/>
              <w:spacing w:after="0"/>
              <w:rPr>
                <w:sz w:val="20"/>
                <w:szCs w:val="20"/>
                <w:color w:val="auto"/>
              </w:rPr>
            </w:pPr>
            <w:r>
              <w:rPr>
                <w:rFonts w:ascii="Times New Roman" w:cs="Times New Roman" w:eastAsia="Times New Roman" w:hAnsi="Times New Roman"/>
                <w:sz w:val="21"/>
                <w:szCs w:val="21"/>
                <w:b w:val="1"/>
                <w:bCs w:val="1"/>
                <w:color w:val="auto"/>
                <w:w w:val="99"/>
              </w:rPr>
              <w:t>Date</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b w:val="1"/>
                <w:bCs w:val="1"/>
                <w:color w:val="auto"/>
                <w:w w:val="97"/>
              </w:rPr>
              <w:t>Made</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Made</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Period</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This Date</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This Date</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b w:val="1"/>
                <w:bCs w:val="1"/>
                <w:color w:val="auto"/>
              </w:rPr>
              <w:t>By</w:t>
            </w:r>
          </w:p>
        </w:tc>
      </w:tr>
      <w:tr>
        <w:trPr>
          <w:trHeight w:val="568"/>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r>
        <w:trPr>
          <w:trHeight w:val="284"/>
        </w:trPr>
        <w:tc>
          <w:tcPr>
            <w:tcW w:w="1200" w:type="dxa"/>
            <w:vAlign w:val="bottom"/>
          </w:tcPr>
          <w:p>
            <w:pPr>
              <w:jc w:val="center"/>
              <w:ind w:right="177"/>
              <w:spacing w:after="0"/>
              <w:rPr>
                <w:sz w:val="20"/>
                <w:szCs w:val="20"/>
                <w:color w:val="auto"/>
              </w:rPr>
            </w:pPr>
            <w:r>
              <w:rPr>
                <w:rFonts w:ascii="Times New Roman" w:cs="Times New Roman" w:eastAsia="Times New Roman" w:hAnsi="Times New Roman"/>
                <w:sz w:val="21"/>
                <w:szCs w:val="21"/>
                <w:color w:val="auto"/>
                <w:w w:val="97"/>
              </w:rPr>
              <w:t>_________</w:t>
            </w:r>
          </w:p>
        </w:tc>
        <w:tc>
          <w:tcPr>
            <w:tcW w:w="15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9"/>
              </w:rPr>
              <w:t>_________</w:t>
            </w:r>
          </w:p>
        </w:tc>
        <w:tc>
          <w:tcPr>
            <w:tcW w:w="17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6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5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w:t>
            </w:r>
          </w:p>
        </w:tc>
        <w:tc>
          <w:tcPr>
            <w:tcW w:w="18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__________</w:t>
            </w:r>
          </w:p>
        </w:tc>
        <w:tc>
          <w:tcPr>
            <w:tcW w:w="1460" w:type="dxa"/>
            <w:vAlign w:val="bottom"/>
          </w:tcPr>
          <w:p>
            <w:pPr>
              <w:jc w:val="center"/>
              <w:ind w:left="17"/>
              <w:spacing w:after="0"/>
              <w:rPr>
                <w:sz w:val="20"/>
                <w:szCs w:val="20"/>
                <w:color w:val="auto"/>
              </w:rPr>
            </w:pPr>
            <w:r>
              <w:rPr>
                <w:rFonts w:ascii="Times New Roman" w:cs="Times New Roman" w:eastAsia="Times New Roman" w:hAnsi="Times New Roman"/>
                <w:sz w:val="21"/>
                <w:szCs w:val="21"/>
                <w:color w:val="auto"/>
                <w:w w:val="99"/>
              </w:rPr>
              <w:t>_________</w:t>
            </w:r>
          </w:p>
        </w:tc>
      </w:tr>
    </w:tbl>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C-3</w:t>
      </w:r>
    </w:p>
    <w:p>
      <w:pPr>
        <w:spacing w:after="0" w:line="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Form of Note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300"/>
          </w:cols>
          <w:pgMar w:left="240" w:top="704" w:right="35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COMPLIANCE CERTIFICATE</w:t>
      </w:r>
    </w:p>
    <w:p>
      <w:pPr>
        <w:spacing w:after="0" w:line="215"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color w:val="auto"/>
        </w:rPr>
        <w:t>Financial Statement Date: _______________, _____</w:t>
      </w:r>
    </w:p>
    <w:p>
      <w:pPr>
        <w:spacing w:after="0" w:line="22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To:</w:t>
      </w:r>
      <w:r>
        <w:rPr>
          <w:sz w:val="20"/>
          <w:szCs w:val="20"/>
          <w:color w:val="auto"/>
        </w:rPr>
        <w:tab/>
      </w:r>
      <w:r>
        <w:rPr>
          <w:rFonts w:ascii="Times New Roman" w:cs="Times New Roman" w:eastAsia="Times New Roman" w:hAnsi="Times New Roman"/>
          <w:sz w:val="20"/>
          <w:szCs w:val="20"/>
          <w:color w:val="auto"/>
        </w:rPr>
        <w:t>Bank of America, N.A., as Administrative Agent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Reference is made to that certain Fifth Amended and Restated Credit Agreement, dated as of [_________], 2019 (as amended,</w:t>
      </w:r>
    </w:p>
    <w:p>
      <w:pPr>
        <w:spacing w:after="0" w:line="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restated, extended, supplemented or otherwise modified in writing from time to time,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terms defined therein being used herein as therein defined), among MasTec, Inc., a Florida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MasTec North America, Inc., a Florida corporation (together with the Company, collectively,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Lenders from time to time party thereto, and Bank of America, N.A., as Administrative Agent, L/C Issuer and Swing Line Lender.</w:t>
      </w:r>
    </w:p>
    <w:p>
      <w:pPr>
        <w:spacing w:after="0" w:line="181" w:lineRule="exact"/>
        <w:rPr>
          <w:sz w:val="20"/>
          <w:szCs w:val="20"/>
          <w:color w:val="auto"/>
        </w:rPr>
      </w:pPr>
    </w:p>
    <w:p>
      <w:pPr>
        <w:ind w:left="620"/>
        <w:spacing w:after="0"/>
        <w:tabs>
          <w:tab w:leader="none" w:pos="1200" w:val="left"/>
          <w:tab w:leader="none" w:pos="2500" w:val="left"/>
          <w:tab w:leader="none" w:pos="3780" w:val="left"/>
          <w:tab w:leader="none" w:pos="4660" w:val="left"/>
          <w:tab w:leader="none" w:pos="5500" w:val="left"/>
          <w:tab w:leader="none" w:pos="6460" w:val="left"/>
          <w:tab w:leader="none" w:pos="6900" w:val="left"/>
          <w:tab w:leader="none" w:pos="7360" w:val="left"/>
          <w:tab w:leader="none" w:pos="7880" w:val="left"/>
          <w:tab w:leader="none" w:pos="8520" w:val="left"/>
          <w:tab w:leader="none" w:pos="9320" w:val="left"/>
          <w:tab w:leader="none" w:pos="9920" w:val="left"/>
          <w:tab w:leader="none" w:pos="10720" w:val="left"/>
          <w:tab w:leader="none" w:pos="11140" w:val="left"/>
        </w:tabs>
        <w:rPr>
          <w:sz w:val="20"/>
          <w:szCs w:val="20"/>
          <w:color w:val="auto"/>
        </w:rPr>
      </w:pPr>
      <w:r>
        <w:rPr>
          <w:rFonts w:ascii="Times New Roman" w:cs="Times New Roman" w:eastAsia="Times New Roman" w:hAnsi="Times New Roman"/>
          <w:sz w:val="21"/>
          <w:szCs w:val="21"/>
          <w:color w:val="auto"/>
        </w:rPr>
        <w:t>The</w:t>
        <w:tab/>
        <w:t>undersigned</w:t>
        <w:tab/>
        <w:t>Responsible</w:t>
        <w:tab/>
        <w:t>Officer</w:t>
        <w:tab/>
        <w:t>hereby</w:t>
        <w:tab/>
        <w:t>certifies</w:t>
        <w:tab/>
        <w:t>as</w:t>
        <w:tab/>
        <w:t>of</w:t>
        <w:tab/>
        <w:t>the</w:t>
        <w:tab/>
        <w:t>date</w:t>
        <w:tab/>
        <w:t>hereof</w:t>
        <w:tab/>
        <w:t>that</w:t>
        <w:tab/>
        <w:t>he/she</w:t>
        <w:tab/>
        <w:t>is</w:t>
        <w:tab/>
        <w:t>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 of the Company, and that, as such, he/she is authorized to execute and deliver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certificate (this “</w:t>
      </w: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to the Administrative Agent on the behalf of the Company, and that: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 xml:space="preserve">[Use following paragraph 1 for fiscal </w:t>
      </w:r>
      <w:r>
        <w:rPr>
          <w:rFonts w:ascii="Times New Roman" w:cs="Times New Roman" w:eastAsia="Times New Roman" w:hAnsi="Times New Roman"/>
          <w:sz w:val="21"/>
          <w:szCs w:val="21"/>
          <w:b w:val="1"/>
          <w:bCs w:val="1"/>
          <w:i w:val="1"/>
          <w:iCs w:val="1"/>
          <w:color w:val="auto"/>
        </w:rPr>
        <w:t>year-end</w:t>
      </w:r>
      <w:r>
        <w:rPr>
          <w:rFonts w:ascii="Times New Roman" w:cs="Times New Roman" w:eastAsia="Times New Roman" w:hAnsi="Times New Roman"/>
          <w:sz w:val="21"/>
          <w:szCs w:val="21"/>
          <w:i w:val="1"/>
          <w:iCs w:val="1"/>
          <w:color w:val="auto"/>
        </w:rPr>
        <w:t xml:space="preserve"> financial statements]</w:t>
      </w:r>
    </w:p>
    <w:p>
      <w:pPr>
        <w:spacing w:after="0" w:line="217" w:lineRule="exact"/>
        <w:rPr>
          <w:sz w:val="20"/>
          <w:szCs w:val="20"/>
          <w:color w:val="auto"/>
        </w:rPr>
      </w:pPr>
    </w:p>
    <w:p>
      <w:pPr>
        <w:jc w:val="both"/>
        <w:ind w:firstLine="624"/>
        <w:spacing w:after="0" w:line="257" w:lineRule="auto"/>
        <w:tabs>
          <w:tab w:leader="none" w:pos="1030"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has delivered the year-end audited financial statements required by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of the Agreement for the fiscal year of the Company ended as of the above date, together with the report and opinion of an independent certified public accountant required by such section and a Reconciliation if required by such Section.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 xml:space="preserve">[Use following paragraph 1 for fiscal </w:t>
      </w:r>
      <w:r>
        <w:rPr>
          <w:rFonts w:ascii="Times New Roman" w:cs="Times New Roman" w:eastAsia="Times New Roman" w:hAnsi="Times New Roman"/>
          <w:sz w:val="21"/>
          <w:szCs w:val="21"/>
          <w:b w:val="1"/>
          <w:bCs w:val="1"/>
          <w:i w:val="1"/>
          <w:iCs w:val="1"/>
          <w:color w:val="auto"/>
        </w:rPr>
        <w:t>quarter-end</w:t>
      </w:r>
      <w:r>
        <w:rPr>
          <w:rFonts w:ascii="Times New Roman" w:cs="Times New Roman" w:eastAsia="Times New Roman" w:hAnsi="Times New Roman"/>
          <w:sz w:val="21"/>
          <w:szCs w:val="21"/>
          <w:i w:val="1"/>
          <w:iCs w:val="1"/>
          <w:color w:val="auto"/>
        </w:rPr>
        <w:t xml:space="preserve"> financial statements]</w:t>
      </w:r>
    </w:p>
    <w:p>
      <w:pPr>
        <w:spacing w:after="0" w:line="217" w:lineRule="exact"/>
        <w:rPr>
          <w:sz w:val="20"/>
          <w:szCs w:val="20"/>
          <w:color w:val="auto"/>
        </w:rPr>
      </w:pPr>
    </w:p>
    <w:p>
      <w:pPr>
        <w:jc w:val="both"/>
        <w:ind w:firstLine="624"/>
        <w:spacing w:after="0" w:line="248" w:lineRule="auto"/>
        <w:tabs>
          <w:tab w:leader="none" w:pos="1037"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has delivered the unaudited financial statements required by </w:t>
      </w:r>
      <w:r>
        <w:rPr>
          <w:rFonts w:ascii="Times New Roman" w:cs="Times New Roman" w:eastAsia="Times New Roman" w:hAnsi="Times New Roman"/>
          <w:sz w:val="21"/>
          <w:szCs w:val="21"/>
          <w:u w:val="single" w:color="auto"/>
          <w:color w:val="auto"/>
        </w:rPr>
        <w:t>Section 6.01(b)</w:t>
      </w:r>
      <w:r>
        <w:rPr>
          <w:rFonts w:ascii="Times New Roman" w:cs="Times New Roman" w:eastAsia="Times New Roman" w:hAnsi="Times New Roman"/>
          <w:sz w:val="21"/>
          <w:szCs w:val="21"/>
          <w:color w:val="auto"/>
        </w:rPr>
        <w:t xml:space="preserve"> of the Agreement for the fiscal quarter of the Company ended as of the above date and a Reconciliation if required by such Section. Such financial statements fairly present the financial condition, results of operations and cash flows of the Company and its Subsidiaries in accordance with GAAP as at such date and for such period, subject only to normal year-end audit adjustments and the absence of footnotes and such Reconciliations fairly present in all material respects the financial condition, results of operations and cash flows of the Company and its Restricted Subsidiaries in accordance with GAAP as at such date and for such period, subject only to normal year-end audit adjustments and the absence of footnotes.</w:t>
      </w:r>
    </w:p>
    <w:p>
      <w:pPr>
        <w:spacing w:after="0" w:line="178" w:lineRule="exact"/>
        <w:rPr>
          <w:rFonts w:ascii="Times New Roman" w:cs="Times New Roman" w:eastAsia="Times New Roman" w:hAnsi="Times New Roman"/>
          <w:sz w:val="21"/>
          <w:szCs w:val="21"/>
          <w:color w:val="auto"/>
        </w:rPr>
      </w:pPr>
    </w:p>
    <w:p>
      <w:pPr>
        <w:jc w:val="both"/>
        <w:ind w:firstLine="624"/>
        <w:spacing w:after="0" w:line="257" w:lineRule="auto"/>
        <w:tabs>
          <w:tab w:leader="none" w:pos="988"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 has reviewed and is familiar with the terms of the Agreement and has made, or has caused to be made under his/her supervision, a reasonably detailed review of the transactions and condition (financial or otherwise) of the Company during the accounting period covered by such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599" w:right="239" w:bottom="1440" w:gutter="0" w:footer="0" w:header="0"/>
        </w:sectPr>
      </w:pPr>
    </w:p>
    <w:bookmarkStart w:id="292" w:name="page293"/>
    <w:bookmarkEnd w:id="292"/>
    <w:p>
      <w:pPr>
        <w:jc w:val="both"/>
        <w:ind w:firstLine="624"/>
        <w:spacing w:after="0" w:line="257" w:lineRule="auto"/>
        <w:tabs>
          <w:tab w:leader="none" w:pos="1001"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review of the activities of the Company during such fiscal period has been made under the supervision of the undersigned with a view to determining whether during such fiscal period the Company performed and observed all its Obligations under the Loan Documents, and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[select one:]</w:t>
      </w:r>
    </w:p>
    <w:p>
      <w:pPr>
        <w:spacing w:after="0" w:line="213" w:lineRule="exact"/>
        <w:rPr>
          <w:sz w:val="20"/>
          <w:szCs w:val="20"/>
          <w:color w:val="auto"/>
        </w:rPr>
      </w:pPr>
    </w:p>
    <w:p>
      <w:pPr>
        <w:ind w:firstLine="620"/>
        <w:spacing w:after="0" w:line="274" w:lineRule="auto"/>
        <w:rPr>
          <w:sz w:val="20"/>
          <w:szCs w:val="20"/>
          <w:color w:val="auto"/>
        </w:rPr>
      </w:pPr>
      <w:r>
        <w:rPr>
          <w:rFonts w:ascii="Times New Roman" w:cs="Times New Roman" w:eastAsia="Times New Roman" w:hAnsi="Times New Roman"/>
          <w:sz w:val="21"/>
          <w:szCs w:val="21"/>
          <w:b w:val="1"/>
          <w:bCs w:val="1"/>
          <w:color w:val="auto"/>
        </w:rPr>
        <w:t>[to the best knowledge of the undersigned, during such fiscal period, the Company performed and observed each covenant and condition of the Loan Documents applicable to it, and no Default has occurred and is continuing.]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--or--</w:t>
      </w:r>
    </w:p>
    <w:p>
      <w:pPr>
        <w:spacing w:after="0" w:line="213" w:lineRule="exact"/>
        <w:rPr>
          <w:sz w:val="20"/>
          <w:szCs w:val="20"/>
          <w:color w:val="auto"/>
        </w:rPr>
      </w:pPr>
    </w:p>
    <w:p>
      <w:pPr>
        <w:ind w:firstLine="620"/>
        <w:spacing w:after="0" w:line="274" w:lineRule="auto"/>
        <w:rPr>
          <w:sz w:val="20"/>
          <w:szCs w:val="20"/>
          <w:color w:val="auto"/>
        </w:rPr>
      </w:pPr>
      <w:r>
        <w:rPr>
          <w:rFonts w:ascii="Times New Roman" w:cs="Times New Roman" w:eastAsia="Times New Roman" w:hAnsi="Times New Roman"/>
          <w:sz w:val="21"/>
          <w:szCs w:val="21"/>
          <w:b w:val="1"/>
          <w:bCs w:val="1"/>
          <w:color w:val="auto"/>
        </w:rPr>
        <w:t>[to the best knowledge of the undersigned, during such fiscal period, the following covenants or conditions have not been performed or observed and the following is a list of each such Default and its nature and status:]</w:t>
      </w:r>
    </w:p>
    <w:p>
      <w:pPr>
        <w:spacing w:after="0" w:line="150" w:lineRule="exact"/>
        <w:rPr>
          <w:sz w:val="20"/>
          <w:szCs w:val="20"/>
          <w:color w:val="auto"/>
        </w:rPr>
      </w:pPr>
    </w:p>
    <w:p>
      <w:pPr>
        <w:jc w:val="both"/>
        <w:ind w:firstLine="624"/>
        <w:spacing w:after="0" w:line="260" w:lineRule="auto"/>
        <w:tabs>
          <w:tab w:leader="none" w:pos="1048"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(i) the Borrowers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the Agreement and (ii) each Loan Party contained in each other Loan Document or in any document furnished at any time under or in connection with the Loan Documents, are true and correct in all material respects on and as of the date hereof, except that (A) if a qualifier relating to materiality, Material Adverse Effect or a similar concept applies, such representation or warranty shall be required to be true and correct in all material respects, (B) to the extent that such representations and warranties specifically refer to an earlier date, in which case they are true and correct as of such earlier date, and (C) except that for purposes of this Compliance Certificate, the representations and warranties contained in </w:t>
      </w:r>
      <w:r>
        <w:rPr>
          <w:rFonts w:ascii="Times New Roman" w:cs="Times New Roman" w:eastAsia="Times New Roman" w:hAnsi="Times New Roman"/>
          <w:sz w:val="20"/>
          <w:szCs w:val="20"/>
          <w:u w:val="single" w:color="auto"/>
          <w:color w:val="auto"/>
        </w:rPr>
        <w:t>subsections</w:t>
      </w:r>
    </w:p>
    <w:p>
      <w:pPr>
        <w:ind w:left="300" w:hanging="297"/>
        <w:spacing w:after="0"/>
        <w:tabs>
          <w:tab w:leader="none" w:pos="300" w:val="left"/>
        </w:tabs>
        <w:numPr>
          <w:ilvl w:val="0"/>
          <w:numId w:val="25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of the Agreement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w:t>
      </w:r>
    </w:p>
    <w:p>
      <w:pPr>
        <w:spacing w:after="0" w:line="15" w:lineRule="exact"/>
        <w:rPr>
          <w:rFonts w:ascii="Times New Roman" w:cs="Times New Roman" w:eastAsia="Times New Roman" w:hAnsi="Times New Roman"/>
          <w:sz w:val="20"/>
          <w:szCs w:val="20"/>
          <w:u w:val="single" w:color="auto"/>
          <w:color w:val="auto"/>
        </w:rPr>
      </w:pPr>
    </w:p>
    <w:p>
      <w:pPr>
        <w:ind w:firstLine="3"/>
        <w:spacing w:after="0" w:line="273" w:lineRule="auto"/>
        <w:tabs>
          <w:tab w:leader="none" w:pos="241" w:val="left"/>
        </w:tabs>
        <w:numPr>
          <w:ilvl w:val="0"/>
          <w:numId w:val="25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of the Agreement, including the statements in connection with which this Compliance Certificate is delivered.</w:t>
      </w:r>
    </w:p>
    <w:p>
      <w:pPr>
        <w:spacing w:after="0" w:line="152" w:lineRule="exact"/>
        <w:rPr>
          <w:rFonts w:ascii="Times New Roman" w:cs="Times New Roman" w:eastAsia="Times New Roman" w:hAnsi="Times New Roman"/>
          <w:sz w:val="20"/>
          <w:szCs w:val="20"/>
          <w:u w:val="single" w:color="auto"/>
          <w:color w:val="auto"/>
        </w:rPr>
      </w:pPr>
    </w:p>
    <w:p>
      <w:pPr>
        <w:ind w:firstLine="624"/>
        <w:spacing w:after="0" w:line="270" w:lineRule="auto"/>
        <w:tabs>
          <w:tab w:leader="none" w:pos="1030"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financial covenant analyses and information set forth on </w:t>
      </w:r>
      <w:r>
        <w:rPr>
          <w:rFonts w:ascii="Times New Roman" w:cs="Times New Roman" w:eastAsia="Times New Roman" w:hAnsi="Times New Roman"/>
          <w:sz w:val="21"/>
          <w:szCs w:val="21"/>
          <w:u w:val="single" w:color="auto"/>
          <w:color w:val="auto"/>
        </w:rPr>
        <w:t>Schedules 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attached hereto are true and accurate in all material respects on and as of the date of this Compliance Certificate.</w:t>
      </w:r>
    </w:p>
    <w:p>
      <w:pPr>
        <w:spacing w:after="0" w:line="154" w:lineRule="exact"/>
        <w:rPr>
          <w:rFonts w:ascii="Times New Roman" w:cs="Times New Roman" w:eastAsia="Times New Roman" w:hAnsi="Times New Roman"/>
          <w:sz w:val="21"/>
          <w:szCs w:val="21"/>
          <w:color w:val="auto"/>
        </w:rPr>
      </w:pPr>
    </w:p>
    <w:p>
      <w:pPr>
        <w:ind w:firstLine="624"/>
        <w:spacing w:after="0" w:line="270" w:lineRule="auto"/>
        <w:tabs>
          <w:tab w:leader="none" w:pos="1004"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following Loan Parties listed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attached hereto have been added to the Indemnity Agreement since the date of the last delivered Compliance Certificate.</w:t>
      </w:r>
    </w:p>
    <w:p>
      <w:pPr>
        <w:spacing w:after="0" w:line="154" w:lineRule="exact"/>
        <w:rPr>
          <w:rFonts w:ascii="Times New Roman" w:cs="Times New Roman" w:eastAsia="Times New Roman" w:hAnsi="Times New Roman"/>
          <w:sz w:val="21"/>
          <w:szCs w:val="21"/>
          <w:color w:val="auto"/>
        </w:rPr>
      </w:pPr>
    </w:p>
    <w:p>
      <w:pPr>
        <w:ind w:firstLine="624"/>
        <w:spacing w:after="0" w:line="270" w:lineRule="auto"/>
        <w:tabs>
          <w:tab w:leader="none" w:pos="1009"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calculation of the Senior Notes Indenture Secured Debt Cap set forth on </w:t>
      </w:r>
      <w:r>
        <w:rPr>
          <w:rFonts w:ascii="Times New Roman" w:cs="Times New Roman" w:eastAsia="Times New Roman" w:hAnsi="Times New Roman"/>
          <w:sz w:val="21"/>
          <w:szCs w:val="21"/>
          <w:u w:val="single" w:color="auto"/>
          <w:color w:val="auto"/>
        </w:rPr>
        <w:t>Schedule 4</w:t>
      </w:r>
      <w:r>
        <w:rPr>
          <w:rFonts w:ascii="Times New Roman" w:cs="Times New Roman" w:eastAsia="Times New Roman" w:hAnsi="Times New Roman"/>
          <w:sz w:val="21"/>
          <w:szCs w:val="21"/>
          <w:color w:val="auto"/>
        </w:rPr>
        <w:t xml:space="preserve"> attached hereto is true and accurate on and as of the date of this Compliance Certificate.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605" w:right="239" w:bottom="1440" w:gutter="0" w:footer="0" w:header="0"/>
        </w:sectPr>
      </w:pPr>
    </w:p>
    <w:bookmarkStart w:id="293" w:name="page294"/>
    <w:bookmarkEnd w:id="293"/>
    <w:p>
      <w:pPr>
        <w:ind w:left="620"/>
        <w:spacing w:after="0"/>
        <w:rPr>
          <w:sz w:val="20"/>
          <w:szCs w:val="20"/>
          <w:color w:val="auto"/>
        </w:rPr>
      </w:pPr>
      <w:r>
        <w:rPr>
          <w:rFonts w:ascii="Times New Roman" w:cs="Times New Roman" w:eastAsia="Times New Roman" w:hAnsi="Times New Roman"/>
          <w:sz w:val="20"/>
          <w:szCs w:val="20"/>
          <w:i w:val="1"/>
          <w:iCs w:val="1"/>
          <w:color w:val="auto"/>
        </w:rPr>
        <w:t xml:space="preserve">IN WITNESS WHEREOF, </w:t>
      </w:r>
      <w:r>
        <w:rPr>
          <w:rFonts w:ascii="Times New Roman" w:cs="Times New Roman" w:eastAsia="Times New Roman" w:hAnsi="Times New Roman"/>
          <w:sz w:val="20"/>
          <w:szCs w:val="20"/>
          <w:color w:val="auto"/>
        </w:rPr>
        <w:t>the undersigned has executed this Compliance Certificate as of _______________, ________</w:t>
      </w:r>
    </w:p>
    <w:p>
      <w:pPr>
        <w:spacing w:after="0" w:line="3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MASTEC, INC.</w:t>
      </w:r>
    </w:p>
    <w:p>
      <w:pPr>
        <w:spacing w:after="0" w:line="21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_______________________</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____________________</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21"/>
          <w:szCs w:val="21"/>
          <w:color w:val="auto"/>
        </w:rPr>
        <w:t>D-3</w:t>
      </w:r>
    </w:p>
    <w:p>
      <w:pPr>
        <w:spacing w:after="0" w:line="1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0540"/>
          </w:cols>
          <w:pgMar w:left="240" w:top="1053" w:right="1119" w:bottom="1440" w:gutter="0" w:footer="0" w:header="0"/>
        </w:sectPr>
      </w:pPr>
    </w:p>
    <w:bookmarkStart w:id="294" w:name="page295"/>
    <w:bookmarkEnd w:id="294"/>
    <w:p>
      <w:pPr>
        <w:ind w:left="5560"/>
        <w:spacing w:after="0"/>
        <w:rPr>
          <w:sz w:val="20"/>
          <w:szCs w:val="20"/>
          <w:color w:val="auto"/>
        </w:rPr>
      </w:pPr>
      <w:r>
        <w:rPr>
          <w:rFonts w:ascii="Times New Roman" w:cs="Times New Roman" w:eastAsia="Times New Roman" w:hAnsi="Times New Roman"/>
          <w:sz w:val="20"/>
          <w:szCs w:val="20"/>
          <w:color w:val="auto"/>
        </w:rPr>
        <w:t>For the Quarter/Year ended ___________________(“</w:t>
      </w:r>
      <w:r>
        <w:rPr>
          <w:rFonts w:ascii="Times New Roman" w:cs="Times New Roman" w:eastAsia="Times New Roman" w:hAnsi="Times New Roman"/>
          <w:sz w:val="20"/>
          <w:szCs w:val="20"/>
          <w:u w:val="single" w:color="auto"/>
          <w:color w:val="auto"/>
        </w:rPr>
        <w:t>Statement Date</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SCHEDULE 1</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to the Compliance Certificate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in 000’s)</w:t>
      </w:r>
    </w:p>
    <w:p>
      <w:pPr>
        <w:spacing w:after="0" w:line="200" w:lineRule="exact"/>
        <w:rPr>
          <w:sz w:val="20"/>
          <w:szCs w:val="20"/>
          <w:color w:val="auto"/>
        </w:rPr>
      </w:pPr>
    </w:p>
    <w:p>
      <w:pPr>
        <w:spacing w:after="0" w:line="295" w:lineRule="exact"/>
        <w:rPr>
          <w:sz w:val="20"/>
          <w:szCs w:val="20"/>
          <w:color w:val="auto"/>
        </w:rPr>
      </w:pPr>
    </w:p>
    <w:p>
      <w:pPr>
        <w:ind w:left="620" w:hanging="617"/>
        <w:spacing w:after="0"/>
        <w:tabs>
          <w:tab w:leader="none" w:pos="620" w:val="left"/>
        </w:tabs>
        <w:numPr>
          <w:ilvl w:val="0"/>
          <w:numId w:val="2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7.11 (a) – Consolidated Interest Coverage Ratio.</w:t>
      </w:r>
    </w:p>
    <w:p>
      <w:pPr>
        <w:spacing w:after="0" w:line="214"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A.Consolidated EBITDA for four consecutive fiscal quarters ending on above date (“</w:t>
      </w:r>
      <w:r>
        <w:rPr>
          <w:rFonts w:ascii="Times New Roman" w:cs="Times New Roman" w:eastAsia="Times New Roman" w:hAnsi="Times New Roman"/>
          <w:sz w:val="21"/>
          <w:szCs w:val="21"/>
          <w:u w:val="single" w:color="auto"/>
          <w:color w:val="auto"/>
        </w:rPr>
        <w:t>Subject Period</w:t>
      </w:r>
      <w:r>
        <w:rPr>
          <w:rFonts w:ascii="Times New Roman" w:cs="Times New Roman" w:eastAsia="Times New Roman" w:hAnsi="Times New Roman"/>
          <w:sz w:val="21"/>
          <w:szCs w:val="21"/>
          <w:color w:val="auto"/>
        </w:rPr>
        <w:t>”):</w:t>
      </w:r>
    </w:p>
    <w:p>
      <w:pPr>
        <w:spacing w:after="0" w:line="107" w:lineRule="exact"/>
        <w:rPr>
          <w:rFonts w:ascii="Times New Roman" w:cs="Times New Roman" w:eastAsia="Times New Roman" w:hAnsi="Times New Roman"/>
          <w:sz w:val="21"/>
          <w:szCs w:val="21"/>
          <w:b w:val="1"/>
          <w:bCs w:val="1"/>
          <w:color w:val="auto"/>
        </w:rPr>
      </w:pPr>
    </w:p>
    <w:p>
      <w:pPr>
        <w:ind w:left="1860" w:hanging="616"/>
        <w:spacing w:after="0"/>
        <w:tabs>
          <w:tab w:leader="none" w:pos="1860"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Net Income for Subject Period:</w:t>
      </w:r>
    </w:p>
    <w:p>
      <w:pPr>
        <w:spacing w:after="0" w:line="107"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a.net income for the Company and its Restricted Subsidiaries for Subject Period: $____________</w:t>
      </w:r>
    </w:p>
    <w:p>
      <w:pPr>
        <w:spacing w:after="0" w:line="107"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b.gains or losses arising from the sale of capital assets for Subject Period:$_______________</w:t>
      </w:r>
    </w:p>
    <w:p>
      <w:pPr>
        <w:spacing w:after="0" w:line="107"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c.gains or losses arising from any write-up or write-down of assets or liabilities for Subject Period:$</w:t>
      </w:r>
    </w:p>
    <w:p>
      <w:pPr>
        <w:spacing w:after="0" w:line="25" w:lineRule="exact"/>
        <w:rPr>
          <w:rFonts w:ascii="Times New Roman" w:cs="Times New Roman" w:eastAsia="Times New Roman" w:hAnsi="Times New Roman"/>
          <w:sz w:val="21"/>
          <w:szCs w:val="21"/>
          <w:color w:val="auto"/>
        </w:rPr>
      </w:pPr>
    </w:p>
    <w:p>
      <w:pPr>
        <w:ind w:left="35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___________________</w:t>
      </w:r>
    </w:p>
    <w:p>
      <w:pPr>
        <w:spacing w:after="0" w:line="85" w:lineRule="exact"/>
        <w:rPr>
          <w:rFonts w:ascii="Times New Roman" w:cs="Times New Roman" w:eastAsia="Times New Roman" w:hAnsi="Times New Roman"/>
          <w:sz w:val="21"/>
          <w:szCs w:val="21"/>
          <w:color w:val="auto"/>
        </w:rPr>
      </w:pPr>
    </w:p>
    <w:p>
      <w:pPr>
        <w:ind w:left="3560" w:right="500" w:hanging="1705"/>
        <w:spacing w:after="0" w:line="27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d.any portion of the net earnings of any Subsidiary unavailable for payment of distributions to a Borrower for Subject Period: $ _________________________</w:t>
      </w:r>
    </w:p>
    <w:p>
      <w:pPr>
        <w:spacing w:after="0" w:line="50"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e.any gain or loss arising from the acquisition of Equity Interests of a Borrower for Subject Period: $</w:t>
      </w:r>
    </w:p>
    <w:p>
      <w:pPr>
        <w:spacing w:after="0" w:line="25" w:lineRule="exact"/>
        <w:rPr>
          <w:rFonts w:ascii="Times New Roman" w:cs="Times New Roman" w:eastAsia="Times New Roman" w:hAnsi="Times New Roman"/>
          <w:sz w:val="21"/>
          <w:szCs w:val="21"/>
          <w:color w:val="auto"/>
        </w:rPr>
      </w:pPr>
    </w:p>
    <w:p>
      <w:pPr>
        <w:ind w:left="35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_______________________</w:t>
      </w:r>
    </w:p>
    <w:p>
      <w:pPr>
        <w:spacing w:after="0" w:line="85" w:lineRule="exact"/>
        <w:rPr>
          <w:rFonts w:ascii="Times New Roman" w:cs="Times New Roman" w:eastAsia="Times New Roman" w:hAnsi="Times New Roman"/>
          <w:sz w:val="21"/>
          <w:szCs w:val="21"/>
          <w:color w:val="auto"/>
        </w:rPr>
      </w:pPr>
    </w:p>
    <w:p>
      <w:pPr>
        <w:ind w:left="3540" w:hanging="168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f.any income (or loss) for Subject Period of any Person if such Person is not a Restricted Subsidiary, except that the Company’s equity in the net income of any such Person for Subject Period shall be included in Consolidated Net Income up to the aggregate amount of cash actually distributed by such Person during such period to the Company or a Restricted Subsidiary as a dividend or other distribution (and in the case of a dividend or other distribution to a Restricted Subsidiary, such Restricted Subsidiary is not precluded from further distributing such amount to a Borrower as described in Line A(1)(d)): $ ____________</w:t>
      </w:r>
    </w:p>
    <w:p>
      <w:pPr>
        <w:spacing w:after="0" w:line="75"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g.Consolidated Net Income (Line I.A.1.a - (b + c + d + e + f): $___________________</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SCHEDULE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605" w:right="239" w:bottom="1440" w:gutter="0" w:footer="0" w:header="0"/>
        </w:sectPr>
      </w:pPr>
    </w:p>
    <w:bookmarkStart w:id="295" w:name="page296"/>
    <w:bookmarkEnd w:id="295"/>
    <w:p>
      <w:pPr>
        <w:ind w:left="1860" w:hanging="616"/>
        <w:spacing w:after="0"/>
        <w:tabs>
          <w:tab w:leader="none" w:pos="18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expense for Subject Period: $__________</w:t>
      </w:r>
    </w:p>
    <w:p>
      <w:pPr>
        <w:spacing w:after="0" w:line="107" w:lineRule="exact"/>
        <w:rPr>
          <w:rFonts w:ascii="Times New Roman" w:cs="Times New Roman" w:eastAsia="Times New Roman" w:hAnsi="Times New Roman"/>
          <w:sz w:val="21"/>
          <w:szCs w:val="21"/>
          <w:color w:val="auto"/>
        </w:rPr>
      </w:pPr>
    </w:p>
    <w:p>
      <w:pPr>
        <w:ind w:left="3100" w:right="1020" w:hanging="1856"/>
        <w:spacing w:after="0" w:line="270" w:lineRule="auto"/>
        <w:tabs>
          <w:tab w:leader="none" w:pos="18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Federal, state, local and foreign income Taxes payable by the Company and its Restricted Subsidiaries for Subject Period: $______</w:t>
      </w:r>
    </w:p>
    <w:p>
      <w:pPr>
        <w:spacing w:after="0" w:line="50"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depreciation expenses for Subject Period: $______</w:t>
      </w:r>
    </w:p>
    <w:p>
      <w:pPr>
        <w:spacing w:after="0" w:line="107"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amortization expenses for Subject Period: $______</w:t>
      </w:r>
    </w:p>
    <w:p>
      <w:pPr>
        <w:spacing w:after="0" w:line="107"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charges related to purchase accounting adjustments required by FASB ASC Topic 805 for Subject Period: $</w:t>
      </w:r>
    </w:p>
    <w:p>
      <w:pPr>
        <w:spacing w:after="0" w:line="25" w:lineRule="exact"/>
        <w:rPr>
          <w:rFonts w:ascii="Times New Roman" w:cs="Times New Roman" w:eastAsia="Times New Roman" w:hAnsi="Times New Roman"/>
          <w:sz w:val="21"/>
          <w:szCs w:val="21"/>
          <w:color w:val="auto"/>
        </w:rPr>
      </w:pPr>
    </w:p>
    <w:p>
      <w:pPr>
        <w:ind w:left="31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__________________</w:t>
      </w:r>
    </w:p>
    <w:p>
      <w:pPr>
        <w:spacing w:after="0" w:line="85" w:lineRule="exact"/>
        <w:rPr>
          <w:rFonts w:ascii="Times New Roman" w:cs="Times New Roman" w:eastAsia="Times New Roman" w:hAnsi="Times New Roman"/>
          <w:sz w:val="21"/>
          <w:szCs w:val="21"/>
          <w:color w:val="auto"/>
        </w:rPr>
      </w:pPr>
    </w:p>
    <w:p>
      <w:pPr>
        <w:ind w:left="3100" w:right="160" w:hanging="1856"/>
        <w:spacing w:after="0" w:line="270" w:lineRule="auto"/>
        <w:tabs>
          <w:tab w:leader="none" w:pos="18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charges included in Consolidated Net Income relating to stock based compensation which do not represent a cash item for Subject Period or any future period: $______________</w:t>
      </w:r>
    </w:p>
    <w:p>
      <w:pPr>
        <w:spacing w:after="0" w:line="50"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charges which do not represent a cash item for Subject Period or any future period: $___________</w:t>
      </w:r>
    </w:p>
    <w:p>
      <w:pPr>
        <w:spacing w:after="0" w:line="107" w:lineRule="exact"/>
        <w:rPr>
          <w:rFonts w:ascii="Times New Roman" w:cs="Times New Roman" w:eastAsia="Times New Roman" w:hAnsi="Times New Roman"/>
          <w:sz w:val="21"/>
          <w:szCs w:val="21"/>
          <w:color w:val="auto"/>
        </w:rPr>
      </w:pPr>
    </w:p>
    <w:p>
      <w:pPr>
        <w:ind w:left="3100" w:right="320" w:hanging="1856"/>
        <w:spacing w:after="0" w:line="270" w:lineRule="auto"/>
        <w:tabs>
          <w:tab w:leader="none" w:pos="18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expenses incurred in connection with the prepayment, amendment, modification or refinancing of Indebtedness (whether or not consummated) during Subject Period: $_________</w:t>
      </w:r>
    </w:p>
    <w:p>
      <w:pPr>
        <w:spacing w:after="0" w:line="50" w:lineRule="exact"/>
        <w:rPr>
          <w:rFonts w:ascii="Times New Roman" w:cs="Times New Roman" w:eastAsia="Times New Roman" w:hAnsi="Times New Roman"/>
          <w:sz w:val="21"/>
          <w:szCs w:val="21"/>
          <w:color w:val="auto"/>
        </w:rPr>
      </w:pPr>
    </w:p>
    <w:p>
      <w:pPr>
        <w:ind w:left="3100" w:hanging="1856"/>
        <w:spacing w:after="0" w:line="257" w:lineRule="auto"/>
        <w:tabs>
          <w:tab w:leader="none" w:pos="18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non-capitalized transaction costs in connection with an incurrence of Indebtedness, during a refinancing thereof, issuance of Equity Interests, Investment, Acquisition, Disposition or recapitalization (whether or not consummated), as permitted, during Subject Period: $__________________</w:t>
      </w:r>
    </w:p>
    <w:p>
      <w:pPr>
        <w:spacing w:after="0" w:line="64" w:lineRule="exact"/>
        <w:rPr>
          <w:rFonts w:ascii="Times New Roman" w:cs="Times New Roman" w:eastAsia="Times New Roman" w:hAnsi="Times New Roman"/>
          <w:sz w:val="21"/>
          <w:szCs w:val="21"/>
          <w:color w:val="auto"/>
        </w:rPr>
      </w:pPr>
    </w:p>
    <w:p>
      <w:pPr>
        <w:ind w:left="3100" w:right="100" w:hanging="1856"/>
        <w:spacing w:after="0" w:line="257" w:lineRule="auto"/>
        <w:tabs>
          <w:tab w:leader="none" w:pos="18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tender premiums, redemption premiums, fees and other amounts and expenses incurred in connection with the tender for and/or redemption of Indebtedness incurred under </w:t>
      </w:r>
      <w:r>
        <w:rPr>
          <w:rFonts w:ascii="Times New Roman" w:cs="Times New Roman" w:eastAsia="Times New Roman" w:hAnsi="Times New Roman"/>
          <w:sz w:val="21"/>
          <w:szCs w:val="21"/>
          <w:u w:val="single" w:color="auto"/>
          <w:color w:val="auto"/>
        </w:rPr>
        <w:t>Section 7.03(j)</w:t>
      </w:r>
      <w:r>
        <w:rPr>
          <w:rFonts w:ascii="Times New Roman" w:cs="Times New Roman" w:eastAsia="Times New Roman" w:hAnsi="Times New Roman"/>
          <w:sz w:val="21"/>
          <w:szCs w:val="21"/>
          <w:color w:val="auto"/>
        </w:rPr>
        <w:t xml:space="preserve"> during Subject Period: $_______________</w:t>
      </w:r>
    </w:p>
    <w:p>
      <w:pPr>
        <w:spacing w:after="0" w:line="64"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earn-out expenses resulting from Permitted Acquisitions in which the Company and/or any Restricted Subsidiary is</w:t>
      </w:r>
    </w:p>
    <w:p>
      <w:pPr>
        <w:spacing w:after="0" w:line="37" w:lineRule="exact"/>
        <w:rPr>
          <w:rFonts w:ascii="Times New Roman" w:cs="Times New Roman" w:eastAsia="Times New Roman" w:hAnsi="Times New Roman"/>
          <w:sz w:val="20"/>
          <w:szCs w:val="20"/>
          <w:color w:val="auto"/>
        </w:rPr>
      </w:pPr>
    </w:p>
    <w:p>
      <w:pPr>
        <w:ind w:left="3100" w:right="120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required to treat such earn-out expenses as compensation costs during Subject Period: $____________________</w:t>
      </w:r>
    </w:p>
    <w:p>
      <w:pPr>
        <w:spacing w:after="0" w:line="73" w:lineRule="exact"/>
        <w:rPr>
          <w:rFonts w:ascii="Times New Roman" w:cs="Times New Roman" w:eastAsia="Times New Roman" w:hAnsi="Times New Roman"/>
          <w:sz w:val="20"/>
          <w:szCs w:val="20"/>
          <w:color w:val="auto"/>
        </w:rPr>
      </w:pPr>
    </w:p>
    <w:p>
      <w:pPr>
        <w:ind w:left="3100" w:right="380" w:hanging="1856"/>
        <w:spacing w:after="0" w:line="270" w:lineRule="auto"/>
        <w:tabs>
          <w:tab w:leader="none" w:pos="18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expenses arising from the impact of FASB ASC 470-50-40 on certain capitalized fees and costs during Subject Period: $_______________</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SCHEDULE 1</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00"/>
          </w:cols>
          <w:pgMar w:left="240" w:top="606" w:right="259" w:bottom="1440" w:gutter="0" w:footer="0" w:header="0"/>
        </w:sectPr>
      </w:pPr>
    </w:p>
    <w:bookmarkStart w:id="296" w:name="page297"/>
    <w:bookmarkEnd w:id="296"/>
    <w:p>
      <w:pPr>
        <w:ind w:left="3100" w:right="340" w:hanging="1856"/>
        <w:spacing w:after="0" w:line="270" w:lineRule="auto"/>
        <w:tabs>
          <w:tab w:leader="none" w:pos="186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net loss incurred during Subject Period from Swap Contracts and the application of FASB ASC Topic 815: $_____________________</w:t>
      </w:r>
    </w:p>
    <w:p>
      <w:pPr>
        <w:spacing w:after="0" w:line="50"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net loss incurred during Subject Period from currency translation losses: $________________</w:t>
      </w:r>
    </w:p>
    <w:p>
      <w:pPr>
        <w:spacing w:after="0" w:line="107" w:lineRule="exact"/>
        <w:rPr>
          <w:rFonts w:ascii="Times New Roman" w:cs="Times New Roman" w:eastAsia="Times New Roman" w:hAnsi="Times New Roman"/>
          <w:sz w:val="21"/>
          <w:szCs w:val="21"/>
          <w:color w:val="auto"/>
        </w:rPr>
      </w:pPr>
    </w:p>
    <w:p>
      <w:pPr>
        <w:ind w:left="3100" w:right="180" w:hanging="1856"/>
        <w:spacing w:after="0" w:line="270" w:lineRule="auto"/>
        <w:tabs>
          <w:tab w:leader="none" w:pos="186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loss from the early extinguishment of Indebtedness or Swap Contracts or other derivative instruments during Subject Period: $____________</w:t>
      </w:r>
    </w:p>
    <w:p>
      <w:pPr>
        <w:spacing w:after="0" w:line="42"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clause (xv) addbacks during Subject Period:</w:t>
      </w:r>
    </w:p>
    <w:p>
      <w:pPr>
        <w:spacing w:after="0" w:line="52"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a.other non-recurring or unusual charges for Subject Period: $ _____________________</w:t>
      </w:r>
    </w:p>
    <w:p>
      <w:pPr>
        <w:spacing w:after="0" w:line="101" w:lineRule="exact"/>
        <w:rPr>
          <w:rFonts w:ascii="Times New Roman" w:cs="Times New Roman" w:eastAsia="Times New Roman" w:hAnsi="Times New Roman"/>
          <w:sz w:val="21"/>
          <w:szCs w:val="21"/>
          <w:color w:val="auto"/>
        </w:rPr>
      </w:pPr>
    </w:p>
    <w:p>
      <w:pPr>
        <w:ind w:left="3560" w:hanging="1705"/>
        <w:spacing w:after="0" w:line="25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b.cash charges paid in connection with corporate restructurings (including severance costs in connection with any reduction in the workforce of the Company and its Restricted Subsidiaries) for Subject Period: $________________</w:t>
      </w:r>
    </w:p>
    <w:p>
      <w:pPr>
        <w:spacing w:after="0" w:line="64" w:lineRule="exact"/>
        <w:rPr>
          <w:rFonts w:ascii="Times New Roman" w:cs="Times New Roman" w:eastAsia="Times New Roman" w:hAnsi="Times New Roman"/>
          <w:sz w:val="21"/>
          <w:szCs w:val="21"/>
          <w:color w:val="auto"/>
        </w:rPr>
      </w:pPr>
    </w:p>
    <w:p>
      <w:pPr>
        <w:ind w:left="3560" w:right="40" w:hanging="1705"/>
        <w:spacing w:after="0" w:line="25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c.expected cost savings, operating expense reductions, restructuring charges and expenses and cost-saving synergies projected by the Company in good faith to result from actions with respect to which substantial steps have been, will be, or are expected to be, taken (in the good faith determination of the Company and evidenced by a certificate of a Responsible Officer of the Company) within 15 months of Subject Period: $_______________</w:t>
      </w:r>
    </w:p>
    <w:p>
      <w:pPr>
        <w:spacing w:after="0" w:line="73"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Federal, state, local and foreign income Tax credits of the Company and its Subsidiaries for Subject Period: $</w:t>
      </w:r>
    </w:p>
    <w:p>
      <w:pPr>
        <w:spacing w:after="0" w:line="25" w:lineRule="exact"/>
        <w:rPr>
          <w:rFonts w:ascii="Times New Roman" w:cs="Times New Roman" w:eastAsia="Times New Roman" w:hAnsi="Times New Roman"/>
          <w:sz w:val="21"/>
          <w:szCs w:val="21"/>
          <w:color w:val="auto"/>
        </w:rPr>
      </w:pPr>
    </w:p>
    <w:p>
      <w:pPr>
        <w:ind w:left="31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____________________</w:t>
      </w:r>
    </w:p>
    <w:p>
      <w:pPr>
        <w:spacing w:after="0" w:line="85"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net gain incurred during Subject Period from Swap Contracts and the application of FASB ASC Topic 815:</w:t>
      </w:r>
    </w:p>
    <w:p>
      <w:pPr>
        <w:spacing w:after="0" w:line="2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$_________________</w:t>
      </w:r>
    </w:p>
    <w:p>
      <w:pPr>
        <w:spacing w:after="0" w:line="85" w:lineRule="exact"/>
        <w:rPr>
          <w:sz w:val="20"/>
          <w:szCs w:val="20"/>
          <w:color w:val="auto"/>
        </w:rPr>
      </w:pPr>
    </w:p>
    <w:p>
      <w:pPr>
        <w:ind w:left="1860" w:hanging="616"/>
        <w:spacing w:after="0"/>
        <w:tabs>
          <w:tab w:leader="none" w:pos="1860"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net gain incurred during Subject Period from currency translation gains: $_______________</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w:t>
      </w:r>
    </w:p>
    <w:p>
      <w:pPr>
        <w:spacing w:after="0" w:line="103" w:lineRule="exact"/>
        <w:rPr>
          <w:sz w:val="20"/>
          <w:szCs w:val="20"/>
          <w:color w:val="auto"/>
        </w:rPr>
      </w:pPr>
    </w:p>
    <w:p>
      <w:pPr>
        <w:ind w:right="300" w:firstLine="624"/>
        <w:spacing w:after="0" w:line="218" w:lineRule="auto"/>
        <w:tabs>
          <w:tab w:leader="none" w:pos="723" w:val="left"/>
        </w:tabs>
        <w:numPr>
          <w:ilvl w:val="0"/>
          <w:numId w:val="2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charges described in 17 together with any adjustments made pursuant to Section 1.10 of the Credit Agreement shall only be permitted to be added back for such period tot he extent such charges collectively do not increase Consolidated EBITDA by more than 20%.</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SCHEDULE 1</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380"/>
          </w:cols>
          <w:pgMar w:left="240" w:top="605" w:right="279" w:bottom="1440" w:gutter="0" w:footer="0" w:header="0"/>
        </w:sectPr>
      </w:pPr>
    </w:p>
    <w:bookmarkStart w:id="297" w:name="page298"/>
    <w:bookmarkEnd w:id="297"/>
    <w:p>
      <w:pPr>
        <w:ind w:left="3100" w:hanging="1856"/>
        <w:spacing w:after="0" w:line="270" w:lineRule="auto"/>
        <w:tabs>
          <w:tab w:leader="none" w:pos="1860"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gains from the early extinguishment of Indebtedness or Swap Contracts or other derivative instruments during Subject Period: $____________</w:t>
      </w:r>
    </w:p>
    <w:p>
      <w:pPr>
        <w:spacing w:after="0" w:line="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22.non-cash additions to Consolidated Net Income for Subject Period: $_______________</w:t>
      </w:r>
    </w:p>
    <w:p>
      <w:pPr>
        <w:spacing w:after="0" w:line="1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23.Consolidated EBITDA for Subject Period (Lines I.A.1.g + 2 + 3 + 4 + 5 + 6 + 7 + 8 + 9 + 10 + 11 + 12 + 13 + 14 + 15</w:t>
      </w:r>
    </w:p>
    <w:p>
      <w:pPr>
        <w:spacing w:after="0" w:line="38" w:lineRule="exact"/>
        <w:rPr>
          <w:sz w:val="20"/>
          <w:szCs w:val="20"/>
          <w:color w:val="auto"/>
        </w:rPr>
      </w:pPr>
    </w:p>
    <w:p>
      <w:pPr>
        <w:ind w:left="2920" w:hanging="178"/>
        <w:spacing w:after="0"/>
        <w:tabs>
          <w:tab w:leader="none" w:pos="2920"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16 + 17(a) + 17(b) + 17(c) – 18 – 19 – 20 – 22): $__________________</w:t>
      </w:r>
    </w:p>
    <w:p>
      <w:pPr>
        <w:spacing w:after="0" w:line="85"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B.Consolidated Interest Charges for Subject Period: $______</w:t>
      </w:r>
    </w:p>
    <w:p>
      <w:pPr>
        <w:spacing w:after="0" w:line="99" w:lineRule="exact"/>
        <w:rPr>
          <w:rFonts w:ascii="Times New Roman" w:cs="Times New Roman" w:eastAsia="Times New Roman" w:hAnsi="Times New Roman"/>
          <w:sz w:val="21"/>
          <w:szCs w:val="21"/>
          <w:color w:val="auto"/>
        </w:rPr>
      </w:pPr>
    </w:p>
    <w:p>
      <w:pPr>
        <w:ind w:left="1240" w:right="3100" w:hanging="620"/>
        <w:spacing w:after="0" w:line="3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C.Consolidated Interest Coverage Ratio (Line I.A.23 ÷ Line I.B)</w:t>
      </w: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21"/>
          <w:szCs w:val="21"/>
          <w:color w:val="auto"/>
        </w:rPr>
        <w:t xml:space="preserve">: ______________ to 1.00 </w:t>
      </w:r>
      <w:r>
        <w:rPr>
          <w:rFonts w:ascii="Times New Roman" w:cs="Times New Roman" w:eastAsia="Times New Roman" w:hAnsi="Times New Roman"/>
          <w:sz w:val="21"/>
          <w:szCs w:val="21"/>
          <w:i w:val="1"/>
          <w:iCs w:val="1"/>
          <w:color w:val="auto"/>
        </w:rPr>
        <w:t>Minimum permitted: 3.00 to 1.00</w:t>
      </w:r>
    </w:p>
    <w:p>
      <w:pPr>
        <w:spacing w:after="0" w:line="294"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7.11 (b) – Consolidated Leverage Ratio.</w:t>
      </w:r>
    </w:p>
    <w:p>
      <w:pPr>
        <w:spacing w:after="0" w:line="214" w:lineRule="exact"/>
        <w:rPr>
          <w:rFonts w:ascii="Times New Roman" w:cs="Times New Roman" w:eastAsia="Times New Roman" w:hAnsi="Times New Roman"/>
          <w:sz w:val="21"/>
          <w:szCs w:val="21"/>
          <w:b w:val="1"/>
          <w:bCs w:val="1"/>
          <w:color w:val="auto"/>
        </w:rPr>
      </w:pPr>
    </w:p>
    <w:p>
      <w:pPr>
        <w:ind w:left="1460" w:right="220" w:hanging="827"/>
        <w:spacing w:after="0" w:line="25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A.Consolidated Funded Indebtedness at Statement Date (but excluding, to the extent outstanding and undrawn and included in Consolidated Funded Indebtedness, the stated amount of all standby performance letters of credit as of such date): $___________________</w:t>
      </w:r>
    </w:p>
    <w:p>
      <w:pPr>
        <w:spacing w:after="0" w:line="64"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B.Unrestricted Domestic Cash at Statement Date: $________</w:t>
      </w:r>
    </w:p>
    <w:p>
      <w:pPr>
        <w:spacing w:after="0" w:line="107"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C.Consolidated EBITDA for Subject Period (Line I.A.23 above): $________________</w:t>
      </w:r>
    </w:p>
    <w:p>
      <w:pPr>
        <w:spacing w:after="0" w:line="99" w:lineRule="exact"/>
        <w:rPr>
          <w:rFonts w:ascii="Times New Roman" w:cs="Times New Roman" w:eastAsia="Times New Roman" w:hAnsi="Times New Roman"/>
          <w:sz w:val="21"/>
          <w:szCs w:val="21"/>
          <w:b w:val="1"/>
          <w:bCs w:val="1"/>
          <w:color w:val="auto"/>
        </w:rPr>
      </w:pPr>
    </w:p>
    <w:p>
      <w:pPr>
        <w:ind w:left="1860" w:right="2940" w:hanging="1240"/>
        <w:spacing w:after="0" w:line="31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D.Consolidated Leverage Ratio ((Line II.A - Line II.B) ÷ Line II.C)</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21"/>
          <w:szCs w:val="21"/>
          <w:color w:val="auto"/>
        </w:rPr>
        <w:t xml:space="preserve">: _____________ to 1.00 </w:t>
      </w:r>
      <w:r>
        <w:rPr>
          <w:rFonts w:ascii="Times New Roman" w:cs="Times New Roman" w:eastAsia="Times New Roman" w:hAnsi="Times New Roman"/>
          <w:sz w:val="21"/>
          <w:szCs w:val="21"/>
          <w:i w:val="1"/>
          <w:iCs w:val="1"/>
          <w:color w:val="auto"/>
        </w:rPr>
        <w:t>Maximum permitted: 3.50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w:t>
      </w:r>
    </w:p>
    <w:p>
      <w:pPr>
        <w:spacing w:after="0" w:line="25" w:lineRule="exact"/>
        <w:rPr>
          <w:sz w:val="20"/>
          <w:szCs w:val="20"/>
          <w:color w:val="auto"/>
        </w:rPr>
      </w:pPr>
    </w:p>
    <w:p>
      <w:pPr>
        <w:ind w:left="720" w:hanging="96"/>
        <w:spacing w:after="0"/>
        <w:tabs>
          <w:tab w:leader="none" w:pos="720" w:val="left"/>
        </w:tabs>
        <w:numPr>
          <w:ilvl w:val="0"/>
          <w:numId w:val="2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Subject to the pro forma adjustments contemplated by Section 1.10 of the Credit Agreement.</w:t>
      </w:r>
    </w:p>
    <w:p>
      <w:pPr>
        <w:spacing w:after="0" w:line="65" w:lineRule="exact"/>
        <w:rPr>
          <w:rFonts w:ascii="Times New Roman" w:cs="Times New Roman" w:eastAsia="Times New Roman" w:hAnsi="Times New Roman"/>
          <w:sz w:val="24"/>
          <w:szCs w:val="24"/>
          <w:color w:val="auto"/>
          <w:vertAlign w:val="superscript"/>
        </w:rPr>
      </w:pPr>
    </w:p>
    <w:p>
      <w:pPr>
        <w:ind w:left="62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color w:val="auto"/>
        </w:rPr>
        <w:t xml:space="preserve"> Subject to the pro forma adjustments contemplated by Section 1.10 of the Credit Agreement.</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SCHEDULE 1</w:t>
      </w:r>
    </w:p>
    <w:p>
      <w:pPr>
        <w:spacing w:after="0" w:line="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320"/>
          </w:cols>
          <w:pgMar w:left="240" w:top="954" w:right="339" w:bottom="1440" w:gutter="0" w:footer="0" w:header="0"/>
        </w:sectPr>
      </w:pPr>
    </w:p>
    <w:bookmarkStart w:id="298" w:name="page299"/>
    <w:bookmarkEnd w:id="298"/>
    <w:p>
      <w:pPr>
        <w:ind w:left="5560"/>
        <w:spacing w:after="0"/>
        <w:rPr>
          <w:sz w:val="20"/>
          <w:szCs w:val="20"/>
          <w:color w:val="auto"/>
        </w:rPr>
      </w:pPr>
      <w:r>
        <w:rPr>
          <w:rFonts w:ascii="Times New Roman" w:cs="Times New Roman" w:eastAsia="Times New Roman" w:hAnsi="Times New Roman"/>
          <w:sz w:val="20"/>
          <w:szCs w:val="20"/>
          <w:color w:val="auto"/>
        </w:rPr>
        <w:t>For the Quarter/Year ended ___________________(“</w:t>
      </w:r>
      <w:r>
        <w:rPr>
          <w:rFonts w:ascii="Times New Roman" w:cs="Times New Roman" w:eastAsia="Times New Roman" w:hAnsi="Times New Roman"/>
          <w:sz w:val="20"/>
          <w:szCs w:val="20"/>
          <w:u w:val="single" w:color="auto"/>
          <w:color w:val="auto"/>
        </w:rPr>
        <w:t>Statement Date</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SCHEDULE 2</w:t>
      </w:r>
    </w:p>
    <w:p>
      <w:pPr>
        <w:spacing w:after="0" w:line="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to the Compliance Certificate</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 in 000’s)</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Consolidated EBITDA</w:t>
      </w:r>
    </w:p>
    <w:p>
      <w:pPr>
        <w:spacing w:after="0" w:line="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(in accordance with the definition of Consolidated EBITDA</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as set forth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7260590" cy="4479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0590" cy="44792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0" w:type="dxa"/>
            <w:vAlign w:val="bottom"/>
          </w:tcPr>
          <w:p>
            <w:pPr>
              <w:spacing w:after="0"/>
              <w:rPr>
                <w:sz w:val="19"/>
                <w:szCs w:val="19"/>
                <w:color w:val="auto"/>
              </w:rPr>
            </w:pPr>
          </w:p>
        </w:tc>
        <w:tc>
          <w:tcPr>
            <w:tcW w:w="2420" w:type="dxa"/>
            <w:vAlign w:val="bottom"/>
          </w:tcPr>
          <w:p>
            <w:pPr>
              <w:jc w:val="center"/>
              <w:ind w:left="945"/>
              <w:spacing w:after="0"/>
              <w:rPr>
                <w:sz w:val="20"/>
                <w:szCs w:val="20"/>
                <w:color w:val="auto"/>
              </w:rPr>
            </w:pPr>
            <w:r>
              <w:rPr>
                <w:rFonts w:ascii="Times New Roman" w:cs="Times New Roman" w:eastAsia="Times New Roman" w:hAnsi="Times New Roman"/>
                <w:sz w:val="19"/>
                <w:szCs w:val="19"/>
                <w:b w:val="1"/>
                <w:bCs w:val="1"/>
                <w:color w:val="auto"/>
                <w:w w:val="99"/>
              </w:rPr>
              <w:t>Quarter</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Quarter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Quarter</w:t>
            </w:r>
          </w:p>
        </w:tc>
        <w:tc>
          <w:tcPr>
            <w:tcW w:w="1260" w:type="dxa"/>
            <w:vAlign w:val="bottom"/>
          </w:tcPr>
          <w:p>
            <w:pPr>
              <w:jc w:val="center"/>
              <w:ind w:left="25"/>
              <w:spacing w:after="0"/>
              <w:rPr>
                <w:sz w:val="20"/>
                <w:szCs w:val="20"/>
                <w:color w:val="auto"/>
              </w:rPr>
            </w:pPr>
            <w:r>
              <w:rPr>
                <w:rFonts w:ascii="Times New Roman" w:cs="Times New Roman" w:eastAsia="Times New Roman" w:hAnsi="Times New Roman"/>
                <w:sz w:val="19"/>
                <w:szCs w:val="19"/>
                <w:b w:val="1"/>
                <w:bCs w:val="1"/>
                <w:color w:val="auto"/>
                <w:w w:val="99"/>
              </w:rPr>
              <w:t>Quarter</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Twelve Months</w:t>
            </w:r>
          </w:p>
        </w:tc>
      </w:tr>
      <w:tr>
        <w:trPr>
          <w:trHeight w:val="220"/>
        </w:trPr>
        <w:tc>
          <w:tcPr>
            <w:tcW w:w="340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Consolidated EBITDA</w:t>
            </w:r>
          </w:p>
        </w:tc>
        <w:tc>
          <w:tcPr>
            <w:tcW w:w="2420" w:type="dxa"/>
            <w:vAlign w:val="bottom"/>
          </w:tcPr>
          <w:p>
            <w:pPr>
              <w:jc w:val="center"/>
              <w:ind w:left="965"/>
              <w:spacing w:after="0"/>
              <w:rPr>
                <w:sz w:val="20"/>
                <w:szCs w:val="20"/>
                <w:color w:val="auto"/>
              </w:rPr>
            </w:pPr>
            <w:r>
              <w:rPr>
                <w:rFonts w:ascii="Times New Roman" w:cs="Times New Roman" w:eastAsia="Times New Roman" w:hAnsi="Times New Roman"/>
                <w:sz w:val="19"/>
                <w:szCs w:val="19"/>
                <w:b w:val="1"/>
                <w:bCs w:val="1"/>
                <w:color w:val="auto"/>
                <w:w w:val="98"/>
              </w:rPr>
              <w:t>Ended</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Ended</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Ended</w:t>
            </w:r>
          </w:p>
        </w:tc>
        <w:tc>
          <w:tcPr>
            <w:tcW w:w="1260" w:type="dxa"/>
            <w:vAlign w:val="bottom"/>
          </w:tcPr>
          <w:p>
            <w:pPr>
              <w:jc w:val="center"/>
              <w:ind w:left="25"/>
              <w:spacing w:after="0"/>
              <w:rPr>
                <w:sz w:val="20"/>
                <w:szCs w:val="20"/>
                <w:color w:val="auto"/>
              </w:rPr>
            </w:pPr>
            <w:r>
              <w:rPr>
                <w:rFonts w:ascii="Times New Roman" w:cs="Times New Roman" w:eastAsia="Times New Roman" w:hAnsi="Times New Roman"/>
                <w:sz w:val="19"/>
                <w:szCs w:val="19"/>
                <w:b w:val="1"/>
                <w:bCs w:val="1"/>
                <w:color w:val="auto"/>
              </w:rPr>
              <w:t>Ended</w:t>
            </w:r>
          </w:p>
        </w:tc>
        <w:tc>
          <w:tcPr>
            <w:tcW w:w="1620" w:type="dxa"/>
            <w:vAlign w:val="bottom"/>
          </w:tcPr>
          <w:p>
            <w:pPr>
              <w:jc w:val="center"/>
              <w:ind w:left="45"/>
              <w:spacing w:after="0"/>
              <w:rPr>
                <w:sz w:val="20"/>
                <w:szCs w:val="20"/>
                <w:color w:val="auto"/>
              </w:rPr>
            </w:pPr>
            <w:r>
              <w:rPr>
                <w:rFonts w:ascii="Times New Roman" w:cs="Times New Roman" w:eastAsia="Times New Roman" w:hAnsi="Times New Roman"/>
                <w:sz w:val="19"/>
                <w:szCs w:val="19"/>
                <w:b w:val="1"/>
                <w:bCs w:val="1"/>
                <w:color w:val="auto"/>
                <w:w w:val="98"/>
              </w:rPr>
              <w:t>Ended</w:t>
            </w:r>
          </w:p>
        </w:tc>
      </w:tr>
      <w:tr>
        <w:trPr>
          <w:trHeight w:val="275"/>
        </w:trPr>
        <w:tc>
          <w:tcPr>
            <w:tcW w:w="3400" w:type="dxa"/>
            <w:vAlign w:val="bottom"/>
          </w:tcPr>
          <w:p>
            <w:pPr>
              <w:spacing w:after="0"/>
              <w:rPr>
                <w:sz w:val="23"/>
                <w:szCs w:val="23"/>
                <w:color w:val="auto"/>
              </w:rPr>
            </w:pPr>
          </w:p>
        </w:tc>
        <w:tc>
          <w:tcPr>
            <w:tcW w:w="2420" w:type="dxa"/>
            <w:vAlign w:val="bottom"/>
          </w:tcPr>
          <w:p>
            <w:pPr>
              <w:jc w:val="center"/>
              <w:ind w:left="1005"/>
              <w:spacing w:after="0"/>
              <w:rPr>
                <w:sz w:val="20"/>
                <w:szCs w:val="20"/>
                <w:color w:val="auto"/>
              </w:rPr>
            </w:pPr>
            <w:r>
              <w:rPr>
                <w:rFonts w:ascii="Times New Roman" w:cs="Times New Roman" w:eastAsia="Times New Roman" w:hAnsi="Times New Roman"/>
                <w:sz w:val="19"/>
                <w:szCs w:val="19"/>
                <w:b w:val="1"/>
                <w:bCs w:val="1"/>
                <w:color w:val="auto"/>
              </w:rPr>
              <w:t>_____</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_____</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_____</w:t>
            </w:r>
          </w:p>
        </w:tc>
        <w:tc>
          <w:tcPr>
            <w:tcW w:w="1260" w:type="dxa"/>
            <w:vAlign w:val="bottom"/>
          </w:tcPr>
          <w:p>
            <w:pPr>
              <w:jc w:val="center"/>
              <w:ind w:left="85"/>
              <w:spacing w:after="0"/>
              <w:rPr>
                <w:sz w:val="20"/>
                <w:szCs w:val="20"/>
                <w:color w:val="auto"/>
              </w:rPr>
            </w:pPr>
            <w:r>
              <w:rPr>
                <w:rFonts w:ascii="Times New Roman" w:cs="Times New Roman" w:eastAsia="Times New Roman" w:hAnsi="Times New Roman"/>
                <w:sz w:val="19"/>
                <w:szCs w:val="19"/>
                <w:b w:val="1"/>
                <w:bCs w:val="1"/>
                <w:color w:val="auto"/>
              </w:rPr>
              <w:t>_____</w:t>
            </w:r>
          </w:p>
        </w:tc>
        <w:tc>
          <w:tcPr>
            <w:tcW w:w="1620" w:type="dxa"/>
            <w:vAlign w:val="bottom"/>
          </w:tcPr>
          <w:p>
            <w:pPr>
              <w:jc w:val="center"/>
              <w:ind w:left="45"/>
              <w:spacing w:after="0"/>
              <w:rPr>
                <w:sz w:val="20"/>
                <w:szCs w:val="20"/>
                <w:color w:val="auto"/>
              </w:rPr>
            </w:pPr>
            <w:r>
              <w:rPr>
                <w:rFonts w:ascii="Times New Roman" w:cs="Times New Roman" w:eastAsia="Times New Roman" w:hAnsi="Times New Roman"/>
                <w:sz w:val="19"/>
                <w:szCs w:val="19"/>
                <w:b w:val="1"/>
                <w:bCs w:val="1"/>
                <w:color w:val="auto"/>
              </w:rPr>
              <w:t>_____</w:t>
            </w:r>
          </w:p>
        </w:tc>
      </w:tr>
      <w:tr>
        <w:trPr>
          <w:trHeight w:val="73"/>
        </w:trPr>
        <w:tc>
          <w:tcPr>
            <w:tcW w:w="3400" w:type="dxa"/>
            <w:vAlign w:val="bottom"/>
            <w:tcBorders>
              <w:bottom w:val="single" w:sz="8" w:color="00000A"/>
            </w:tcBorders>
          </w:tcPr>
          <w:p>
            <w:pPr>
              <w:spacing w:after="0"/>
              <w:rPr>
                <w:sz w:val="6"/>
                <w:szCs w:val="6"/>
                <w:color w:val="auto"/>
              </w:rPr>
            </w:pPr>
          </w:p>
        </w:tc>
        <w:tc>
          <w:tcPr>
            <w:tcW w:w="2420" w:type="dxa"/>
            <w:vAlign w:val="bottom"/>
            <w:tcBorders>
              <w:bottom w:val="single" w:sz="8" w:color="00000A"/>
            </w:tcBorders>
          </w:tcPr>
          <w:p>
            <w:pPr>
              <w:spacing w:after="0"/>
              <w:rPr>
                <w:sz w:val="6"/>
                <w:szCs w:val="6"/>
                <w:color w:val="auto"/>
              </w:rPr>
            </w:pPr>
          </w:p>
        </w:tc>
        <w:tc>
          <w:tcPr>
            <w:tcW w:w="1380" w:type="dxa"/>
            <w:vAlign w:val="bottom"/>
            <w:tcBorders>
              <w:bottom w:val="single" w:sz="8" w:color="00000A"/>
            </w:tcBorders>
          </w:tcPr>
          <w:p>
            <w:pPr>
              <w:spacing w:after="0"/>
              <w:rPr>
                <w:sz w:val="6"/>
                <w:szCs w:val="6"/>
                <w:color w:val="auto"/>
              </w:rPr>
            </w:pPr>
          </w:p>
        </w:tc>
        <w:tc>
          <w:tcPr>
            <w:tcW w:w="1360" w:type="dxa"/>
            <w:vAlign w:val="bottom"/>
            <w:tcBorders>
              <w:bottom w:val="single" w:sz="8" w:color="00000A"/>
            </w:tcBorders>
          </w:tcPr>
          <w:p>
            <w:pPr>
              <w:spacing w:after="0"/>
              <w:rPr>
                <w:sz w:val="6"/>
                <w:szCs w:val="6"/>
                <w:color w:val="auto"/>
              </w:rPr>
            </w:pPr>
          </w:p>
        </w:tc>
        <w:tc>
          <w:tcPr>
            <w:tcW w:w="1260" w:type="dxa"/>
            <w:vAlign w:val="bottom"/>
            <w:tcBorders>
              <w:bottom w:val="single" w:sz="8" w:color="00000A"/>
            </w:tcBorders>
          </w:tcPr>
          <w:p>
            <w:pPr>
              <w:spacing w:after="0"/>
              <w:rPr>
                <w:sz w:val="6"/>
                <w:szCs w:val="6"/>
                <w:color w:val="auto"/>
              </w:rPr>
            </w:pPr>
          </w:p>
        </w:tc>
        <w:tc>
          <w:tcPr>
            <w:tcW w:w="1620" w:type="dxa"/>
            <w:vAlign w:val="bottom"/>
            <w:tcBorders>
              <w:bottom w:val="single" w:sz="8" w:color="00000A"/>
            </w:tcBorders>
          </w:tcPr>
          <w:p>
            <w:pPr>
              <w:spacing w:after="0"/>
              <w:rPr>
                <w:sz w:val="6"/>
                <w:szCs w:val="6"/>
                <w:color w:val="auto"/>
              </w:rPr>
            </w:pPr>
          </w:p>
        </w:tc>
      </w:tr>
      <w:tr>
        <w:trPr>
          <w:trHeight w:val="243"/>
        </w:trPr>
        <w:tc>
          <w:tcPr>
            <w:tcW w:w="34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Consolidated Net Income</w:t>
            </w:r>
          </w:p>
        </w:tc>
        <w:tc>
          <w:tcPr>
            <w:tcW w:w="2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20" w:type="dxa"/>
            <w:vAlign w:val="bottom"/>
          </w:tcPr>
          <w:p>
            <w:pPr>
              <w:spacing w:after="0"/>
              <w:rPr>
                <w:sz w:val="21"/>
                <w:szCs w:val="21"/>
                <w:color w:val="auto"/>
              </w:rPr>
            </w:pPr>
          </w:p>
        </w:tc>
      </w:tr>
    </w:tbl>
    <w:p>
      <w:pPr>
        <w:spacing w:after="0" w:line="117" w:lineRule="exact"/>
        <w:rPr>
          <w:sz w:val="20"/>
          <w:szCs w:val="20"/>
          <w:color w:val="auto"/>
        </w:rPr>
      </w:pPr>
    </w:p>
    <w:p>
      <w:pPr>
        <w:ind w:left="180" w:hanging="151"/>
        <w:spacing w:after="0"/>
        <w:tabs>
          <w:tab w:leader="none" w:pos="18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Interest Charges</w:t>
      </w:r>
    </w:p>
    <w:p>
      <w:pPr>
        <w:spacing w:after="0" w:line="117" w:lineRule="exact"/>
        <w:rPr>
          <w:rFonts w:ascii="Times New Roman" w:cs="Times New Roman" w:eastAsia="Times New Roman" w:hAnsi="Times New Roman"/>
          <w:sz w:val="19"/>
          <w:szCs w:val="19"/>
          <w:color w:val="auto"/>
        </w:rPr>
      </w:pPr>
    </w:p>
    <w:p>
      <w:pPr>
        <w:ind w:left="180" w:hanging="151"/>
        <w:spacing w:after="0"/>
        <w:tabs>
          <w:tab w:leader="none" w:pos="18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Federal, state, local and foreign income Taxes</w:t>
      </w:r>
    </w:p>
    <w:p>
      <w:pPr>
        <w:spacing w:after="0" w:line="117" w:lineRule="exact"/>
        <w:rPr>
          <w:rFonts w:ascii="Times New Roman" w:cs="Times New Roman" w:eastAsia="Times New Roman" w:hAnsi="Times New Roman"/>
          <w:sz w:val="19"/>
          <w:szCs w:val="19"/>
          <w:color w:val="auto"/>
        </w:rPr>
      </w:pPr>
    </w:p>
    <w:p>
      <w:pPr>
        <w:ind w:left="180" w:hanging="151"/>
        <w:spacing w:after="0"/>
        <w:tabs>
          <w:tab w:leader="none" w:pos="18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depreciation expense</w:t>
      </w:r>
    </w:p>
    <w:p>
      <w:pPr>
        <w:spacing w:after="0" w:line="117" w:lineRule="exact"/>
        <w:rPr>
          <w:rFonts w:ascii="Times New Roman" w:cs="Times New Roman" w:eastAsia="Times New Roman" w:hAnsi="Times New Roman"/>
          <w:sz w:val="19"/>
          <w:szCs w:val="19"/>
          <w:color w:val="auto"/>
        </w:rPr>
      </w:pPr>
    </w:p>
    <w:p>
      <w:pPr>
        <w:ind w:left="180" w:hanging="151"/>
        <w:spacing w:after="0"/>
        <w:tabs>
          <w:tab w:leader="none" w:pos="18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amortization expense</w:t>
      </w:r>
    </w:p>
    <w:p>
      <w:pPr>
        <w:spacing w:after="0" w:line="117" w:lineRule="exact"/>
        <w:rPr>
          <w:rFonts w:ascii="Times New Roman" w:cs="Times New Roman" w:eastAsia="Times New Roman" w:hAnsi="Times New Roman"/>
          <w:sz w:val="19"/>
          <w:szCs w:val="19"/>
          <w:color w:val="auto"/>
        </w:rPr>
      </w:pPr>
    </w:p>
    <w:p>
      <w:pPr>
        <w:ind w:left="320" w:right="7380" w:hanging="291"/>
        <w:spacing w:after="0" w:line="270" w:lineRule="auto"/>
        <w:tabs>
          <w:tab w:leader="none" w:pos="177"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charges related to purchase accounting adjustments required by FASB ASC Topic 805</w:t>
      </w:r>
    </w:p>
    <w:p>
      <w:pPr>
        <w:spacing w:after="0" w:line="63" w:lineRule="exact"/>
        <w:rPr>
          <w:rFonts w:ascii="Times New Roman" w:cs="Times New Roman" w:eastAsia="Times New Roman" w:hAnsi="Times New Roman"/>
          <w:sz w:val="19"/>
          <w:szCs w:val="19"/>
          <w:color w:val="auto"/>
        </w:rPr>
      </w:pPr>
    </w:p>
    <w:p>
      <w:pPr>
        <w:ind w:left="180" w:hanging="151"/>
        <w:spacing w:after="0"/>
        <w:tabs>
          <w:tab w:leader="none" w:pos="18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non-cash charges relating to stock based compensation</w:t>
      </w:r>
    </w:p>
    <w:p>
      <w:pPr>
        <w:spacing w:after="0" w:line="117" w:lineRule="exact"/>
        <w:rPr>
          <w:rFonts w:ascii="Times New Roman" w:cs="Times New Roman" w:eastAsia="Times New Roman" w:hAnsi="Times New Roman"/>
          <w:sz w:val="19"/>
          <w:szCs w:val="19"/>
          <w:color w:val="auto"/>
        </w:rPr>
      </w:pPr>
    </w:p>
    <w:p>
      <w:pPr>
        <w:ind w:left="180" w:hanging="151"/>
        <w:spacing w:after="0"/>
        <w:tabs>
          <w:tab w:leader="none" w:pos="18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non-cash charges</w:t>
      </w:r>
    </w:p>
    <w:p>
      <w:pPr>
        <w:spacing w:after="0" w:line="117" w:lineRule="exact"/>
        <w:rPr>
          <w:rFonts w:ascii="Times New Roman" w:cs="Times New Roman" w:eastAsia="Times New Roman" w:hAnsi="Times New Roman"/>
          <w:sz w:val="19"/>
          <w:szCs w:val="19"/>
          <w:color w:val="auto"/>
        </w:rPr>
      </w:pPr>
    </w:p>
    <w:p>
      <w:pPr>
        <w:ind w:left="320" w:right="7080" w:hanging="291"/>
        <w:spacing w:after="0" w:line="255" w:lineRule="auto"/>
        <w:tabs>
          <w:tab w:leader="none" w:pos="177"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expenses in connection with prepayment, amendment, modification or refinancing of Indebtedness (whether or not consummated)</w:t>
      </w:r>
    </w:p>
    <w:p>
      <w:pPr>
        <w:spacing w:after="0" w:line="130" w:lineRule="exact"/>
        <w:rPr>
          <w:rFonts w:ascii="Times New Roman" w:cs="Times New Roman" w:eastAsia="Times New Roman" w:hAnsi="Times New Roman"/>
          <w:sz w:val="19"/>
          <w:szCs w:val="19"/>
          <w:color w:val="auto"/>
        </w:rPr>
      </w:pPr>
    </w:p>
    <w:p>
      <w:pPr>
        <w:ind w:left="320" w:right="7180" w:hanging="291"/>
        <w:spacing w:after="0" w:line="247" w:lineRule="auto"/>
        <w:tabs>
          <w:tab w:leader="none" w:pos="177"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non-capitalized transaction costs incurred during such period in connection with an incurrence of Indebtedness, during a refinancing thereof, issuance of Equity Interests, Investment, Acquisition, Disposition or recapitalization (whether or not consummated), as permitted</w:t>
      </w:r>
    </w:p>
    <w:p>
      <w:pPr>
        <w:spacing w:after="0" w:line="136" w:lineRule="exact"/>
        <w:rPr>
          <w:rFonts w:ascii="Times New Roman" w:cs="Times New Roman" w:eastAsia="Times New Roman" w:hAnsi="Times New Roman"/>
          <w:sz w:val="19"/>
          <w:szCs w:val="19"/>
          <w:color w:val="auto"/>
        </w:rPr>
      </w:pPr>
    </w:p>
    <w:p>
      <w:pPr>
        <w:ind w:left="320" w:right="7000" w:hanging="291"/>
        <w:spacing w:after="0" w:line="250" w:lineRule="auto"/>
        <w:tabs>
          <w:tab w:leader="none" w:pos="177"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tender premiums, redemption premiums, fees and other amounts and expenses incurred in connection with the tender for and/or redemption of Indebtedness incurred under Section 7.03(j)</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SCHEDULE 2</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40"/>
          </w:cols>
          <w:pgMar w:left="240" w:top="605" w:right="219" w:bottom="1440" w:gutter="0" w:footer="0" w:header="0"/>
        </w:sectPr>
      </w:pPr>
    </w:p>
    <w:bookmarkStart w:id="299" w:name="page300"/>
    <w:bookmarkEnd w:id="299"/>
    <w:tbl>
      <w:tblPr>
        <w:tblLayout w:type="fixed"/>
        <w:tblInd w:w="40" w:type="dxa"/>
        <w:tblCellMar>
          <w:top w:w="0" w:type="dxa"/>
          <w:left w:w="0" w:type="dxa"/>
          <w:bottom w:w="0" w:type="dxa"/>
          <w:right w:w="0" w:type="dxa"/>
        </w:tblCellMar>
      </w:tblPr>
      <w:tr>
        <w:trPr>
          <w:trHeight w:val="220"/>
        </w:trPr>
        <w:tc>
          <w:tcPr>
            <w:tcW w:w="3300" w:type="dxa"/>
            <w:vAlign w:val="bottom"/>
          </w:tcPr>
          <w:p>
            <w:pPr>
              <w:spacing w:after="0"/>
              <w:rPr>
                <w:sz w:val="19"/>
                <w:szCs w:val="19"/>
                <w:color w:val="auto"/>
              </w:rPr>
            </w:pPr>
          </w:p>
        </w:tc>
        <w:tc>
          <w:tcPr>
            <w:tcW w:w="2480" w:type="dxa"/>
            <w:vAlign w:val="bottom"/>
          </w:tcPr>
          <w:p>
            <w:pPr>
              <w:jc w:val="center"/>
              <w:ind w:left="1005"/>
              <w:spacing w:after="0"/>
              <w:rPr>
                <w:sz w:val="20"/>
                <w:szCs w:val="20"/>
                <w:color w:val="auto"/>
              </w:rPr>
            </w:pPr>
            <w:r>
              <w:rPr>
                <w:rFonts w:ascii="Times New Roman" w:cs="Times New Roman" w:eastAsia="Times New Roman" w:hAnsi="Times New Roman"/>
                <w:sz w:val="19"/>
                <w:szCs w:val="19"/>
                <w:b w:val="1"/>
                <w:bCs w:val="1"/>
                <w:color w:val="auto"/>
                <w:w w:val="99"/>
              </w:rPr>
              <w:t>Quarter</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Quarter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Quarter</w:t>
            </w:r>
          </w:p>
        </w:tc>
        <w:tc>
          <w:tcPr>
            <w:tcW w:w="1260" w:type="dxa"/>
            <w:vAlign w:val="bottom"/>
          </w:tcPr>
          <w:p>
            <w:pPr>
              <w:jc w:val="center"/>
              <w:ind w:left="25"/>
              <w:spacing w:after="0"/>
              <w:rPr>
                <w:sz w:val="20"/>
                <w:szCs w:val="20"/>
                <w:color w:val="auto"/>
              </w:rPr>
            </w:pPr>
            <w:r>
              <w:rPr>
                <w:rFonts w:ascii="Times New Roman" w:cs="Times New Roman" w:eastAsia="Times New Roman" w:hAnsi="Times New Roman"/>
                <w:sz w:val="19"/>
                <w:szCs w:val="19"/>
                <w:b w:val="1"/>
                <w:bCs w:val="1"/>
                <w:color w:val="auto"/>
                <w:w w:val="99"/>
              </w:rPr>
              <w:t>Quarter</w:t>
            </w:r>
          </w:p>
        </w:tc>
        <w:tc>
          <w:tcPr>
            <w:tcW w:w="146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w w:val="95"/>
              </w:rPr>
              <w:t>Twelve Months</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Consolidated EBITDA</w:t>
            </w:r>
          </w:p>
        </w:tc>
        <w:tc>
          <w:tcPr>
            <w:tcW w:w="2480" w:type="dxa"/>
            <w:vAlign w:val="bottom"/>
          </w:tcPr>
          <w:p>
            <w:pPr>
              <w:jc w:val="center"/>
              <w:ind w:left="1025"/>
              <w:spacing w:after="0"/>
              <w:rPr>
                <w:sz w:val="20"/>
                <w:szCs w:val="20"/>
                <w:color w:val="auto"/>
              </w:rPr>
            </w:pPr>
            <w:r>
              <w:rPr>
                <w:rFonts w:ascii="Times New Roman" w:cs="Times New Roman" w:eastAsia="Times New Roman" w:hAnsi="Times New Roman"/>
                <w:sz w:val="19"/>
                <w:szCs w:val="19"/>
                <w:b w:val="1"/>
                <w:bCs w:val="1"/>
                <w:color w:val="auto"/>
                <w:w w:val="98"/>
              </w:rPr>
              <w:t>Ended</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Ended</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Ended</w:t>
            </w:r>
          </w:p>
        </w:tc>
        <w:tc>
          <w:tcPr>
            <w:tcW w:w="1260" w:type="dxa"/>
            <w:vAlign w:val="bottom"/>
          </w:tcPr>
          <w:p>
            <w:pPr>
              <w:jc w:val="center"/>
              <w:ind w:left="25"/>
              <w:spacing w:after="0"/>
              <w:rPr>
                <w:sz w:val="20"/>
                <w:szCs w:val="20"/>
                <w:color w:val="auto"/>
              </w:rPr>
            </w:pPr>
            <w:r>
              <w:rPr>
                <w:rFonts w:ascii="Times New Roman" w:cs="Times New Roman" w:eastAsia="Times New Roman" w:hAnsi="Times New Roman"/>
                <w:sz w:val="19"/>
                <w:szCs w:val="19"/>
                <w:b w:val="1"/>
                <w:bCs w:val="1"/>
                <w:color w:val="auto"/>
              </w:rPr>
              <w:t>Ended</w:t>
            </w:r>
          </w:p>
        </w:tc>
        <w:tc>
          <w:tcPr>
            <w:tcW w:w="1460" w:type="dxa"/>
            <w:vAlign w:val="bottom"/>
          </w:tcPr>
          <w:p>
            <w:pPr>
              <w:ind w:left="620"/>
              <w:spacing w:after="0"/>
              <w:rPr>
                <w:sz w:val="20"/>
                <w:szCs w:val="20"/>
                <w:color w:val="auto"/>
              </w:rPr>
            </w:pPr>
            <w:r>
              <w:rPr>
                <w:rFonts w:ascii="Times New Roman" w:cs="Times New Roman" w:eastAsia="Times New Roman" w:hAnsi="Times New Roman"/>
                <w:sz w:val="19"/>
                <w:szCs w:val="19"/>
                <w:b w:val="1"/>
                <w:bCs w:val="1"/>
                <w:color w:val="auto"/>
              </w:rPr>
              <w:t>Ended</w:t>
            </w:r>
          </w:p>
        </w:tc>
      </w:tr>
      <w:tr>
        <w:trPr>
          <w:trHeight w:val="275"/>
        </w:trPr>
        <w:tc>
          <w:tcPr>
            <w:tcW w:w="3300" w:type="dxa"/>
            <w:vAlign w:val="bottom"/>
          </w:tcPr>
          <w:p>
            <w:pPr>
              <w:spacing w:after="0"/>
              <w:rPr>
                <w:sz w:val="23"/>
                <w:szCs w:val="23"/>
                <w:color w:val="auto"/>
              </w:rPr>
            </w:pPr>
          </w:p>
        </w:tc>
        <w:tc>
          <w:tcPr>
            <w:tcW w:w="2480" w:type="dxa"/>
            <w:vAlign w:val="bottom"/>
          </w:tcPr>
          <w:p>
            <w:pPr>
              <w:jc w:val="center"/>
              <w:ind w:left="1065"/>
              <w:spacing w:after="0"/>
              <w:rPr>
                <w:sz w:val="20"/>
                <w:szCs w:val="20"/>
                <w:color w:val="auto"/>
              </w:rPr>
            </w:pPr>
            <w:r>
              <w:rPr>
                <w:rFonts w:ascii="Times New Roman" w:cs="Times New Roman" w:eastAsia="Times New Roman" w:hAnsi="Times New Roman"/>
                <w:sz w:val="19"/>
                <w:szCs w:val="19"/>
                <w:b w:val="1"/>
                <w:bCs w:val="1"/>
                <w:color w:val="auto"/>
              </w:rPr>
              <w:t>_____</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_____</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_____</w:t>
            </w:r>
          </w:p>
        </w:tc>
        <w:tc>
          <w:tcPr>
            <w:tcW w:w="1260" w:type="dxa"/>
            <w:vAlign w:val="bottom"/>
          </w:tcPr>
          <w:p>
            <w:pPr>
              <w:jc w:val="center"/>
              <w:ind w:left="85"/>
              <w:spacing w:after="0"/>
              <w:rPr>
                <w:sz w:val="20"/>
                <w:szCs w:val="20"/>
                <w:color w:val="auto"/>
              </w:rPr>
            </w:pPr>
            <w:r>
              <w:rPr>
                <w:rFonts w:ascii="Times New Roman" w:cs="Times New Roman" w:eastAsia="Times New Roman" w:hAnsi="Times New Roman"/>
                <w:sz w:val="19"/>
                <w:szCs w:val="19"/>
                <w:b w:val="1"/>
                <w:bCs w:val="1"/>
                <w:color w:val="auto"/>
              </w:rPr>
              <w:t>_____</w:t>
            </w:r>
          </w:p>
        </w:tc>
        <w:tc>
          <w:tcPr>
            <w:tcW w:w="1460" w:type="dxa"/>
            <w:vAlign w:val="bottom"/>
          </w:tcPr>
          <w:p>
            <w:pPr>
              <w:ind w:left="640"/>
              <w:spacing w:after="0"/>
              <w:rPr>
                <w:sz w:val="20"/>
                <w:szCs w:val="20"/>
                <w:color w:val="auto"/>
              </w:rPr>
            </w:pPr>
            <w:r>
              <w:rPr>
                <w:rFonts w:ascii="Times New Roman" w:cs="Times New Roman" w:eastAsia="Times New Roman" w:hAnsi="Times New Roman"/>
                <w:sz w:val="19"/>
                <w:szCs w:val="19"/>
                <w:b w:val="1"/>
                <w:bCs w:val="1"/>
                <w:color w:val="auto"/>
              </w:rPr>
              <w:t>_____</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474980</wp:posOffset>
            </wp:positionV>
            <wp:extent cx="7260590" cy="6153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0590" cy="6153150"/>
                    </a:xfrm>
                    <a:prstGeom prst="rect">
                      <a:avLst/>
                    </a:prstGeom>
                    <a:noFill/>
                  </pic:spPr>
                </pic:pic>
              </a:graphicData>
            </a:graphic>
          </wp:anchor>
        </w:drawing>
      </w:r>
    </w:p>
    <w:p>
      <w:pPr>
        <w:ind w:left="320" w:right="7060" w:hanging="291"/>
        <w:spacing w:after="0" w:line="250" w:lineRule="auto"/>
        <w:tabs>
          <w:tab w:leader="none" w:pos="177"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earn-out expenses resulting from Permitted Acquisitions in which the Company and/or any Restricted Subsidiary is required to treat such earn-out expenses as compensation costs</w:t>
      </w:r>
    </w:p>
    <w:p>
      <w:pPr>
        <w:spacing w:after="0" w:line="84" w:lineRule="exact"/>
        <w:rPr>
          <w:rFonts w:ascii="Times New Roman" w:cs="Times New Roman" w:eastAsia="Times New Roman" w:hAnsi="Times New Roman"/>
          <w:sz w:val="19"/>
          <w:szCs w:val="19"/>
          <w:color w:val="auto"/>
        </w:rPr>
      </w:pPr>
    </w:p>
    <w:p>
      <w:pPr>
        <w:ind w:left="320" w:right="7080" w:hanging="291"/>
        <w:spacing w:after="0" w:line="270" w:lineRule="auto"/>
        <w:tabs>
          <w:tab w:leader="none" w:pos="177"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expenses arising from the impact of FASB ASC 470-50-40</w:t>
      </w:r>
    </w:p>
    <w:p>
      <w:pPr>
        <w:spacing w:after="0" w:line="63" w:lineRule="exact"/>
        <w:rPr>
          <w:rFonts w:ascii="Times New Roman" w:cs="Times New Roman" w:eastAsia="Times New Roman" w:hAnsi="Times New Roman"/>
          <w:sz w:val="19"/>
          <w:szCs w:val="19"/>
          <w:color w:val="auto"/>
        </w:rPr>
      </w:pPr>
    </w:p>
    <w:p>
      <w:pPr>
        <w:ind w:left="320" w:right="6980" w:hanging="291"/>
        <w:spacing w:after="0" w:line="270" w:lineRule="auto"/>
        <w:tabs>
          <w:tab w:leader="none" w:pos="177"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losses from Swap Contracts and FASB ASC Topic 815</w:t>
      </w:r>
    </w:p>
    <w:p>
      <w:pPr>
        <w:spacing w:after="0" w:line="63" w:lineRule="exact"/>
        <w:rPr>
          <w:rFonts w:ascii="Times New Roman" w:cs="Times New Roman" w:eastAsia="Times New Roman" w:hAnsi="Times New Roman"/>
          <w:sz w:val="19"/>
          <w:szCs w:val="19"/>
          <w:color w:val="auto"/>
        </w:rPr>
      </w:pPr>
    </w:p>
    <w:p>
      <w:pPr>
        <w:ind w:left="180" w:hanging="151"/>
        <w:spacing w:after="0"/>
        <w:tabs>
          <w:tab w:leader="none" w:pos="180"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losses from currency translation losses</w:t>
      </w:r>
    </w:p>
    <w:p>
      <w:pPr>
        <w:spacing w:after="0" w:line="117" w:lineRule="exact"/>
        <w:rPr>
          <w:rFonts w:ascii="Times New Roman" w:cs="Times New Roman" w:eastAsia="Times New Roman" w:hAnsi="Times New Roman"/>
          <w:sz w:val="19"/>
          <w:szCs w:val="19"/>
          <w:color w:val="auto"/>
        </w:rPr>
      </w:pPr>
    </w:p>
    <w:p>
      <w:pPr>
        <w:ind w:left="320" w:right="6860" w:hanging="291"/>
        <w:spacing w:after="0" w:line="270" w:lineRule="auto"/>
        <w:tabs>
          <w:tab w:leader="none" w:pos="177"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losses from the early extinguishment of Indebtedness or Swap Contracts</w:t>
      </w:r>
    </w:p>
    <w:p>
      <w:pPr>
        <w:spacing w:after="0" w:line="63" w:lineRule="exact"/>
        <w:rPr>
          <w:rFonts w:ascii="Times New Roman" w:cs="Times New Roman" w:eastAsia="Times New Roman" w:hAnsi="Times New Roman"/>
          <w:sz w:val="19"/>
          <w:szCs w:val="19"/>
          <w:color w:val="auto"/>
        </w:rPr>
      </w:pPr>
    </w:p>
    <w:p>
      <w:pPr>
        <w:ind w:left="180" w:hanging="151"/>
        <w:spacing w:after="0"/>
        <w:tabs>
          <w:tab w:leader="none" w:pos="180"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non-recurring or unusual charges</w:t>
      </w:r>
    </w:p>
    <w:p>
      <w:pPr>
        <w:spacing w:after="0" w:line="169" w:lineRule="exact"/>
        <w:rPr>
          <w:rFonts w:ascii="Times New Roman" w:cs="Times New Roman" w:eastAsia="Times New Roman" w:hAnsi="Times New Roman"/>
          <w:sz w:val="19"/>
          <w:szCs w:val="19"/>
          <w:color w:val="auto"/>
        </w:rPr>
      </w:pPr>
    </w:p>
    <w:p>
      <w:pPr>
        <w:ind w:left="320" w:right="6880" w:hanging="291"/>
        <w:spacing w:after="0" w:line="250" w:lineRule="auto"/>
        <w:tabs>
          <w:tab w:leader="none" w:pos="177"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charges paid in connection with corporate restructurings (including severance costs in connection with any reduction in the workforce of the Company and its Restricted Subsidiaries)</w:t>
      </w:r>
    </w:p>
    <w:p>
      <w:pPr>
        <w:spacing w:after="0" w:line="136" w:lineRule="exact"/>
        <w:rPr>
          <w:rFonts w:ascii="Times New Roman" w:cs="Times New Roman" w:eastAsia="Times New Roman" w:hAnsi="Times New Roman"/>
          <w:sz w:val="19"/>
          <w:szCs w:val="19"/>
          <w:color w:val="auto"/>
        </w:rPr>
      </w:pPr>
    </w:p>
    <w:p>
      <w:pPr>
        <w:ind w:left="320" w:right="6900" w:hanging="291"/>
        <w:spacing w:after="0" w:line="245" w:lineRule="auto"/>
        <w:tabs>
          <w:tab w:leader="none" w:pos="177"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expected cost savings, operating expense reductions, restructuring charges and expenses and cost-saving synergies projected by the Company in good faith to result from actions with respect to which substantial steps have been, will be, or are expected to be, taken (in the good faith determination of the Company and evidenced by a certificate of a Responsible Officer of the Company) within 15 months of Subject Period</w:t>
      </w:r>
    </w:p>
    <w:p>
      <w:pPr>
        <w:spacing w:after="0" w:line="141" w:lineRule="exact"/>
        <w:rPr>
          <w:sz w:val="20"/>
          <w:szCs w:val="20"/>
          <w:color w:val="auto"/>
        </w:rPr>
      </w:pPr>
    </w:p>
    <w:p>
      <w:pPr>
        <w:ind w:left="140" w:hanging="111"/>
        <w:spacing w:after="0"/>
        <w:tabs>
          <w:tab w:leader="none" w:pos="14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Federal, state, local and foreign income tax credits</w:t>
      </w:r>
    </w:p>
    <w:p>
      <w:pPr>
        <w:spacing w:after="0" w:line="169" w:lineRule="exact"/>
        <w:rPr>
          <w:rFonts w:ascii="Times New Roman" w:cs="Times New Roman" w:eastAsia="Times New Roman" w:hAnsi="Times New Roman"/>
          <w:sz w:val="19"/>
          <w:szCs w:val="19"/>
          <w:color w:val="auto"/>
        </w:rPr>
      </w:pPr>
    </w:p>
    <w:p>
      <w:pPr>
        <w:ind w:left="320" w:right="7080" w:hanging="291"/>
        <w:spacing w:after="0" w:line="270" w:lineRule="auto"/>
        <w:tabs>
          <w:tab w:leader="none" w:pos="133"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gains from Swap Contracts and FASB ASC Topic 815</w:t>
      </w:r>
    </w:p>
    <w:p>
      <w:pPr>
        <w:spacing w:after="0" w:line="63" w:lineRule="exact"/>
        <w:rPr>
          <w:rFonts w:ascii="Times New Roman" w:cs="Times New Roman" w:eastAsia="Times New Roman" w:hAnsi="Times New Roman"/>
          <w:sz w:val="19"/>
          <w:szCs w:val="19"/>
          <w:color w:val="auto"/>
        </w:rPr>
      </w:pPr>
    </w:p>
    <w:p>
      <w:pPr>
        <w:ind w:left="320" w:right="7300" w:hanging="291"/>
        <w:spacing w:after="0" w:line="270" w:lineRule="auto"/>
        <w:tabs>
          <w:tab w:leader="none" w:pos="133"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net gain incurred in such period from currency translation gains</w:t>
      </w:r>
    </w:p>
    <w:p>
      <w:pPr>
        <w:spacing w:after="0" w:line="141" w:lineRule="exact"/>
        <w:rPr>
          <w:rFonts w:ascii="Times New Roman" w:cs="Times New Roman" w:eastAsia="Times New Roman" w:hAnsi="Times New Roman"/>
          <w:sz w:val="19"/>
          <w:szCs w:val="19"/>
          <w:color w:val="auto"/>
        </w:rPr>
      </w:pPr>
    </w:p>
    <w:p>
      <w:pPr>
        <w:ind w:left="320" w:right="6960" w:hanging="291"/>
        <w:spacing w:after="0" w:line="270" w:lineRule="auto"/>
        <w:tabs>
          <w:tab w:leader="none" w:pos="133"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gains from the early extinguishment of Indebtedness or Swap Contracts or other derivative instruments</w:t>
      </w:r>
    </w:p>
    <w:p>
      <w:pPr>
        <w:spacing w:after="0" w:line="115" w:lineRule="exact"/>
        <w:rPr>
          <w:rFonts w:ascii="Times New Roman" w:cs="Times New Roman" w:eastAsia="Times New Roman" w:hAnsi="Times New Roman"/>
          <w:sz w:val="19"/>
          <w:szCs w:val="19"/>
          <w:color w:val="auto"/>
        </w:rPr>
      </w:pPr>
    </w:p>
    <w:p>
      <w:pPr>
        <w:ind w:left="140" w:hanging="111"/>
        <w:spacing w:after="0"/>
        <w:tabs>
          <w:tab w:leader="none" w:pos="14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non-cash additions to Consolidated Net Income</w:t>
      </w: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SCHEDULE 2</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280"/>
          </w:cols>
          <w:pgMar w:left="240" w:top="761" w:right="379" w:bottom="1440" w:gutter="0" w:footer="0" w:header="0"/>
        </w:sectPr>
      </w:pPr>
    </w:p>
    <w:bookmarkStart w:id="300" w:name="page301"/>
    <w:bookmarkEnd w:id="300"/>
    <w:tbl>
      <w:tblPr>
        <w:tblLayout w:type="fixed"/>
        <w:tblInd w:w="10" w:type="dxa"/>
        <w:tblCellMar>
          <w:top w:w="0" w:type="dxa"/>
          <w:left w:w="0" w:type="dxa"/>
          <w:bottom w:w="0" w:type="dxa"/>
          <w:right w:w="0" w:type="dxa"/>
        </w:tblCellMar>
      </w:tblPr>
      <w:tr>
        <w:trPr>
          <w:trHeight w:val="234"/>
        </w:trPr>
        <w:tc>
          <w:tcPr>
            <w:tcW w:w="4480" w:type="dxa"/>
            <w:vAlign w:val="bottom"/>
            <w:tcBorders>
              <w:top w:val="single" w:sz="8" w:color="00000A"/>
              <w:left w:val="single" w:sz="8" w:color="00000A"/>
              <w:right w:val="single" w:sz="8" w:color="00000A"/>
            </w:tcBorders>
          </w:tcPr>
          <w:p>
            <w:pPr>
              <w:spacing w:after="0"/>
              <w:rPr>
                <w:sz w:val="20"/>
                <w:szCs w:val="20"/>
                <w:color w:val="auto"/>
              </w:rPr>
            </w:pPr>
          </w:p>
        </w:tc>
        <w:tc>
          <w:tcPr>
            <w:tcW w:w="138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Quarter</w:t>
            </w:r>
          </w:p>
        </w:tc>
        <w:tc>
          <w:tcPr>
            <w:tcW w:w="138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Quarter</w:t>
            </w:r>
          </w:p>
        </w:tc>
        <w:tc>
          <w:tcPr>
            <w:tcW w:w="136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Quarter</w:t>
            </w:r>
          </w:p>
        </w:tc>
        <w:tc>
          <w:tcPr>
            <w:tcW w:w="138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Quarter</w:t>
            </w:r>
          </w:p>
        </w:tc>
        <w:tc>
          <w:tcPr>
            <w:tcW w:w="146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Twelve Months</w:t>
            </w:r>
          </w:p>
        </w:tc>
      </w:tr>
      <w:tr>
        <w:trPr>
          <w:trHeight w:val="220"/>
        </w:trPr>
        <w:tc>
          <w:tcPr>
            <w:tcW w:w="448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Consolidated EBITDA</w:t>
            </w:r>
          </w:p>
        </w:tc>
        <w:tc>
          <w:tcPr>
            <w:tcW w:w="13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Ended</w:t>
            </w:r>
          </w:p>
        </w:tc>
        <w:tc>
          <w:tcPr>
            <w:tcW w:w="13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Ended</w:t>
            </w:r>
          </w:p>
        </w:tc>
        <w:tc>
          <w:tcPr>
            <w:tcW w:w="13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Ended</w:t>
            </w:r>
          </w:p>
        </w:tc>
        <w:tc>
          <w:tcPr>
            <w:tcW w:w="13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Ended</w:t>
            </w:r>
          </w:p>
        </w:tc>
        <w:tc>
          <w:tcPr>
            <w:tcW w:w="14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Ended</w:t>
            </w:r>
          </w:p>
        </w:tc>
      </w:tr>
      <w:tr>
        <w:trPr>
          <w:trHeight w:val="275"/>
        </w:trPr>
        <w:tc>
          <w:tcPr>
            <w:tcW w:w="4480" w:type="dxa"/>
            <w:vAlign w:val="bottom"/>
            <w:tcBorders>
              <w:left w:val="single" w:sz="8" w:color="00000A"/>
              <w:right w:val="single" w:sz="8" w:color="00000A"/>
            </w:tcBorders>
          </w:tcPr>
          <w:p>
            <w:pPr>
              <w:spacing w:after="0"/>
              <w:rPr>
                <w:sz w:val="23"/>
                <w:szCs w:val="23"/>
                <w:color w:val="auto"/>
              </w:rPr>
            </w:pPr>
          </w:p>
        </w:tc>
        <w:tc>
          <w:tcPr>
            <w:tcW w:w="13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_____</w:t>
            </w:r>
          </w:p>
        </w:tc>
        <w:tc>
          <w:tcPr>
            <w:tcW w:w="13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_____</w:t>
            </w:r>
          </w:p>
        </w:tc>
        <w:tc>
          <w:tcPr>
            <w:tcW w:w="13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_____</w:t>
            </w:r>
          </w:p>
        </w:tc>
        <w:tc>
          <w:tcPr>
            <w:tcW w:w="13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_____</w:t>
            </w:r>
          </w:p>
        </w:tc>
        <w:tc>
          <w:tcPr>
            <w:tcW w:w="14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_____</w:t>
            </w:r>
          </w:p>
        </w:tc>
      </w:tr>
      <w:tr>
        <w:trPr>
          <w:trHeight w:val="73"/>
        </w:trPr>
        <w:tc>
          <w:tcPr>
            <w:tcW w:w="4480" w:type="dxa"/>
            <w:vAlign w:val="bottom"/>
            <w:tcBorders>
              <w:left w:val="single" w:sz="8" w:color="00000A"/>
              <w:bottom w:val="single" w:sz="8" w:color="00000A"/>
              <w:right w:val="single" w:sz="8" w:color="00000A"/>
            </w:tcBorders>
          </w:tcPr>
          <w:p>
            <w:pPr>
              <w:spacing w:after="0"/>
              <w:rPr>
                <w:sz w:val="6"/>
                <w:szCs w:val="6"/>
                <w:color w:val="auto"/>
              </w:rPr>
            </w:pPr>
          </w:p>
        </w:tc>
        <w:tc>
          <w:tcPr>
            <w:tcW w:w="1380" w:type="dxa"/>
            <w:vAlign w:val="bottom"/>
            <w:tcBorders>
              <w:bottom w:val="single" w:sz="8" w:color="00000A"/>
              <w:right w:val="single" w:sz="8" w:color="00000A"/>
            </w:tcBorders>
          </w:tcPr>
          <w:p>
            <w:pPr>
              <w:spacing w:after="0"/>
              <w:rPr>
                <w:sz w:val="6"/>
                <w:szCs w:val="6"/>
                <w:color w:val="auto"/>
              </w:rPr>
            </w:pPr>
          </w:p>
        </w:tc>
        <w:tc>
          <w:tcPr>
            <w:tcW w:w="1380" w:type="dxa"/>
            <w:vAlign w:val="bottom"/>
            <w:tcBorders>
              <w:bottom w:val="single" w:sz="8" w:color="00000A"/>
              <w:right w:val="single" w:sz="8" w:color="00000A"/>
            </w:tcBorders>
          </w:tcPr>
          <w:p>
            <w:pPr>
              <w:spacing w:after="0"/>
              <w:rPr>
                <w:sz w:val="6"/>
                <w:szCs w:val="6"/>
                <w:color w:val="auto"/>
              </w:rPr>
            </w:pPr>
          </w:p>
        </w:tc>
        <w:tc>
          <w:tcPr>
            <w:tcW w:w="1360" w:type="dxa"/>
            <w:vAlign w:val="bottom"/>
            <w:tcBorders>
              <w:bottom w:val="single" w:sz="8" w:color="00000A"/>
              <w:right w:val="single" w:sz="8" w:color="00000A"/>
            </w:tcBorders>
          </w:tcPr>
          <w:p>
            <w:pPr>
              <w:spacing w:after="0"/>
              <w:rPr>
                <w:sz w:val="6"/>
                <w:szCs w:val="6"/>
                <w:color w:val="auto"/>
              </w:rPr>
            </w:pPr>
          </w:p>
        </w:tc>
        <w:tc>
          <w:tcPr>
            <w:tcW w:w="1380" w:type="dxa"/>
            <w:vAlign w:val="bottom"/>
            <w:tcBorders>
              <w:bottom w:val="single" w:sz="8" w:color="00000A"/>
              <w:right w:val="single" w:sz="8" w:color="00000A"/>
            </w:tcBorders>
          </w:tcPr>
          <w:p>
            <w:pPr>
              <w:spacing w:after="0"/>
              <w:rPr>
                <w:sz w:val="6"/>
                <w:szCs w:val="6"/>
                <w:color w:val="auto"/>
              </w:rPr>
            </w:pPr>
          </w:p>
        </w:tc>
        <w:tc>
          <w:tcPr>
            <w:tcW w:w="1460" w:type="dxa"/>
            <w:vAlign w:val="bottom"/>
            <w:tcBorders>
              <w:bottom w:val="single" w:sz="8" w:color="00000A"/>
              <w:right w:val="single" w:sz="8" w:color="00000A"/>
            </w:tcBorders>
          </w:tcPr>
          <w:p>
            <w:pPr>
              <w:spacing w:after="0"/>
              <w:rPr>
                <w:sz w:val="6"/>
                <w:szCs w:val="6"/>
                <w:color w:val="auto"/>
              </w:rPr>
            </w:pPr>
          </w:p>
        </w:tc>
      </w:tr>
      <w:tr>
        <w:trPr>
          <w:trHeight w:val="294"/>
        </w:trPr>
        <w:tc>
          <w:tcPr>
            <w:tcW w:w="4480" w:type="dxa"/>
            <w:vAlign w:val="bottom"/>
            <w:tcBorders>
              <w:left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9"/>
                <w:szCs w:val="19"/>
                <w:color w:val="auto"/>
              </w:rPr>
              <w:t>= Consolidated EBITDA</w:t>
            </w:r>
          </w:p>
        </w:tc>
        <w:tc>
          <w:tcPr>
            <w:tcW w:w="1380" w:type="dxa"/>
            <w:vAlign w:val="bottom"/>
            <w:tcBorders>
              <w:right w:val="single" w:sz="8" w:color="00000A"/>
            </w:tcBorders>
          </w:tcPr>
          <w:p>
            <w:pPr>
              <w:spacing w:after="0"/>
              <w:rPr>
                <w:sz w:val="24"/>
                <w:szCs w:val="24"/>
                <w:color w:val="auto"/>
              </w:rPr>
            </w:pPr>
          </w:p>
        </w:tc>
        <w:tc>
          <w:tcPr>
            <w:tcW w:w="1380" w:type="dxa"/>
            <w:vAlign w:val="bottom"/>
            <w:tcBorders>
              <w:right w:val="single" w:sz="8" w:color="00000A"/>
            </w:tcBorders>
          </w:tcPr>
          <w:p>
            <w:pPr>
              <w:spacing w:after="0"/>
              <w:rPr>
                <w:sz w:val="24"/>
                <w:szCs w:val="24"/>
                <w:color w:val="auto"/>
              </w:rPr>
            </w:pPr>
          </w:p>
        </w:tc>
        <w:tc>
          <w:tcPr>
            <w:tcW w:w="1360" w:type="dxa"/>
            <w:vAlign w:val="bottom"/>
            <w:tcBorders>
              <w:right w:val="single" w:sz="8" w:color="00000A"/>
            </w:tcBorders>
          </w:tcPr>
          <w:p>
            <w:pPr>
              <w:spacing w:after="0"/>
              <w:rPr>
                <w:sz w:val="24"/>
                <w:szCs w:val="24"/>
                <w:color w:val="auto"/>
              </w:rPr>
            </w:pPr>
          </w:p>
        </w:tc>
        <w:tc>
          <w:tcPr>
            <w:tcW w:w="1380" w:type="dxa"/>
            <w:vAlign w:val="bottom"/>
            <w:tcBorders>
              <w:right w:val="single" w:sz="8" w:color="00000A"/>
            </w:tcBorders>
          </w:tcPr>
          <w:p>
            <w:pPr>
              <w:spacing w:after="0"/>
              <w:rPr>
                <w:sz w:val="24"/>
                <w:szCs w:val="24"/>
                <w:color w:val="auto"/>
              </w:rPr>
            </w:pPr>
          </w:p>
        </w:tc>
        <w:tc>
          <w:tcPr>
            <w:tcW w:w="1460" w:type="dxa"/>
            <w:vAlign w:val="bottom"/>
            <w:tcBorders>
              <w:right w:val="single" w:sz="8" w:color="00000A"/>
            </w:tcBorders>
          </w:tcPr>
          <w:p>
            <w:pPr>
              <w:spacing w:after="0"/>
              <w:rPr>
                <w:sz w:val="24"/>
                <w:szCs w:val="24"/>
                <w:color w:val="auto"/>
              </w:rPr>
            </w:pPr>
          </w:p>
        </w:tc>
      </w:tr>
      <w:tr>
        <w:trPr>
          <w:trHeight w:val="73"/>
        </w:trPr>
        <w:tc>
          <w:tcPr>
            <w:tcW w:w="4480" w:type="dxa"/>
            <w:vAlign w:val="bottom"/>
            <w:tcBorders>
              <w:left w:val="single" w:sz="8" w:color="00000A"/>
              <w:bottom w:val="single" w:sz="8" w:color="00000A"/>
              <w:right w:val="single" w:sz="8" w:color="00000A"/>
            </w:tcBorders>
          </w:tcPr>
          <w:p>
            <w:pPr>
              <w:spacing w:after="0"/>
              <w:rPr>
                <w:sz w:val="6"/>
                <w:szCs w:val="6"/>
                <w:color w:val="auto"/>
              </w:rPr>
            </w:pPr>
          </w:p>
        </w:tc>
        <w:tc>
          <w:tcPr>
            <w:tcW w:w="1380" w:type="dxa"/>
            <w:vAlign w:val="bottom"/>
            <w:tcBorders>
              <w:bottom w:val="single" w:sz="8" w:color="00000A"/>
              <w:right w:val="single" w:sz="8" w:color="00000A"/>
            </w:tcBorders>
          </w:tcPr>
          <w:p>
            <w:pPr>
              <w:spacing w:after="0"/>
              <w:rPr>
                <w:sz w:val="6"/>
                <w:szCs w:val="6"/>
                <w:color w:val="auto"/>
              </w:rPr>
            </w:pPr>
          </w:p>
        </w:tc>
        <w:tc>
          <w:tcPr>
            <w:tcW w:w="1380" w:type="dxa"/>
            <w:vAlign w:val="bottom"/>
            <w:tcBorders>
              <w:bottom w:val="single" w:sz="8" w:color="00000A"/>
              <w:right w:val="single" w:sz="8" w:color="00000A"/>
            </w:tcBorders>
          </w:tcPr>
          <w:p>
            <w:pPr>
              <w:spacing w:after="0"/>
              <w:rPr>
                <w:sz w:val="6"/>
                <w:szCs w:val="6"/>
                <w:color w:val="auto"/>
              </w:rPr>
            </w:pPr>
          </w:p>
        </w:tc>
        <w:tc>
          <w:tcPr>
            <w:tcW w:w="1360" w:type="dxa"/>
            <w:vAlign w:val="bottom"/>
            <w:tcBorders>
              <w:bottom w:val="single" w:sz="8" w:color="00000A"/>
              <w:right w:val="single" w:sz="8" w:color="00000A"/>
            </w:tcBorders>
          </w:tcPr>
          <w:p>
            <w:pPr>
              <w:spacing w:after="0"/>
              <w:rPr>
                <w:sz w:val="6"/>
                <w:szCs w:val="6"/>
                <w:color w:val="auto"/>
              </w:rPr>
            </w:pPr>
          </w:p>
        </w:tc>
        <w:tc>
          <w:tcPr>
            <w:tcW w:w="1380" w:type="dxa"/>
            <w:vAlign w:val="bottom"/>
            <w:tcBorders>
              <w:bottom w:val="single" w:sz="8" w:color="00000A"/>
              <w:right w:val="single" w:sz="8" w:color="00000A"/>
            </w:tcBorders>
          </w:tcPr>
          <w:p>
            <w:pPr>
              <w:spacing w:after="0"/>
              <w:rPr>
                <w:sz w:val="6"/>
                <w:szCs w:val="6"/>
                <w:color w:val="auto"/>
              </w:rPr>
            </w:pPr>
          </w:p>
        </w:tc>
        <w:tc>
          <w:tcPr>
            <w:tcW w:w="1460" w:type="dxa"/>
            <w:vAlign w:val="bottom"/>
            <w:tcBorders>
              <w:bottom w:val="single" w:sz="8" w:color="00000A"/>
              <w:right w:val="single" w:sz="8" w:color="00000A"/>
            </w:tcBorders>
          </w:tcPr>
          <w:p>
            <w:pPr>
              <w:spacing w:after="0"/>
              <w:rPr>
                <w:sz w:val="6"/>
                <w:szCs w:val="6"/>
                <w:color w:val="auto"/>
              </w:rPr>
            </w:pPr>
          </w:p>
        </w:tc>
      </w:tr>
    </w:tbl>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SCHEDULE 2</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40"/>
          </w:cols>
          <w:pgMar w:left="240" w:top="727" w:right="219" w:bottom="1440" w:gutter="0" w:footer="0" w:header="0"/>
        </w:sectPr>
      </w:pPr>
    </w:p>
    <w:bookmarkStart w:id="301" w:name="page302"/>
    <w:bookmarkEnd w:id="301"/>
    <w:p>
      <w:pPr>
        <w:ind w:left="5560"/>
        <w:spacing w:after="0"/>
        <w:rPr>
          <w:sz w:val="20"/>
          <w:szCs w:val="20"/>
          <w:color w:val="auto"/>
        </w:rPr>
      </w:pPr>
      <w:r>
        <w:rPr>
          <w:rFonts w:ascii="Times New Roman" w:cs="Times New Roman" w:eastAsia="Times New Roman" w:hAnsi="Times New Roman"/>
          <w:sz w:val="20"/>
          <w:szCs w:val="20"/>
          <w:color w:val="auto"/>
        </w:rPr>
        <w:t>For the Quarter/Year ended ___________________(“</w:t>
      </w:r>
      <w:r>
        <w:rPr>
          <w:rFonts w:ascii="Times New Roman" w:cs="Times New Roman" w:eastAsia="Times New Roman" w:hAnsi="Times New Roman"/>
          <w:sz w:val="20"/>
          <w:szCs w:val="20"/>
          <w:u w:val="single" w:color="auto"/>
          <w:color w:val="auto"/>
        </w:rPr>
        <w:t>Statement Date</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SCHEDULE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to the Compliance Certificate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List of Loan Parties added to the Indemnity Agreement since the date of the last Compliance Certificate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SCHEDULE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605" w:right="239" w:bottom="1440" w:gutter="0" w:footer="0" w:header="0"/>
        </w:sectPr>
      </w:pPr>
    </w:p>
    <w:bookmarkStart w:id="302" w:name="page303"/>
    <w:bookmarkEnd w:id="302"/>
    <w:p>
      <w:pPr>
        <w:jc w:val="center"/>
        <w:ind w:right="-1160"/>
        <w:spacing w:after="0"/>
        <w:rPr>
          <w:sz w:val="20"/>
          <w:szCs w:val="20"/>
          <w:color w:val="auto"/>
        </w:rPr>
      </w:pPr>
      <w:r>
        <w:rPr>
          <w:rFonts w:ascii="Times New Roman" w:cs="Times New Roman" w:eastAsia="Times New Roman" w:hAnsi="Times New Roman"/>
          <w:sz w:val="21"/>
          <w:szCs w:val="21"/>
          <w:b w:val="1"/>
          <w:bCs w:val="1"/>
          <w:color w:val="auto"/>
        </w:rPr>
        <w:t>SCHEDULE 4</w:t>
      </w:r>
    </w:p>
    <w:p>
      <w:pPr>
        <w:spacing w:after="0" w:line="3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1"/>
          <w:szCs w:val="21"/>
          <w:color w:val="auto"/>
        </w:rPr>
        <w:t>to the Compliance Certificate</w:t>
      </w:r>
    </w:p>
    <w:p>
      <w:pPr>
        <w:spacing w:after="0" w:line="227"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21"/>
          <w:szCs w:val="21"/>
          <w:color w:val="auto"/>
        </w:rPr>
        <w:t>Senior Notes Indenture Secured Debt Cap</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1"/>
          <w:szCs w:val="21"/>
          <w:color w:val="auto"/>
        </w:rPr>
        <w:t>SCHEDULE 4</w:t>
      </w:r>
    </w:p>
    <w:p>
      <w:pPr>
        <w:spacing w:after="0" w:line="1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0219"/>
          </w:cols>
          <w:pgMar w:left="240" w:top="601" w:right="1440" w:bottom="1440" w:gutter="0" w:footer="0" w:header="0"/>
        </w:sectPr>
      </w:pPr>
    </w:p>
    <w:bookmarkStart w:id="303" w:name="page304"/>
    <w:bookmarkEnd w:id="303"/>
    <w:p>
      <w:pPr>
        <w:ind w:left="10380"/>
        <w:spacing w:after="0"/>
        <w:rPr>
          <w:sz w:val="20"/>
          <w:szCs w:val="20"/>
          <w:color w:val="auto"/>
        </w:rPr>
      </w:pPr>
      <w:r>
        <w:rPr>
          <w:rFonts w:ascii="Times New Roman" w:cs="Times New Roman" w:eastAsia="Times New Roman" w:hAnsi="Times New Roman"/>
          <w:sz w:val="20"/>
          <w:szCs w:val="20"/>
          <w:b w:val="1"/>
          <w:bCs w:val="1"/>
          <w:i w:val="1"/>
          <w:iCs w:val="1"/>
          <w:color w:val="auto"/>
        </w:rPr>
        <w:t>EXHIBIT 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ASSIGNMENT AND ASSUMPTION</w:t>
      </w:r>
    </w:p>
    <w:p>
      <w:pPr>
        <w:spacing w:after="0" w:line="215"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21"/>
          <w:szCs w:val="21"/>
          <w:color w:val="auto"/>
        </w:rPr>
        <w:t>This Assignment and Assumption (this “</w:t>
      </w: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1"/>
          <w:szCs w:val="21"/>
          <w:color w:val="auto"/>
        </w:rPr>
        <w:t xml:space="preserve">”) is dated as of the Effective Date set forth below and is entered into by and between </w:t>
      </w:r>
      <w:r>
        <w:rPr>
          <w:rFonts w:ascii="Times New Roman" w:cs="Times New Roman" w:eastAsia="Times New Roman" w:hAnsi="Times New Roman"/>
          <w:sz w:val="21"/>
          <w:szCs w:val="21"/>
          <w:b w:val="1"/>
          <w:bCs w:val="1"/>
          <w:color w:val="auto"/>
        </w:rPr>
        <w:t>[the][each]</w:t>
      </w:r>
      <w:r>
        <w:rPr>
          <w:rFonts w:ascii="Times New Roman" w:cs="Times New Roman" w:eastAsia="Times New Roman" w:hAnsi="Times New Roman"/>
          <w:sz w:val="27"/>
          <w:szCs w:val="27"/>
          <w:color w:val="auto"/>
          <w:vertAlign w:val="superscript"/>
        </w:rPr>
        <w:t>6</w:t>
      </w:r>
      <w:r>
        <w:rPr>
          <w:rFonts w:ascii="Times New Roman" w:cs="Times New Roman" w:eastAsia="Times New Roman" w:hAnsi="Times New Roman"/>
          <w:sz w:val="21"/>
          <w:szCs w:val="21"/>
          <w:color w:val="auto"/>
        </w:rPr>
        <w:t xml:space="preserve"> Assignor identified in item 1 below (</w:t>
      </w:r>
      <w:r>
        <w:rPr>
          <w:rFonts w:ascii="Times New Roman" w:cs="Times New Roman" w:eastAsia="Times New Roman" w:hAnsi="Times New Roman"/>
          <w:sz w:val="21"/>
          <w:szCs w:val="21"/>
          <w:b w:val="1"/>
          <w:bCs w:val="1"/>
          <w:color w:val="auto"/>
        </w:rPr>
        <w:t>[the][each, 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Assignor</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[the][each]</w:t>
      </w:r>
      <w:r>
        <w:rPr>
          <w:rFonts w:ascii="Times New Roman" w:cs="Times New Roman" w:eastAsia="Times New Roman" w:hAnsi="Times New Roman"/>
          <w:sz w:val="27"/>
          <w:szCs w:val="27"/>
          <w:color w:val="auto"/>
          <w:vertAlign w:val="superscript"/>
        </w:rPr>
        <w:t>7</w:t>
      </w:r>
      <w:r>
        <w:rPr>
          <w:rFonts w:ascii="Times New Roman" w:cs="Times New Roman" w:eastAsia="Times New Roman" w:hAnsi="Times New Roman"/>
          <w:sz w:val="21"/>
          <w:szCs w:val="21"/>
          <w:color w:val="auto"/>
        </w:rPr>
        <w:t xml:space="preserve"> Assignee identified in item 2 below (</w:t>
      </w:r>
      <w:r>
        <w:rPr>
          <w:rFonts w:ascii="Times New Roman" w:cs="Times New Roman" w:eastAsia="Times New Roman" w:hAnsi="Times New Roman"/>
          <w:sz w:val="21"/>
          <w:szCs w:val="21"/>
          <w:b w:val="1"/>
          <w:bCs w:val="1"/>
          <w:color w:val="auto"/>
        </w:rPr>
        <w:t>[the][each, 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[It is understood and agreed that the rights and obligations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Assignors][the Assignees]</w:t>
      </w:r>
      <w:r>
        <w:rPr>
          <w:rFonts w:ascii="Times New Roman" w:cs="Times New Roman" w:eastAsia="Times New Roman" w:hAnsi="Times New Roman"/>
          <w:sz w:val="27"/>
          <w:szCs w:val="27"/>
          <w:color w:val="auto"/>
          <w:vertAlign w:val="superscript"/>
        </w:rPr>
        <w:t>8</w:t>
      </w:r>
      <w:r>
        <w:rPr>
          <w:rFonts w:ascii="Times New Roman" w:cs="Times New Roman" w:eastAsia="Times New Roman" w:hAnsi="Times New Roman"/>
          <w:sz w:val="21"/>
          <w:szCs w:val="21"/>
          <w:b w:val="1"/>
          <w:bCs w:val="1"/>
          <w:color w:val="auto"/>
        </w:rPr>
        <w:t xml:space="preserve"> hereunder are several and not joint.]</w:t>
      </w:r>
      <w:r>
        <w:rPr>
          <w:rFonts w:ascii="Times New Roman" w:cs="Times New Roman" w:eastAsia="Times New Roman" w:hAnsi="Times New Roman"/>
          <w:sz w:val="27"/>
          <w:szCs w:val="27"/>
          <w:color w:val="auto"/>
          <w:vertAlign w:val="superscript"/>
        </w:rPr>
        <w:t>9</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Capitalized terms used but not defined herein shall have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meanings given to them in the Credit Agreement identified below (as amended,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4"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0"/>
          <w:szCs w:val="20"/>
          <w:color w:val="auto"/>
        </w:rPr>
        <w:t xml:space="preserve">For an agreed consideration, </w:t>
      </w:r>
      <w:r>
        <w:rPr>
          <w:rFonts w:ascii="Times New Roman" w:cs="Times New Roman" w:eastAsia="Times New Roman" w:hAnsi="Times New Roman"/>
          <w:sz w:val="20"/>
          <w:szCs w:val="20"/>
          <w:b w:val="1"/>
          <w:bCs w:val="1"/>
          <w:color w:val="auto"/>
        </w:rPr>
        <w:t>[the][each]</w:t>
      </w:r>
      <w:r>
        <w:rPr>
          <w:rFonts w:ascii="Times New Roman" w:cs="Times New Roman" w:eastAsia="Times New Roman" w:hAnsi="Times New Roman"/>
          <w:sz w:val="20"/>
          <w:szCs w:val="20"/>
          <w:color w:val="auto"/>
        </w:rPr>
        <w:t xml:space="preserve"> Assignor hereby irrevocably sells and assigns to </w:t>
      </w:r>
      <w:r>
        <w:rPr>
          <w:rFonts w:ascii="Times New Roman" w:cs="Times New Roman" w:eastAsia="Times New Roman" w:hAnsi="Times New Roman"/>
          <w:sz w:val="20"/>
          <w:szCs w:val="20"/>
          <w:b w:val="1"/>
          <w:bCs w:val="1"/>
          <w:color w:val="auto"/>
        </w:rPr>
        <w:t>[the Assignee][the respective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Assignees]</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[the][each] </w:t>
      </w:r>
      <w:r>
        <w:rPr>
          <w:rFonts w:ascii="Times New Roman" w:cs="Times New Roman" w:eastAsia="Times New Roman" w:hAnsi="Times New Roman"/>
          <w:sz w:val="20"/>
          <w:szCs w:val="20"/>
          <w:color w:val="auto"/>
        </w:rPr>
        <w:t>Assignee hereby irrevocably purchases and assumes from</w:t>
      </w:r>
      <w:r>
        <w:rPr>
          <w:rFonts w:ascii="Times New Roman" w:cs="Times New Roman" w:eastAsia="Times New Roman" w:hAnsi="Times New Roman"/>
          <w:sz w:val="20"/>
          <w:szCs w:val="20"/>
          <w:b w:val="1"/>
          <w:bCs w:val="1"/>
          <w:color w:val="auto"/>
        </w:rPr>
        <w:t xml:space="preserve"> [the Assignor][the respective Assignors]</w:t>
      </w:r>
      <w:r>
        <w:rPr>
          <w:rFonts w:ascii="Times New Roman" w:cs="Times New Roman" w:eastAsia="Times New Roman" w:hAnsi="Times New Roman"/>
          <w:sz w:val="20"/>
          <w:szCs w:val="20"/>
          <w:color w:val="auto"/>
        </w:rPr>
        <w:t>,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and in accordance with the Standard Terms and Conditions and the Credit Agreement, as of the Effective Date inserted by the Administrative Agent as contemplated below (i) all of </w:t>
      </w:r>
      <w:r>
        <w:rPr>
          <w:rFonts w:ascii="Times New Roman" w:cs="Times New Roman" w:eastAsia="Times New Roman" w:hAnsi="Times New Roman"/>
          <w:sz w:val="20"/>
          <w:szCs w:val="20"/>
          <w:b w:val="1"/>
          <w:bCs w:val="1"/>
          <w:color w:val="auto"/>
        </w:rPr>
        <w:t>[the Assignor's][the respective Assignors’]</w:t>
      </w:r>
      <w:r>
        <w:rPr>
          <w:rFonts w:ascii="Times New Roman" w:cs="Times New Roman" w:eastAsia="Times New Roman" w:hAnsi="Times New Roman"/>
          <w:sz w:val="20"/>
          <w:szCs w:val="20"/>
          <w:color w:val="auto"/>
        </w:rPr>
        <w:t xml:space="preserve"> rights and obligations in </w:t>
      </w:r>
      <w:r>
        <w:rPr>
          <w:rFonts w:ascii="Times New Roman" w:cs="Times New Roman" w:eastAsia="Times New Roman" w:hAnsi="Times New Roman"/>
          <w:sz w:val="20"/>
          <w:szCs w:val="20"/>
          <w:b w:val="1"/>
          <w:bCs w:val="1"/>
          <w:color w:val="auto"/>
        </w:rPr>
        <w:t>[its capacity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as a Lender][their respective capacities as Lenders] </w:t>
      </w:r>
      <w:r>
        <w:rPr>
          <w:rFonts w:ascii="Times New Roman" w:cs="Times New Roman" w:eastAsia="Times New Roman" w:hAnsi="Times New Roman"/>
          <w:sz w:val="20"/>
          <w:szCs w:val="20"/>
          <w:color w:val="auto"/>
        </w:rPr>
        <w:t>under the Credit Agreement and any other documents or instruments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pursuant thereto in the amount[s] and equal to the percentage interest[s] identified below of all the outstanding rights and obligations of </w:t>
      </w:r>
      <w:r>
        <w:rPr>
          <w:rFonts w:ascii="Times New Roman" w:cs="Times New Roman" w:eastAsia="Times New Roman" w:hAnsi="Times New Roman"/>
          <w:sz w:val="20"/>
          <w:szCs w:val="20"/>
          <w:b w:val="1"/>
          <w:bCs w:val="1"/>
          <w:color w:val="auto"/>
        </w:rPr>
        <w:t xml:space="preserve">[the Assignor][the respective Assignors] </w:t>
      </w:r>
      <w:r>
        <w:rPr>
          <w:rFonts w:ascii="Times New Roman" w:cs="Times New Roman" w:eastAsia="Times New Roman" w:hAnsi="Times New Roman"/>
          <w:sz w:val="20"/>
          <w:szCs w:val="20"/>
          <w:color w:val="auto"/>
        </w:rPr>
        <w:t>under the respective facilities identified below (including, without limitation, the Letters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and the Swing Line Loans included in such facilities</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20"/>
          <w:szCs w:val="20"/>
          <w:color w:val="auto"/>
        </w:rPr>
        <w:t xml:space="preserve">) and (ii) to the extent permitted to be assigned under applicable law, all claims, suits, causes of action and any other right of </w:t>
      </w:r>
      <w:r>
        <w:rPr>
          <w:rFonts w:ascii="Times New Roman" w:cs="Times New Roman" w:eastAsia="Times New Roman" w:hAnsi="Times New Roman"/>
          <w:sz w:val="20"/>
          <w:szCs w:val="20"/>
          <w:b w:val="1"/>
          <w:bCs w:val="1"/>
          <w:color w:val="auto"/>
        </w:rPr>
        <w:t>[the Assignor (in its capacity as a Lender)][the respective Assignors (in their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respective capacities as Lenders)] </w:t>
      </w:r>
      <w:r>
        <w:rPr>
          <w:rFonts w:ascii="Times New Roman" w:cs="Times New Roman" w:eastAsia="Times New Roman" w:hAnsi="Times New Roman"/>
          <w:sz w:val="20"/>
          <w:szCs w:val="20"/>
          <w:color w:val="auto"/>
        </w:rPr>
        <w:t>against any Person, whether known or unknown, arising under or in connection with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w:t>
      </w:r>
      <w:r>
        <w:rPr>
          <w:rFonts w:ascii="Times New Roman" w:cs="Times New Roman" w:eastAsia="Times New Roman" w:hAnsi="Times New Roman"/>
          <w:sz w:val="20"/>
          <w:szCs w:val="20"/>
          <w:b w:val="1"/>
          <w:bCs w:val="1"/>
          <w:color w:val="auto"/>
        </w:rPr>
        <w:t>[the][any]</w:t>
      </w:r>
      <w:r>
        <w:rPr>
          <w:rFonts w:ascii="Times New Roman" w:cs="Times New Roman" w:eastAsia="Times New Roman" w:hAnsi="Times New Roman"/>
          <w:sz w:val="20"/>
          <w:szCs w:val="20"/>
          <w:color w:val="auto"/>
        </w:rPr>
        <w:t xml:space="preserve"> Assignor to </w:t>
      </w:r>
      <w:r>
        <w:rPr>
          <w:rFonts w:ascii="Times New Roman" w:cs="Times New Roman" w:eastAsia="Times New Roman" w:hAnsi="Times New Roman"/>
          <w:sz w:val="20"/>
          <w:szCs w:val="20"/>
          <w:b w:val="1"/>
          <w:bCs w:val="1"/>
          <w:color w:val="auto"/>
        </w:rPr>
        <w:t>[the][any]</w:t>
      </w:r>
      <w:r>
        <w:rPr>
          <w:rFonts w:ascii="Times New Roman" w:cs="Times New Roman" w:eastAsia="Times New Roman" w:hAnsi="Times New Roman"/>
          <w:sz w:val="20"/>
          <w:szCs w:val="20"/>
          <w:color w:val="auto"/>
        </w:rPr>
        <w:t xml:space="preserve"> Assignee pursuant to clauses (i) and (ii) above being referred to herein collectively as </w:t>
      </w:r>
      <w:r>
        <w:rPr>
          <w:rFonts w:ascii="Times New Roman" w:cs="Times New Roman" w:eastAsia="Times New Roman" w:hAnsi="Times New Roman"/>
          <w:sz w:val="20"/>
          <w:szCs w:val="20"/>
          <w:b w:val="1"/>
          <w:bCs w:val="1"/>
          <w:color w:val="auto"/>
        </w:rPr>
        <w:t>[the][an]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Assigned Interest</w:t>
      </w:r>
      <w:r>
        <w:rPr>
          <w:rFonts w:ascii="Times New Roman" w:cs="Times New Roman" w:eastAsia="Times New Roman" w:hAnsi="Times New Roman"/>
          <w:sz w:val="20"/>
          <w:szCs w:val="20"/>
          <w:color w:val="auto"/>
        </w:rPr>
        <w:t xml:space="preserve">”). Each such sale and assignment is without recourse to </w:t>
      </w:r>
      <w:r>
        <w:rPr>
          <w:rFonts w:ascii="Times New Roman" w:cs="Times New Roman" w:eastAsia="Times New Roman" w:hAnsi="Times New Roman"/>
          <w:sz w:val="20"/>
          <w:szCs w:val="20"/>
          <w:b w:val="1"/>
          <w:bCs w:val="1"/>
          <w:color w:val="auto"/>
        </w:rPr>
        <w:t>[the][any]</w:t>
      </w:r>
      <w:r>
        <w:rPr>
          <w:rFonts w:ascii="Times New Roman" w:cs="Times New Roman" w:eastAsia="Times New Roman" w:hAnsi="Times New Roman"/>
          <w:sz w:val="20"/>
          <w:szCs w:val="20"/>
          <w:color w:val="auto"/>
        </w:rPr>
        <w:t xml:space="preserve"> Assignor and, except as expressly provided in this Assignment and Assumption, without representation or warranty by </w:t>
      </w:r>
      <w:r>
        <w:rPr>
          <w:rFonts w:ascii="Times New Roman" w:cs="Times New Roman" w:eastAsia="Times New Roman" w:hAnsi="Times New Roman"/>
          <w:sz w:val="20"/>
          <w:szCs w:val="20"/>
          <w:b w:val="1"/>
          <w:bCs w:val="1"/>
          <w:color w:val="auto"/>
        </w:rPr>
        <w:t>[the][any]</w:t>
      </w:r>
      <w:r>
        <w:rPr>
          <w:rFonts w:ascii="Times New Roman" w:cs="Times New Roman" w:eastAsia="Times New Roman" w:hAnsi="Times New Roman"/>
          <w:sz w:val="20"/>
          <w:szCs w:val="20"/>
          <w:color w:val="auto"/>
        </w:rPr>
        <w:t xml:space="preserve"> Assignor.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50" w:lineRule="exact"/>
        <w:rPr>
          <w:sz w:val="20"/>
          <w:szCs w:val="20"/>
          <w:color w:val="auto"/>
        </w:rPr>
      </w:pPr>
    </w:p>
    <w:p>
      <w:pPr>
        <w:jc w:val="both"/>
        <w:ind w:right="3600" w:firstLine="624"/>
        <w:spacing w:after="0" w:line="229" w:lineRule="auto"/>
        <w:tabs>
          <w:tab w:leader="none" w:pos="723" w:val="left"/>
        </w:tabs>
        <w:numPr>
          <w:ilvl w:val="0"/>
          <w:numId w:val="2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ind w:left="620"/>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For bracketed language here and elsewhere in this form relating to the Assignee(s), if the assignment is to</w:t>
      </w:r>
    </w:p>
    <w:p>
      <w:pPr>
        <w:spacing w:after="0" w:line="1" w:lineRule="exact"/>
        <w:rPr>
          <w:rFonts w:ascii="Times New Roman" w:cs="Times New Roman" w:eastAsia="Times New Roman" w:hAnsi="Times New Roman"/>
          <w:sz w:val="24"/>
          <w:szCs w:val="24"/>
          <w:color w:val="auto"/>
          <w:vertAlign w:val="superscript"/>
        </w:rPr>
      </w:pPr>
    </w:p>
    <w:p>
      <w:pPr>
        <w:ind w:left="620" w:right="1980" w:hanging="620"/>
        <w:spacing w:after="0" w:line="21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a single Assignee, choose the first bracketed language. If the assignment is to multiple Assignees, choose the second bracketed language. </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color w:val="auto"/>
        </w:rPr>
        <w:t xml:space="preserve"> Select as appropriate</w:t>
      </w:r>
    </w:p>
    <w:p>
      <w:pPr>
        <w:ind w:left="620" w:right="4640"/>
        <w:spacing w:after="0" w:line="219"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color w:val="auto"/>
        </w:rPr>
        <w:t xml:space="preserve"> Include bracketed language if there are either multiple Assignors or multiple Assignees. </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color w:val="auto"/>
        </w:rPr>
        <w:t xml:space="preserve"> Include all applicable subfacilities.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Assignment and Assumption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599" w:right="239" w:bottom="1440" w:gutter="0" w:footer="0" w:header="0"/>
        </w:sectPr>
      </w:pPr>
    </w:p>
    <w:bookmarkStart w:id="304" w:name="page305"/>
    <w:bookmarkEnd w:id="304"/>
    <w:p>
      <w:pPr>
        <w:ind w:left="620" w:hanging="617"/>
        <w:spacing w:after="0"/>
        <w:tabs>
          <w:tab w:leader="none" w:pos="620"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Assignor[s]</w:t>
      </w:r>
      <w:r>
        <w:rPr>
          <w:rFonts w:ascii="Times New Roman" w:cs="Times New Roman" w:eastAsia="Times New Roman" w:hAnsi="Times New Roman"/>
          <w:sz w:val="21"/>
          <w:szCs w:val="21"/>
          <w:color w:val="auto"/>
        </w:rPr>
        <w:t>:  ______________________________</w:t>
      </w:r>
    </w:p>
    <w:p>
      <w:pPr>
        <w:spacing w:after="0" w:line="25" w:lineRule="exact"/>
        <w:rPr>
          <w:rFonts w:ascii="Times New Roman" w:cs="Times New Roman" w:eastAsia="Times New Roman" w:hAnsi="Times New Roman"/>
          <w:sz w:val="21"/>
          <w:szCs w:val="21"/>
          <w:color w:val="auto"/>
        </w:rPr>
      </w:pPr>
    </w:p>
    <w:p>
      <w:pPr>
        <w:ind w:left="24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______________________________</w:t>
      </w:r>
    </w:p>
    <w:p>
      <w:pPr>
        <w:spacing w:after="0" w:line="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[Assignor [is][is not] a Defaulting Lender]</w:t>
      </w:r>
    </w:p>
    <w:p>
      <w:pPr>
        <w:spacing w:after="0" w:line="234" w:lineRule="exact"/>
        <w:rPr>
          <w:sz w:val="20"/>
          <w:szCs w:val="20"/>
          <w:color w:val="auto"/>
        </w:rPr>
      </w:pPr>
    </w:p>
    <w:p>
      <w:pPr>
        <w:ind w:left="620" w:hanging="617"/>
        <w:spacing w:after="0"/>
        <w:tabs>
          <w:tab w:leader="none" w:pos="620"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Assignee[s]</w:t>
      </w:r>
      <w:r>
        <w:rPr>
          <w:rFonts w:ascii="Times New Roman" w:cs="Times New Roman" w:eastAsia="Times New Roman" w:hAnsi="Times New Roman"/>
          <w:sz w:val="21"/>
          <w:szCs w:val="21"/>
          <w:color w:val="auto"/>
        </w:rPr>
        <w:t>:  ______________________________</w:t>
      </w:r>
    </w:p>
    <w:p>
      <w:pPr>
        <w:spacing w:after="0" w:line="25" w:lineRule="exact"/>
        <w:rPr>
          <w:rFonts w:ascii="Times New Roman" w:cs="Times New Roman" w:eastAsia="Times New Roman" w:hAnsi="Times New Roman"/>
          <w:sz w:val="21"/>
          <w:szCs w:val="21"/>
          <w:color w:val="auto"/>
        </w:rPr>
      </w:pPr>
    </w:p>
    <w:p>
      <w:pPr>
        <w:ind w:left="24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___________________________</w:t>
      </w:r>
    </w:p>
    <w:p>
      <w:pPr>
        <w:spacing w:after="0" w:line="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[for each Assignee, indicate [Affiliate][Approved Fund] of [</w:t>
      </w:r>
      <w:r>
        <w:rPr>
          <w:rFonts w:ascii="Times New Roman" w:cs="Times New Roman" w:eastAsia="Times New Roman" w:hAnsi="Times New Roman"/>
          <w:sz w:val="17"/>
          <w:szCs w:val="17"/>
          <w:i w:val="1"/>
          <w:iCs w:val="1"/>
          <w:color w:val="auto"/>
        </w:rPr>
        <w:t>identify Lender</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ind w:left="620" w:hanging="617"/>
        <w:spacing w:after="0"/>
        <w:tabs>
          <w:tab w:leader="none" w:pos="620"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______________________________</w:t>
      </w:r>
    </w:p>
    <w:p>
      <w:pPr>
        <w:spacing w:after="0" w:line="210"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Bank of America, N.A., as the administrative agent under the Credit Agreement</w:t>
      </w:r>
    </w:p>
    <w:p>
      <w:pPr>
        <w:spacing w:after="0" w:line="210" w:lineRule="exact"/>
        <w:rPr>
          <w:rFonts w:ascii="Times New Roman" w:cs="Times New Roman" w:eastAsia="Times New Roman" w:hAnsi="Times New Roman"/>
          <w:sz w:val="21"/>
          <w:szCs w:val="21"/>
          <w:color w:val="auto"/>
        </w:rPr>
      </w:pPr>
    </w:p>
    <w:p>
      <w:pPr>
        <w:jc w:val="both"/>
        <w:ind w:left="620" w:right="20" w:hanging="617"/>
        <w:spacing w:after="0" w:line="257" w:lineRule="auto"/>
        <w:tabs>
          <w:tab w:leader="none" w:pos="620"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Fifth Amended and Restated Credit Agreement, dated as of [_________], 2019, among MasTec, Inc., MasTec North America, Inc., the Lenders from time to time party thereto, and Bank of America, N.A., as Administrative Agent, L/C Issuer and Swing Line Lender</w:t>
      </w:r>
    </w:p>
    <w:p>
      <w:pPr>
        <w:spacing w:after="0" w:line="159"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Assigned Interest[s]</w:t>
      </w:r>
      <w:r>
        <w:rPr>
          <w:rFonts w:ascii="Times New Roman" w:cs="Times New Roman" w:eastAsia="Times New Roman" w:hAnsi="Times New Roman"/>
          <w:sz w:val="21"/>
          <w:szCs w:val="21"/>
          <w:color w:val="auto"/>
        </w:rPr>
        <w:t>:</w:t>
      </w:r>
      <w:r>
        <w:rPr>
          <w:rFonts w:ascii="Times New Roman" w:cs="Times New Roman" w:eastAsia="Times New Roman" w:hAnsi="Times New Roman"/>
          <w:sz w:val="27"/>
          <w:szCs w:val="27"/>
          <w:color w:val="auto"/>
          <w:vertAlign w:val="superscript"/>
        </w:rPr>
        <w:t>11</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40" w:type="dxa"/>
            <w:vAlign w:val="bottom"/>
            <w:tcBorders>
              <w:top w:val="single" w:sz="8" w:color="00000A"/>
              <w:left w:val="single" w:sz="8" w:color="00000A"/>
            </w:tcBorders>
          </w:tcPr>
          <w:p>
            <w:pPr>
              <w:spacing w:after="0"/>
              <w:rPr>
                <w:sz w:val="19"/>
                <w:szCs w:val="19"/>
                <w:color w:val="auto"/>
              </w:rPr>
            </w:pPr>
          </w:p>
        </w:tc>
        <w:tc>
          <w:tcPr>
            <w:tcW w:w="380" w:type="dxa"/>
            <w:vAlign w:val="bottom"/>
            <w:tcBorders>
              <w:top w:val="single" w:sz="8" w:color="00000A"/>
            </w:tcBorders>
          </w:tcPr>
          <w:p>
            <w:pPr>
              <w:spacing w:after="0"/>
              <w:rPr>
                <w:sz w:val="19"/>
                <w:szCs w:val="19"/>
                <w:color w:val="auto"/>
              </w:rPr>
            </w:pPr>
          </w:p>
        </w:tc>
        <w:tc>
          <w:tcPr>
            <w:tcW w:w="920" w:type="dxa"/>
            <w:vAlign w:val="bottom"/>
            <w:tcBorders>
              <w:top w:val="single" w:sz="8" w:color="00000A"/>
              <w:right w:val="single" w:sz="8" w:color="auto"/>
            </w:tcBorders>
          </w:tcPr>
          <w:p>
            <w:pPr>
              <w:spacing w:after="0"/>
              <w:rPr>
                <w:sz w:val="19"/>
                <w:szCs w:val="19"/>
                <w:color w:val="auto"/>
              </w:rPr>
            </w:pPr>
          </w:p>
        </w:tc>
        <w:tc>
          <w:tcPr>
            <w:tcW w:w="160" w:type="dxa"/>
            <w:vAlign w:val="bottom"/>
            <w:tcBorders>
              <w:top w:val="single" w:sz="8" w:color="00000A"/>
            </w:tcBorders>
          </w:tcPr>
          <w:p>
            <w:pPr>
              <w:spacing w:after="0"/>
              <w:rPr>
                <w:sz w:val="19"/>
                <w:szCs w:val="19"/>
                <w:color w:val="auto"/>
              </w:rPr>
            </w:pPr>
          </w:p>
        </w:tc>
        <w:tc>
          <w:tcPr>
            <w:tcW w:w="1520" w:type="dxa"/>
            <w:vAlign w:val="bottom"/>
            <w:tcBorders>
              <w:top w:val="single" w:sz="8" w:color="00000A"/>
              <w:right w:val="single" w:sz="8" w:color="auto"/>
            </w:tcBorders>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Assignee[s]</w:t>
            </w:r>
            <w:r>
              <w:rPr>
                <w:rFonts w:ascii="Times New Roman" w:cs="Times New Roman" w:eastAsia="Times New Roman" w:hAnsi="Times New Roman"/>
                <w:sz w:val="24"/>
                <w:szCs w:val="24"/>
                <w:color w:val="auto"/>
                <w:vertAlign w:val="superscript"/>
              </w:rPr>
              <w:t>13</w:t>
            </w:r>
          </w:p>
        </w:tc>
        <w:tc>
          <w:tcPr>
            <w:tcW w:w="400" w:type="dxa"/>
            <w:vAlign w:val="bottom"/>
            <w:tcBorders>
              <w:top w:val="single" w:sz="8" w:color="00000A"/>
            </w:tcBorders>
          </w:tcPr>
          <w:p>
            <w:pPr>
              <w:spacing w:after="0"/>
              <w:rPr>
                <w:sz w:val="19"/>
                <w:szCs w:val="19"/>
                <w:color w:val="auto"/>
              </w:rPr>
            </w:pPr>
          </w:p>
        </w:tc>
        <w:tc>
          <w:tcPr>
            <w:tcW w:w="660" w:type="dxa"/>
            <w:vAlign w:val="bottom"/>
            <w:tcBorders>
              <w:top w:val="single" w:sz="8" w:color="00000A"/>
            </w:tcBorders>
          </w:tcPr>
          <w:p>
            <w:pPr>
              <w:spacing w:after="0"/>
              <w:rPr>
                <w:sz w:val="19"/>
                <w:szCs w:val="19"/>
                <w:color w:val="auto"/>
              </w:rPr>
            </w:pPr>
          </w:p>
        </w:tc>
        <w:tc>
          <w:tcPr>
            <w:tcW w:w="540" w:type="dxa"/>
            <w:vAlign w:val="bottom"/>
            <w:tcBorders>
              <w:top w:val="single" w:sz="8" w:color="00000A"/>
              <w:right w:val="single" w:sz="8" w:color="00000A"/>
            </w:tcBorders>
          </w:tcPr>
          <w:p>
            <w:pPr>
              <w:spacing w:after="0"/>
              <w:rPr>
                <w:sz w:val="19"/>
                <w:szCs w:val="19"/>
                <w:color w:val="auto"/>
              </w:rPr>
            </w:pPr>
          </w:p>
        </w:tc>
        <w:tc>
          <w:tcPr>
            <w:tcW w:w="2080" w:type="dxa"/>
            <w:vAlign w:val="bottom"/>
            <w:tcBorders>
              <w:top w:val="single" w:sz="8" w:color="00000A"/>
              <w:right w:val="single" w:sz="8" w:color="00000A"/>
            </w:tcBorders>
            <w:gridSpan w:val="5"/>
            <w:vMerge w:val="restart"/>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Aggregate Amount of</w:t>
            </w:r>
          </w:p>
        </w:tc>
        <w:tc>
          <w:tcPr>
            <w:tcW w:w="1700" w:type="dxa"/>
            <w:vAlign w:val="bottom"/>
            <w:tcBorders>
              <w:top w:val="single" w:sz="8" w:color="00000A"/>
              <w:right w:val="single" w:sz="8" w:color="00000A"/>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260" w:type="dxa"/>
            <w:vAlign w:val="bottom"/>
            <w:tcBorders>
              <w:top w:val="single" w:sz="8" w:color="00000A"/>
            </w:tcBorders>
          </w:tcPr>
          <w:p>
            <w:pPr>
              <w:spacing w:after="0"/>
              <w:rPr>
                <w:sz w:val="19"/>
                <w:szCs w:val="19"/>
                <w:color w:val="auto"/>
              </w:rPr>
            </w:pPr>
          </w:p>
        </w:tc>
        <w:tc>
          <w:tcPr>
            <w:tcW w:w="1340" w:type="dxa"/>
            <w:vAlign w:val="bottom"/>
            <w:tcBorders>
              <w:top w:val="single" w:sz="8" w:color="00000A"/>
              <w:right w:val="single" w:sz="8" w:color="00000A"/>
            </w:tcBorders>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300" w:type="dxa"/>
            <w:vAlign w:val="bottom"/>
            <w:tcBorders>
              <w:top w:val="single" w:sz="8" w:color="00000A"/>
            </w:tcBorders>
          </w:tcPr>
          <w:p>
            <w:pPr>
              <w:spacing w:after="0"/>
              <w:rPr>
                <w:sz w:val="19"/>
                <w:szCs w:val="19"/>
                <w:color w:val="auto"/>
              </w:rPr>
            </w:pPr>
          </w:p>
        </w:tc>
        <w:tc>
          <w:tcPr>
            <w:tcW w:w="620" w:type="dxa"/>
            <w:vAlign w:val="bottom"/>
            <w:tcBorders>
              <w:top w:val="single" w:sz="8" w:color="00000A"/>
            </w:tcBorders>
          </w:tcPr>
          <w:p>
            <w:pPr>
              <w:spacing w:after="0"/>
              <w:rPr>
                <w:sz w:val="19"/>
                <w:szCs w:val="19"/>
                <w:color w:val="auto"/>
              </w:rPr>
            </w:pPr>
          </w:p>
        </w:tc>
        <w:tc>
          <w:tcPr>
            <w:tcW w:w="320" w:type="dxa"/>
            <w:vAlign w:val="bottom"/>
            <w:tcBorders>
              <w:top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40" w:type="dxa"/>
            <w:vAlign w:val="bottom"/>
            <w:tcBorders>
              <w:left w:val="single" w:sz="8" w:color="00000A"/>
            </w:tcBorders>
          </w:tcPr>
          <w:p>
            <w:pPr>
              <w:spacing w:after="0"/>
              <w:rPr>
                <w:sz w:val="8"/>
                <w:szCs w:val="8"/>
                <w:color w:val="auto"/>
              </w:rPr>
            </w:pPr>
          </w:p>
        </w:tc>
        <w:tc>
          <w:tcPr>
            <w:tcW w:w="1300" w:type="dxa"/>
            <w:vAlign w:val="bottom"/>
            <w:tcBorders>
              <w:right w:val="single" w:sz="8" w:color="auto"/>
            </w:tcBorders>
            <w:gridSpan w:val="2"/>
            <w:vMerge w:val="restart"/>
          </w:tcPr>
          <w:p>
            <w:pPr>
              <w:ind w:left="20"/>
              <w:spacing w:after="0" w:line="207" w:lineRule="exact"/>
              <w:rPr>
                <w:sz w:val="20"/>
                <w:szCs w:val="20"/>
                <w:color w:val="auto"/>
              </w:rPr>
            </w:pPr>
            <w:r>
              <w:rPr>
                <w:rFonts w:ascii="Times New Roman" w:cs="Times New Roman" w:eastAsia="Times New Roman" w:hAnsi="Times New Roman"/>
                <w:sz w:val="17"/>
                <w:szCs w:val="17"/>
                <w:b w:val="1"/>
                <w:bCs w:val="1"/>
                <w:color w:val="auto"/>
              </w:rPr>
              <w:t>Assignor[s]</w:t>
            </w:r>
            <w:r>
              <w:rPr>
                <w:rFonts w:ascii="Times New Roman" w:cs="Times New Roman" w:eastAsia="Times New Roman" w:hAnsi="Times New Roman"/>
                <w:sz w:val="23"/>
                <w:szCs w:val="23"/>
                <w:color w:val="auto"/>
                <w:vertAlign w:val="superscript"/>
              </w:rPr>
              <w:t>12</w:t>
            </w:r>
          </w:p>
        </w:tc>
        <w:tc>
          <w:tcPr>
            <w:tcW w:w="160" w:type="dxa"/>
            <w:vAlign w:val="bottom"/>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Borders>
              <w:right w:val="single" w:sz="8" w:color="00000A"/>
            </w:tcBorders>
            <w:gridSpan w:val="2"/>
            <w:vMerge w:val="restart"/>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Facility</w:t>
            </w:r>
          </w:p>
        </w:tc>
        <w:tc>
          <w:tcPr>
            <w:tcW w:w="2080" w:type="dxa"/>
            <w:vAlign w:val="bottom"/>
            <w:tcBorders>
              <w:right w:val="single" w:sz="8" w:color="00000A"/>
            </w:tcBorders>
            <w:gridSpan w:val="5"/>
            <w:vMerge w:val="continue"/>
          </w:tcPr>
          <w:p>
            <w:pPr>
              <w:spacing w:after="0"/>
              <w:rPr>
                <w:sz w:val="8"/>
                <w:szCs w:val="8"/>
                <w:color w:val="auto"/>
              </w:rPr>
            </w:pPr>
          </w:p>
        </w:tc>
        <w:tc>
          <w:tcPr>
            <w:tcW w:w="1700" w:type="dxa"/>
            <w:vAlign w:val="bottom"/>
            <w:tcBorders>
              <w:right w:val="single" w:sz="8" w:color="00000A"/>
            </w:tcBorders>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Commitment/</w:t>
            </w:r>
          </w:p>
        </w:tc>
        <w:tc>
          <w:tcPr>
            <w:tcW w:w="260" w:type="dxa"/>
            <w:vAlign w:val="bottom"/>
          </w:tcPr>
          <w:p>
            <w:pPr>
              <w:spacing w:after="0"/>
              <w:rPr>
                <w:sz w:val="8"/>
                <w:szCs w:val="8"/>
                <w:color w:val="auto"/>
              </w:rPr>
            </w:pPr>
          </w:p>
        </w:tc>
        <w:tc>
          <w:tcPr>
            <w:tcW w:w="1340" w:type="dxa"/>
            <w:vAlign w:val="bottom"/>
            <w:tcBorders>
              <w:right w:val="single" w:sz="8" w:color="00000A"/>
            </w:tcBorders>
            <w:gridSpan w:val="4"/>
            <w:vMerge w:val="restart"/>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Assigned of</w:t>
            </w:r>
          </w:p>
        </w:tc>
        <w:tc>
          <w:tcPr>
            <w:tcW w:w="300" w:type="dxa"/>
            <w:vAlign w:val="bottom"/>
          </w:tcPr>
          <w:p>
            <w:pPr>
              <w:spacing w:after="0"/>
              <w:rPr>
                <w:sz w:val="8"/>
                <w:szCs w:val="8"/>
                <w:color w:val="auto"/>
              </w:rPr>
            </w:pPr>
          </w:p>
        </w:tc>
        <w:tc>
          <w:tcPr>
            <w:tcW w:w="940" w:type="dxa"/>
            <w:vAlign w:val="bottom"/>
            <w:tcBorders>
              <w:right w:val="single" w:sz="8" w:color="00000A"/>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CUSIP</w:t>
            </w:r>
          </w:p>
        </w:tc>
        <w:tc>
          <w:tcPr>
            <w:tcW w:w="0" w:type="dxa"/>
            <w:vAlign w:val="bottom"/>
          </w:tcPr>
          <w:p>
            <w:pPr>
              <w:spacing w:after="0"/>
              <w:rPr>
                <w:sz w:val="1"/>
                <w:szCs w:val="1"/>
                <w:color w:val="auto"/>
              </w:rPr>
            </w:pPr>
          </w:p>
        </w:tc>
      </w:tr>
      <w:tr>
        <w:trPr>
          <w:trHeight w:val="103"/>
        </w:trPr>
        <w:tc>
          <w:tcPr>
            <w:tcW w:w="240" w:type="dxa"/>
            <w:vAlign w:val="bottom"/>
            <w:tcBorders>
              <w:left w:val="single" w:sz="8" w:color="00000A"/>
            </w:tcBorders>
          </w:tcPr>
          <w:p>
            <w:pPr>
              <w:spacing w:after="0"/>
              <w:rPr>
                <w:sz w:val="8"/>
                <w:szCs w:val="8"/>
                <w:color w:val="auto"/>
              </w:rPr>
            </w:pPr>
          </w:p>
        </w:tc>
        <w:tc>
          <w:tcPr>
            <w:tcW w:w="1300" w:type="dxa"/>
            <w:vAlign w:val="bottom"/>
            <w:tcBorders>
              <w:right w:val="single" w:sz="8" w:color="auto"/>
            </w:tcBorders>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Borders>
              <w:right w:val="single" w:sz="8" w:color="00000A"/>
            </w:tcBorders>
            <w:gridSpan w:val="2"/>
            <w:vMerge w:val="continue"/>
          </w:tcPr>
          <w:p>
            <w:pPr>
              <w:spacing w:after="0"/>
              <w:rPr>
                <w:sz w:val="8"/>
                <w:szCs w:val="8"/>
                <w:color w:val="auto"/>
              </w:rPr>
            </w:pPr>
          </w:p>
        </w:tc>
        <w:tc>
          <w:tcPr>
            <w:tcW w:w="2080" w:type="dxa"/>
            <w:vAlign w:val="bottom"/>
            <w:tcBorders>
              <w:right w:val="single" w:sz="8" w:color="00000A"/>
            </w:tcBorders>
            <w:gridSpan w:val="5"/>
            <w:vMerge w:val="restart"/>
          </w:tcPr>
          <w:p>
            <w:pPr>
              <w:jc w:val="center"/>
              <w:ind w:right="20"/>
              <w:spacing w:after="0" w:line="189" w:lineRule="exact"/>
              <w:rPr>
                <w:sz w:val="20"/>
                <w:szCs w:val="20"/>
                <w:color w:val="auto"/>
              </w:rPr>
            </w:pPr>
            <w:r>
              <w:rPr>
                <w:rFonts w:ascii="Times New Roman" w:cs="Times New Roman" w:eastAsia="Times New Roman" w:hAnsi="Times New Roman"/>
                <w:sz w:val="17"/>
                <w:szCs w:val="17"/>
                <w:b w:val="1"/>
                <w:bCs w:val="1"/>
                <w:color w:val="auto"/>
              </w:rPr>
              <w:t>Commitment/Loans for all</w:t>
            </w:r>
          </w:p>
        </w:tc>
        <w:tc>
          <w:tcPr>
            <w:tcW w:w="1700" w:type="dxa"/>
            <w:vAlign w:val="bottom"/>
            <w:tcBorders>
              <w:right w:val="single" w:sz="8" w:color="00000A"/>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Borders>
              <w:right w:val="single" w:sz="8" w:color="00000A"/>
            </w:tcBorders>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Borders>
              <w:right w:val="single" w:sz="8" w:color="00000A"/>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40" w:type="dxa"/>
            <w:vAlign w:val="bottom"/>
            <w:tcBorders>
              <w:left w:val="single" w:sz="8" w:color="00000A"/>
            </w:tcBorders>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Borders>
              <w:right w:val="single" w:sz="8" w:color="00000A"/>
            </w:tcBorders>
            <w:gridSpan w:val="2"/>
            <w:vMerge w:val="restart"/>
          </w:tcPr>
          <w:p>
            <w:pPr>
              <w:jc w:val="center"/>
              <w:ind w:right="420"/>
              <w:spacing w:after="0" w:line="189" w:lineRule="exact"/>
              <w:rPr>
                <w:sz w:val="20"/>
                <w:szCs w:val="20"/>
                <w:color w:val="auto"/>
              </w:rPr>
            </w:pPr>
            <w:r>
              <w:rPr>
                <w:rFonts w:ascii="Times New Roman" w:cs="Times New Roman" w:eastAsia="Times New Roman" w:hAnsi="Times New Roman"/>
                <w:sz w:val="15"/>
                <w:szCs w:val="15"/>
                <w:b w:val="1"/>
                <w:bCs w:val="1"/>
                <w:color w:val="auto"/>
              </w:rPr>
              <w:t>Assigned</w:t>
            </w:r>
            <w:r>
              <w:rPr>
                <w:rFonts w:ascii="Times New Roman" w:cs="Times New Roman" w:eastAsia="Times New Roman" w:hAnsi="Times New Roman"/>
                <w:sz w:val="21"/>
                <w:szCs w:val="21"/>
                <w:color w:val="auto"/>
                <w:vertAlign w:val="superscript"/>
              </w:rPr>
              <w:t>14</w:t>
            </w:r>
          </w:p>
        </w:tc>
        <w:tc>
          <w:tcPr>
            <w:tcW w:w="2080" w:type="dxa"/>
            <w:vAlign w:val="bottom"/>
            <w:tcBorders>
              <w:right w:val="single" w:sz="8" w:color="00000A"/>
            </w:tcBorders>
            <w:gridSpan w:val="5"/>
            <w:vMerge w:val="continue"/>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Borders>
              <w:right w:val="single" w:sz="8" w:color="00000A"/>
            </w:tcBorders>
            <w:gridSpan w:val="2"/>
            <w:vMerge w:val="restart"/>
          </w:tcPr>
          <w:p>
            <w:pPr>
              <w:jc w:val="center"/>
              <w:ind w:right="580"/>
              <w:spacing w:after="0" w:line="189" w:lineRule="exact"/>
              <w:rPr>
                <w:sz w:val="20"/>
                <w:szCs w:val="20"/>
                <w:color w:val="auto"/>
              </w:rPr>
            </w:pPr>
            <w:r>
              <w:rPr>
                <w:rFonts w:ascii="Times New Roman" w:cs="Times New Roman" w:eastAsia="Times New Roman" w:hAnsi="Times New Roman"/>
                <w:sz w:val="17"/>
                <w:szCs w:val="17"/>
                <w:b w:val="1"/>
                <w:bCs w:val="1"/>
                <w:color w:val="auto"/>
              </w:rPr>
              <w:t>Loans</w:t>
            </w:r>
          </w:p>
        </w:tc>
        <w:tc>
          <w:tcPr>
            <w:tcW w:w="260" w:type="dxa"/>
            <w:vAlign w:val="bottom"/>
          </w:tcPr>
          <w:p>
            <w:pPr>
              <w:spacing w:after="0"/>
              <w:rPr>
                <w:sz w:val="7"/>
                <w:szCs w:val="7"/>
                <w:color w:val="auto"/>
              </w:rPr>
            </w:pPr>
          </w:p>
        </w:tc>
        <w:tc>
          <w:tcPr>
            <w:tcW w:w="1340" w:type="dxa"/>
            <w:vAlign w:val="bottom"/>
            <w:tcBorders>
              <w:right w:val="single" w:sz="8" w:color="00000A"/>
            </w:tcBorders>
            <w:gridSpan w:val="4"/>
            <w:vMerge w:val="restart"/>
          </w:tcPr>
          <w:p>
            <w:pPr>
              <w:jc w:val="center"/>
              <w:ind w:right="320"/>
              <w:spacing w:after="0" w:line="189" w:lineRule="exact"/>
              <w:rPr>
                <w:sz w:val="20"/>
                <w:szCs w:val="20"/>
                <w:color w:val="auto"/>
              </w:rPr>
            </w:pPr>
            <w:r>
              <w:rPr>
                <w:rFonts w:ascii="Times New Roman" w:cs="Times New Roman" w:eastAsia="Times New Roman" w:hAnsi="Times New Roman"/>
                <w:sz w:val="17"/>
                <w:szCs w:val="17"/>
                <w:b w:val="1"/>
                <w:bCs w:val="1"/>
                <w:color w:val="auto"/>
              </w:rPr>
              <w:t>Commitment/</w:t>
            </w:r>
          </w:p>
        </w:tc>
        <w:tc>
          <w:tcPr>
            <w:tcW w:w="1240" w:type="dxa"/>
            <w:vAlign w:val="bottom"/>
            <w:tcBorders>
              <w:right w:val="single" w:sz="8" w:color="00000A"/>
            </w:tcBorders>
            <w:gridSpan w:val="3"/>
            <w:vMerge w:val="restart"/>
          </w:tcPr>
          <w:p>
            <w:pPr>
              <w:ind w:left="300"/>
              <w:spacing w:after="0" w:line="189" w:lineRule="exact"/>
              <w:rPr>
                <w:sz w:val="20"/>
                <w:szCs w:val="20"/>
                <w:color w:val="auto"/>
              </w:rPr>
            </w:pPr>
            <w:r>
              <w:rPr>
                <w:rFonts w:ascii="Times New Roman" w:cs="Times New Roman" w:eastAsia="Times New Roman" w:hAnsi="Times New Roman"/>
                <w:sz w:val="17"/>
                <w:szCs w:val="17"/>
                <w:b w:val="1"/>
                <w:bCs w:val="1"/>
                <w:color w:val="auto"/>
              </w:rPr>
              <w:t>Number</w:t>
            </w:r>
          </w:p>
        </w:tc>
        <w:tc>
          <w:tcPr>
            <w:tcW w:w="0" w:type="dxa"/>
            <w:vAlign w:val="bottom"/>
          </w:tcPr>
          <w:p>
            <w:pPr>
              <w:spacing w:after="0"/>
              <w:rPr>
                <w:sz w:val="1"/>
                <w:szCs w:val="1"/>
                <w:color w:val="auto"/>
              </w:rPr>
            </w:pPr>
          </w:p>
        </w:tc>
      </w:tr>
      <w:tr>
        <w:trPr>
          <w:trHeight w:val="83"/>
        </w:trPr>
        <w:tc>
          <w:tcPr>
            <w:tcW w:w="240" w:type="dxa"/>
            <w:vAlign w:val="bottom"/>
            <w:tcBorders>
              <w:left w:val="single" w:sz="8" w:color="00000A"/>
            </w:tcBorders>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Borders>
              <w:right w:val="single" w:sz="8" w:color="00000A"/>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gridSpan w:val="2"/>
            <w:vMerge w:val="restart"/>
          </w:tcPr>
          <w:p>
            <w:pPr>
              <w:jc w:val="center"/>
              <w:ind w:right="160"/>
              <w:spacing w:after="0" w:line="187" w:lineRule="exact"/>
              <w:rPr>
                <w:sz w:val="20"/>
                <w:szCs w:val="20"/>
                <w:color w:val="auto"/>
              </w:rPr>
            </w:pPr>
            <w:r>
              <w:rPr>
                <w:rFonts w:ascii="Times New Roman" w:cs="Times New Roman" w:eastAsia="Times New Roman" w:hAnsi="Times New Roman"/>
                <w:sz w:val="15"/>
                <w:szCs w:val="15"/>
                <w:b w:val="1"/>
                <w:bCs w:val="1"/>
                <w:color w:val="auto"/>
              </w:rPr>
              <w:t>Lenders1</w:t>
            </w:r>
            <w:r>
              <w:rPr>
                <w:rFonts w:ascii="Times New Roman" w:cs="Times New Roman" w:eastAsia="Times New Roman" w:hAnsi="Times New Roman"/>
                <w:sz w:val="21"/>
                <w:szCs w:val="21"/>
                <w:color w:val="auto"/>
                <w:vertAlign w:val="superscript"/>
              </w:rPr>
              <w:t>5</w:t>
            </w:r>
          </w:p>
        </w:tc>
        <w:tc>
          <w:tcPr>
            <w:tcW w:w="440" w:type="dxa"/>
            <w:vAlign w:val="bottom"/>
            <w:tcBorders>
              <w:top w:val="single" w:sz="8" w:color="auto"/>
            </w:tcBorders>
            <w:vMerge w:val="restart"/>
          </w:tcPr>
          <w:p>
            <w:pPr>
              <w:spacing w:after="0"/>
              <w:rPr>
                <w:sz w:val="7"/>
                <w:szCs w:val="7"/>
                <w:color w:val="auto"/>
              </w:rPr>
            </w:pPr>
          </w:p>
        </w:tc>
        <w:tc>
          <w:tcPr>
            <w:tcW w:w="80" w:type="dxa"/>
            <w:vAlign w:val="bottom"/>
            <w:tcBorders>
              <w:right w:val="single" w:sz="8" w:color="00000A"/>
            </w:tcBorders>
            <w:vMerge w:val="restart"/>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Borders>
              <w:right w:val="single" w:sz="8" w:color="00000A"/>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Borders>
              <w:right w:val="single" w:sz="8" w:color="00000A"/>
            </w:tcBorders>
            <w:gridSpan w:val="4"/>
            <w:vMerge w:val="continue"/>
          </w:tcPr>
          <w:p>
            <w:pPr>
              <w:spacing w:after="0"/>
              <w:rPr>
                <w:sz w:val="7"/>
                <w:szCs w:val="7"/>
                <w:color w:val="auto"/>
              </w:rPr>
            </w:pPr>
          </w:p>
        </w:tc>
        <w:tc>
          <w:tcPr>
            <w:tcW w:w="1240" w:type="dxa"/>
            <w:vAlign w:val="bottom"/>
            <w:tcBorders>
              <w:right w:val="single" w:sz="8" w:color="00000A"/>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40" w:type="dxa"/>
            <w:vAlign w:val="bottom"/>
            <w:tcBorders>
              <w:left w:val="single" w:sz="8" w:color="00000A"/>
            </w:tcBorders>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540" w:type="dxa"/>
            <w:vAlign w:val="bottom"/>
            <w:tcBorders>
              <w:right w:val="single" w:sz="8" w:color="00000A"/>
            </w:tcBorders>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80" w:type="dxa"/>
            <w:vAlign w:val="bottom"/>
            <w:tcBorders>
              <w:right w:val="single" w:sz="8" w:color="00000A"/>
            </w:tcBorders>
            <w:vMerge w:val="continue"/>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Borders>
              <w:right w:val="single" w:sz="8" w:color="00000A"/>
            </w:tcBorders>
            <w:gridSpan w:val="2"/>
            <w:vMerge w:val="restart"/>
          </w:tcPr>
          <w:p>
            <w:pPr>
              <w:jc w:val="center"/>
              <w:ind w:right="500"/>
              <w:spacing w:after="0" w:line="187" w:lineRule="exact"/>
              <w:rPr>
                <w:sz w:val="20"/>
                <w:szCs w:val="20"/>
                <w:color w:val="auto"/>
              </w:rPr>
            </w:pPr>
            <w:r>
              <w:rPr>
                <w:rFonts w:ascii="Times New Roman" w:cs="Times New Roman" w:eastAsia="Times New Roman" w:hAnsi="Times New Roman"/>
                <w:sz w:val="17"/>
                <w:szCs w:val="17"/>
                <w:b w:val="1"/>
                <w:bCs w:val="1"/>
                <w:color w:val="auto"/>
              </w:rPr>
              <w:t>Assigned*</w:t>
            </w:r>
          </w:p>
        </w:tc>
        <w:tc>
          <w:tcPr>
            <w:tcW w:w="2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gridSpan w:val="2"/>
            <w:vMerge w:val="restart"/>
          </w:tcPr>
          <w:p>
            <w:pPr>
              <w:jc w:val="center"/>
              <w:ind w:right="240"/>
              <w:spacing w:after="0" w:line="187" w:lineRule="exact"/>
              <w:rPr>
                <w:sz w:val="20"/>
                <w:szCs w:val="20"/>
                <w:color w:val="auto"/>
              </w:rPr>
            </w:pPr>
            <w:r>
              <w:rPr>
                <w:rFonts w:ascii="Times New Roman" w:cs="Times New Roman" w:eastAsia="Times New Roman" w:hAnsi="Times New Roman"/>
                <w:sz w:val="15"/>
                <w:szCs w:val="15"/>
                <w:b w:val="1"/>
                <w:bCs w:val="1"/>
                <w:color w:val="auto"/>
              </w:rPr>
              <w:t>Loans1</w:t>
            </w:r>
            <w:r>
              <w:rPr>
                <w:rFonts w:ascii="Times New Roman" w:cs="Times New Roman" w:eastAsia="Times New Roman" w:hAnsi="Times New Roman"/>
                <w:sz w:val="21"/>
                <w:szCs w:val="21"/>
                <w:color w:val="auto"/>
                <w:vertAlign w:val="superscript"/>
              </w:rPr>
              <w:t>6</w:t>
            </w:r>
          </w:p>
        </w:tc>
        <w:tc>
          <w:tcPr>
            <w:tcW w:w="280" w:type="dxa"/>
            <w:vAlign w:val="bottom"/>
            <w:tcBorders>
              <w:right w:val="single" w:sz="8" w:color="00000A"/>
            </w:tcBorders>
            <w:vMerge w:val="restart"/>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2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40" w:type="dxa"/>
            <w:vAlign w:val="bottom"/>
            <w:tcBorders>
              <w:left w:val="single" w:sz="8" w:color="00000A"/>
            </w:tcBorders>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Borders>
              <w:right w:val="single" w:sz="8" w:color="00000A"/>
            </w:tcBorders>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right w:val="single" w:sz="8" w:color="00000A"/>
            </w:tcBorders>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Borders>
              <w:right w:val="single" w:sz="8" w:color="00000A"/>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Borders>
              <w:top w:val="single" w:sz="8" w:color="auto"/>
            </w:tcBorders>
            <w:gridSpan w:val="2"/>
            <w:vMerge w:val="continue"/>
          </w:tcPr>
          <w:p>
            <w:pPr>
              <w:spacing w:after="0"/>
              <w:rPr>
                <w:sz w:val="7"/>
                <w:szCs w:val="7"/>
                <w:color w:val="auto"/>
              </w:rPr>
            </w:pPr>
          </w:p>
        </w:tc>
        <w:tc>
          <w:tcPr>
            <w:tcW w:w="280" w:type="dxa"/>
            <w:vAlign w:val="bottom"/>
            <w:tcBorders>
              <w:right w:val="single" w:sz="8" w:color="00000A"/>
            </w:tcBorders>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0" w:type="dxa"/>
            <w:vAlign w:val="bottom"/>
            <w:tcBorders>
              <w:left w:val="single" w:sz="8" w:color="00000A"/>
              <w:bottom w:val="single" w:sz="8" w:color="00000A"/>
            </w:tcBorders>
          </w:tcPr>
          <w:p>
            <w:pPr>
              <w:spacing w:after="0"/>
              <w:rPr>
                <w:sz w:val="18"/>
                <w:szCs w:val="18"/>
                <w:color w:val="auto"/>
              </w:rPr>
            </w:pPr>
          </w:p>
        </w:tc>
        <w:tc>
          <w:tcPr>
            <w:tcW w:w="380" w:type="dxa"/>
            <w:vAlign w:val="bottom"/>
            <w:tcBorders>
              <w:bottom w:val="single" w:sz="8" w:color="00000A"/>
            </w:tcBorders>
          </w:tcPr>
          <w:p>
            <w:pPr>
              <w:spacing w:after="0"/>
              <w:rPr>
                <w:sz w:val="18"/>
                <w:szCs w:val="18"/>
                <w:color w:val="auto"/>
              </w:rPr>
            </w:pPr>
          </w:p>
        </w:tc>
        <w:tc>
          <w:tcPr>
            <w:tcW w:w="920" w:type="dxa"/>
            <w:vAlign w:val="bottom"/>
            <w:tcBorders>
              <w:bottom w:val="single" w:sz="8" w:color="00000A"/>
              <w:right w:val="single" w:sz="8" w:color="auto"/>
            </w:tcBorders>
          </w:tcPr>
          <w:p>
            <w:pPr>
              <w:spacing w:after="0"/>
              <w:rPr>
                <w:sz w:val="18"/>
                <w:szCs w:val="18"/>
                <w:color w:val="auto"/>
              </w:rPr>
            </w:pPr>
          </w:p>
        </w:tc>
        <w:tc>
          <w:tcPr>
            <w:tcW w:w="160" w:type="dxa"/>
            <w:vAlign w:val="bottom"/>
            <w:tcBorders>
              <w:bottom w:val="single" w:sz="8" w:color="00000A"/>
            </w:tcBorders>
          </w:tcPr>
          <w:p>
            <w:pPr>
              <w:spacing w:after="0"/>
              <w:rPr>
                <w:sz w:val="18"/>
                <w:szCs w:val="18"/>
                <w:color w:val="auto"/>
              </w:rPr>
            </w:pPr>
          </w:p>
        </w:tc>
        <w:tc>
          <w:tcPr>
            <w:tcW w:w="1520" w:type="dxa"/>
            <w:vAlign w:val="bottom"/>
            <w:tcBorders>
              <w:bottom w:val="single" w:sz="8" w:color="00000A"/>
              <w:right w:val="single" w:sz="8" w:color="auto"/>
            </w:tcBorders>
          </w:tcPr>
          <w:p>
            <w:pPr>
              <w:spacing w:after="0"/>
              <w:rPr>
                <w:sz w:val="18"/>
                <w:szCs w:val="18"/>
                <w:color w:val="auto"/>
              </w:rPr>
            </w:pPr>
          </w:p>
        </w:tc>
        <w:tc>
          <w:tcPr>
            <w:tcW w:w="400" w:type="dxa"/>
            <w:vAlign w:val="bottom"/>
            <w:tcBorders>
              <w:bottom w:val="single" w:sz="8" w:color="00000A"/>
            </w:tcBorders>
          </w:tcPr>
          <w:p>
            <w:pPr>
              <w:spacing w:after="0"/>
              <w:rPr>
                <w:sz w:val="18"/>
                <w:szCs w:val="18"/>
                <w:color w:val="auto"/>
              </w:rPr>
            </w:pPr>
          </w:p>
        </w:tc>
        <w:tc>
          <w:tcPr>
            <w:tcW w:w="660" w:type="dxa"/>
            <w:vAlign w:val="bottom"/>
            <w:tcBorders>
              <w:bottom w:val="single" w:sz="8" w:color="00000A"/>
            </w:tcBorders>
          </w:tcPr>
          <w:p>
            <w:pPr>
              <w:spacing w:after="0"/>
              <w:rPr>
                <w:sz w:val="18"/>
                <w:szCs w:val="18"/>
                <w:color w:val="auto"/>
              </w:rPr>
            </w:pPr>
          </w:p>
        </w:tc>
        <w:tc>
          <w:tcPr>
            <w:tcW w:w="540" w:type="dxa"/>
            <w:vAlign w:val="bottom"/>
            <w:tcBorders>
              <w:bottom w:val="single" w:sz="8" w:color="00000A"/>
              <w:right w:val="single" w:sz="8" w:color="00000A"/>
            </w:tcBorders>
          </w:tcPr>
          <w:p>
            <w:pPr>
              <w:spacing w:after="0"/>
              <w:rPr>
                <w:sz w:val="18"/>
                <w:szCs w:val="18"/>
                <w:color w:val="auto"/>
              </w:rPr>
            </w:pPr>
          </w:p>
        </w:tc>
        <w:tc>
          <w:tcPr>
            <w:tcW w:w="660" w:type="dxa"/>
            <w:vAlign w:val="bottom"/>
            <w:tcBorders>
              <w:bottom w:val="single" w:sz="8" w:color="00000A"/>
            </w:tcBorders>
          </w:tcPr>
          <w:p>
            <w:pPr>
              <w:spacing w:after="0"/>
              <w:rPr>
                <w:sz w:val="18"/>
                <w:szCs w:val="18"/>
                <w:color w:val="auto"/>
              </w:rPr>
            </w:pPr>
          </w:p>
        </w:tc>
        <w:tc>
          <w:tcPr>
            <w:tcW w:w="680" w:type="dxa"/>
            <w:vAlign w:val="bottom"/>
            <w:tcBorders>
              <w:bottom w:val="single" w:sz="8" w:color="00000A"/>
            </w:tcBorders>
          </w:tcPr>
          <w:p>
            <w:pPr>
              <w:spacing w:after="0"/>
              <w:rPr>
                <w:sz w:val="18"/>
                <w:szCs w:val="18"/>
                <w:color w:val="auto"/>
              </w:rPr>
            </w:pPr>
          </w:p>
        </w:tc>
        <w:tc>
          <w:tcPr>
            <w:tcW w:w="220" w:type="dxa"/>
            <w:vAlign w:val="bottom"/>
            <w:tcBorders>
              <w:bottom w:val="single" w:sz="8" w:color="00000A"/>
            </w:tcBorders>
          </w:tcPr>
          <w:p>
            <w:pPr>
              <w:spacing w:after="0"/>
              <w:rPr>
                <w:sz w:val="18"/>
                <w:szCs w:val="18"/>
                <w:color w:val="auto"/>
              </w:rPr>
            </w:pPr>
          </w:p>
        </w:tc>
        <w:tc>
          <w:tcPr>
            <w:tcW w:w="440" w:type="dxa"/>
            <w:vAlign w:val="bottom"/>
            <w:tcBorders>
              <w:bottom w:val="single" w:sz="8" w:color="00000A"/>
            </w:tcBorders>
          </w:tcPr>
          <w:p>
            <w:pPr>
              <w:spacing w:after="0"/>
              <w:rPr>
                <w:sz w:val="18"/>
                <w:szCs w:val="18"/>
                <w:color w:val="auto"/>
              </w:rPr>
            </w:pPr>
          </w:p>
        </w:tc>
        <w:tc>
          <w:tcPr>
            <w:tcW w:w="80" w:type="dxa"/>
            <w:vAlign w:val="bottom"/>
            <w:tcBorders>
              <w:bottom w:val="single" w:sz="8" w:color="00000A"/>
              <w:right w:val="single" w:sz="8" w:color="00000A"/>
            </w:tcBorders>
          </w:tcPr>
          <w:p>
            <w:pPr>
              <w:spacing w:after="0"/>
              <w:rPr>
                <w:sz w:val="18"/>
                <w:szCs w:val="18"/>
                <w:color w:val="auto"/>
              </w:rPr>
            </w:pPr>
          </w:p>
        </w:tc>
        <w:tc>
          <w:tcPr>
            <w:tcW w:w="460" w:type="dxa"/>
            <w:vAlign w:val="bottom"/>
            <w:tcBorders>
              <w:bottom w:val="single" w:sz="8" w:color="00000A"/>
            </w:tcBorders>
          </w:tcPr>
          <w:p>
            <w:pPr>
              <w:spacing w:after="0"/>
              <w:rPr>
                <w:sz w:val="18"/>
                <w:szCs w:val="18"/>
                <w:color w:val="auto"/>
              </w:rPr>
            </w:pPr>
          </w:p>
        </w:tc>
        <w:tc>
          <w:tcPr>
            <w:tcW w:w="660" w:type="dxa"/>
            <w:vAlign w:val="bottom"/>
            <w:tcBorders>
              <w:top w:val="single" w:sz="8" w:color="auto"/>
              <w:bottom w:val="single" w:sz="8" w:color="00000A"/>
            </w:tcBorders>
          </w:tcPr>
          <w:p>
            <w:pPr>
              <w:spacing w:after="0"/>
              <w:rPr>
                <w:sz w:val="18"/>
                <w:szCs w:val="18"/>
                <w:color w:val="auto"/>
              </w:rPr>
            </w:pPr>
          </w:p>
        </w:tc>
        <w:tc>
          <w:tcPr>
            <w:tcW w:w="580" w:type="dxa"/>
            <w:vAlign w:val="bottom"/>
            <w:tcBorders>
              <w:bottom w:val="single" w:sz="8" w:color="00000A"/>
              <w:right w:val="single" w:sz="8" w:color="00000A"/>
            </w:tcBorders>
          </w:tcPr>
          <w:p>
            <w:pPr>
              <w:spacing w:after="0"/>
              <w:rPr>
                <w:sz w:val="18"/>
                <w:szCs w:val="18"/>
                <w:color w:val="auto"/>
              </w:rPr>
            </w:pPr>
          </w:p>
        </w:tc>
        <w:tc>
          <w:tcPr>
            <w:tcW w:w="260" w:type="dxa"/>
            <w:vAlign w:val="bottom"/>
            <w:tcBorders>
              <w:bottom w:val="single" w:sz="8" w:color="00000A"/>
            </w:tcBorders>
          </w:tcPr>
          <w:p>
            <w:pPr>
              <w:spacing w:after="0"/>
              <w:rPr>
                <w:sz w:val="18"/>
                <w:szCs w:val="18"/>
                <w:color w:val="auto"/>
              </w:rPr>
            </w:pPr>
          </w:p>
        </w:tc>
        <w:tc>
          <w:tcPr>
            <w:tcW w:w="220" w:type="dxa"/>
            <w:vAlign w:val="bottom"/>
            <w:tcBorders>
              <w:bottom w:val="single" w:sz="8" w:color="00000A"/>
            </w:tcBorders>
          </w:tcPr>
          <w:p>
            <w:pPr>
              <w:spacing w:after="0"/>
              <w:rPr>
                <w:sz w:val="18"/>
                <w:szCs w:val="18"/>
                <w:color w:val="auto"/>
              </w:rPr>
            </w:pPr>
          </w:p>
        </w:tc>
        <w:tc>
          <w:tcPr>
            <w:tcW w:w="540" w:type="dxa"/>
            <w:vAlign w:val="bottom"/>
            <w:tcBorders>
              <w:top w:val="single" w:sz="8" w:color="auto"/>
              <w:bottom w:val="single" w:sz="8" w:color="00000A"/>
            </w:tcBorders>
          </w:tcPr>
          <w:p>
            <w:pPr>
              <w:spacing w:after="0"/>
              <w:rPr>
                <w:sz w:val="18"/>
                <w:szCs w:val="18"/>
                <w:color w:val="auto"/>
              </w:rPr>
            </w:pPr>
          </w:p>
        </w:tc>
        <w:tc>
          <w:tcPr>
            <w:tcW w:w="300" w:type="dxa"/>
            <w:vAlign w:val="bottom"/>
            <w:tcBorders>
              <w:bottom w:val="single" w:sz="8" w:color="00000A"/>
            </w:tcBorders>
          </w:tcPr>
          <w:p>
            <w:pPr>
              <w:spacing w:after="0"/>
              <w:rPr>
                <w:sz w:val="18"/>
                <w:szCs w:val="18"/>
                <w:color w:val="auto"/>
              </w:rPr>
            </w:pPr>
          </w:p>
        </w:tc>
        <w:tc>
          <w:tcPr>
            <w:tcW w:w="280" w:type="dxa"/>
            <w:vAlign w:val="bottom"/>
            <w:tcBorders>
              <w:bottom w:val="single" w:sz="8" w:color="00000A"/>
              <w:right w:val="single" w:sz="8" w:color="00000A"/>
            </w:tcBorders>
          </w:tcPr>
          <w:p>
            <w:pPr>
              <w:spacing w:after="0"/>
              <w:rPr>
                <w:sz w:val="18"/>
                <w:szCs w:val="18"/>
                <w:color w:val="auto"/>
              </w:rPr>
            </w:pPr>
          </w:p>
        </w:tc>
        <w:tc>
          <w:tcPr>
            <w:tcW w:w="300" w:type="dxa"/>
            <w:vAlign w:val="bottom"/>
            <w:tcBorders>
              <w:bottom w:val="single" w:sz="8" w:color="00000A"/>
            </w:tcBorders>
          </w:tcPr>
          <w:p>
            <w:pPr>
              <w:spacing w:after="0"/>
              <w:rPr>
                <w:sz w:val="18"/>
                <w:szCs w:val="18"/>
                <w:color w:val="auto"/>
              </w:rPr>
            </w:pPr>
          </w:p>
        </w:tc>
        <w:tc>
          <w:tcPr>
            <w:tcW w:w="620" w:type="dxa"/>
            <w:vAlign w:val="bottom"/>
            <w:tcBorders>
              <w:bottom w:val="single" w:sz="8" w:color="00000A"/>
            </w:tcBorders>
          </w:tcPr>
          <w:p>
            <w:pPr>
              <w:spacing w:after="0"/>
              <w:rPr>
                <w:sz w:val="18"/>
                <w:szCs w:val="18"/>
                <w:color w:val="auto"/>
              </w:rPr>
            </w:pPr>
          </w:p>
        </w:tc>
        <w:tc>
          <w:tcPr>
            <w:tcW w:w="32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0" w:type="dxa"/>
            <w:vAlign w:val="bottom"/>
            <w:tcBorders>
              <w:left w:val="single" w:sz="8" w:color="00000A"/>
            </w:tcBorders>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600" w:type="dxa"/>
            <w:vAlign w:val="bottom"/>
            <w:tcBorders>
              <w:right w:val="single" w:sz="8" w:color="00000A"/>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____________</w:t>
            </w:r>
          </w:p>
        </w:tc>
        <w:tc>
          <w:tcPr>
            <w:tcW w:w="200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$_______________</w:t>
            </w:r>
          </w:p>
        </w:tc>
        <w:tc>
          <w:tcPr>
            <w:tcW w:w="80" w:type="dxa"/>
            <w:vAlign w:val="bottom"/>
            <w:tcBorders>
              <w:right w:val="single" w:sz="8" w:color="00000A"/>
            </w:tcBorders>
          </w:tcPr>
          <w:p>
            <w:pPr>
              <w:spacing w:after="0"/>
              <w:rPr>
                <w:sz w:val="19"/>
                <w:szCs w:val="19"/>
                <w:color w:val="auto"/>
              </w:rPr>
            </w:pPr>
          </w:p>
        </w:tc>
        <w:tc>
          <w:tcPr>
            <w:tcW w:w="1700" w:type="dxa"/>
            <w:vAlign w:val="bottom"/>
            <w:tcBorders>
              <w:right w:val="single" w:sz="8" w:color="00000A"/>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$____________</w:t>
            </w:r>
          </w:p>
        </w:tc>
        <w:tc>
          <w:tcPr>
            <w:tcW w:w="1600" w:type="dxa"/>
            <w:vAlign w:val="bottom"/>
            <w:tcBorders>
              <w:right w:val="single" w:sz="8" w:color="00000A"/>
            </w:tcBorders>
            <w:gridSpan w:val="5"/>
          </w:tcPr>
          <w:p>
            <w:pPr>
              <w:jc w:val="center"/>
              <w:ind w:right="40"/>
              <w:spacing w:after="0"/>
              <w:rPr>
                <w:sz w:val="20"/>
                <w:szCs w:val="20"/>
                <w:color w:val="auto"/>
              </w:rPr>
            </w:pPr>
            <w:r>
              <w:rPr>
                <w:rFonts w:ascii="Times New Roman" w:cs="Times New Roman" w:eastAsia="Times New Roman" w:hAnsi="Times New Roman"/>
                <w:sz w:val="17"/>
                <w:szCs w:val="17"/>
                <w:color w:val="auto"/>
              </w:rPr>
              <w:t>___________%</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40" w:type="dxa"/>
            <w:vAlign w:val="bottom"/>
            <w:tcBorders>
              <w:left w:val="single" w:sz="8" w:color="00000A"/>
              <w:bottom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auto"/>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1520" w:type="dxa"/>
            <w:vAlign w:val="bottom"/>
            <w:tcBorders>
              <w:bottom w:val="single" w:sz="8" w:color="00000A"/>
              <w:right w:val="single" w:sz="8" w:color="auto"/>
            </w:tcBorders>
          </w:tcPr>
          <w:p>
            <w:pPr>
              <w:spacing w:after="0"/>
              <w:rPr>
                <w:sz w:val="2"/>
                <w:szCs w:val="2"/>
                <w:color w:val="auto"/>
              </w:rPr>
            </w:pPr>
          </w:p>
        </w:tc>
        <w:tc>
          <w:tcPr>
            <w:tcW w:w="400" w:type="dxa"/>
            <w:vAlign w:val="bottom"/>
            <w:tcBorders>
              <w:bottom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54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80" w:type="dxa"/>
            <w:vAlign w:val="bottom"/>
            <w:tcBorders>
              <w:bottom w:val="single" w:sz="8" w:color="00000A"/>
              <w:right w:val="single" w:sz="8" w:color="00000A"/>
            </w:tcBorders>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580" w:type="dxa"/>
            <w:vAlign w:val="bottom"/>
            <w:tcBorders>
              <w:bottom w:val="single" w:sz="8" w:color="00000A"/>
              <w:right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8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40" w:type="dxa"/>
            <w:vAlign w:val="bottom"/>
            <w:tcBorders>
              <w:left w:val="single" w:sz="8" w:color="00000A"/>
            </w:tcBorders>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600" w:type="dxa"/>
            <w:vAlign w:val="bottom"/>
            <w:tcBorders>
              <w:right w:val="single" w:sz="8" w:color="00000A"/>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____________</w:t>
            </w:r>
          </w:p>
        </w:tc>
        <w:tc>
          <w:tcPr>
            <w:tcW w:w="200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$_______________</w:t>
            </w:r>
          </w:p>
        </w:tc>
        <w:tc>
          <w:tcPr>
            <w:tcW w:w="80" w:type="dxa"/>
            <w:vAlign w:val="bottom"/>
            <w:tcBorders>
              <w:right w:val="single" w:sz="8" w:color="00000A"/>
            </w:tcBorders>
          </w:tcPr>
          <w:p>
            <w:pPr>
              <w:spacing w:after="0"/>
              <w:rPr>
                <w:sz w:val="19"/>
                <w:szCs w:val="19"/>
                <w:color w:val="auto"/>
              </w:rPr>
            </w:pPr>
          </w:p>
        </w:tc>
        <w:tc>
          <w:tcPr>
            <w:tcW w:w="1700" w:type="dxa"/>
            <w:vAlign w:val="bottom"/>
            <w:tcBorders>
              <w:right w:val="single" w:sz="8" w:color="00000A"/>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$____________</w:t>
            </w:r>
          </w:p>
        </w:tc>
        <w:tc>
          <w:tcPr>
            <w:tcW w:w="1600" w:type="dxa"/>
            <w:vAlign w:val="bottom"/>
            <w:tcBorders>
              <w:right w:val="single" w:sz="8" w:color="00000A"/>
            </w:tcBorders>
            <w:gridSpan w:val="5"/>
          </w:tcPr>
          <w:p>
            <w:pPr>
              <w:jc w:val="center"/>
              <w:ind w:right="40"/>
              <w:spacing w:after="0"/>
              <w:rPr>
                <w:sz w:val="20"/>
                <w:szCs w:val="20"/>
                <w:color w:val="auto"/>
              </w:rPr>
            </w:pPr>
            <w:r>
              <w:rPr>
                <w:rFonts w:ascii="Times New Roman" w:cs="Times New Roman" w:eastAsia="Times New Roman" w:hAnsi="Times New Roman"/>
                <w:sz w:val="17"/>
                <w:szCs w:val="17"/>
                <w:color w:val="auto"/>
              </w:rPr>
              <w:t>___________%</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40" w:type="dxa"/>
            <w:vAlign w:val="bottom"/>
            <w:tcBorders>
              <w:left w:val="single" w:sz="8" w:color="00000A"/>
              <w:bottom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auto"/>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1520" w:type="dxa"/>
            <w:vAlign w:val="bottom"/>
            <w:tcBorders>
              <w:bottom w:val="single" w:sz="8" w:color="00000A"/>
              <w:right w:val="single" w:sz="8" w:color="auto"/>
            </w:tcBorders>
          </w:tcPr>
          <w:p>
            <w:pPr>
              <w:spacing w:after="0"/>
              <w:rPr>
                <w:sz w:val="2"/>
                <w:szCs w:val="2"/>
                <w:color w:val="auto"/>
              </w:rPr>
            </w:pPr>
          </w:p>
        </w:tc>
        <w:tc>
          <w:tcPr>
            <w:tcW w:w="400" w:type="dxa"/>
            <w:vAlign w:val="bottom"/>
            <w:tcBorders>
              <w:bottom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54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80" w:type="dxa"/>
            <w:vAlign w:val="bottom"/>
            <w:tcBorders>
              <w:bottom w:val="single" w:sz="8" w:color="00000A"/>
              <w:right w:val="single" w:sz="8" w:color="00000A"/>
            </w:tcBorders>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580" w:type="dxa"/>
            <w:vAlign w:val="bottom"/>
            <w:tcBorders>
              <w:bottom w:val="single" w:sz="8" w:color="00000A"/>
              <w:right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8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40" w:type="dxa"/>
            <w:vAlign w:val="bottom"/>
            <w:tcBorders>
              <w:left w:val="single" w:sz="8" w:color="00000A"/>
            </w:tcBorders>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600" w:type="dxa"/>
            <w:vAlign w:val="bottom"/>
            <w:tcBorders>
              <w:right w:val="single" w:sz="8" w:color="00000A"/>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____________</w:t>
            </w:r>
          </w:p>
        </w:tc>
        <w:tc>
          <w:tcPr>
            <w:tcW w:w="20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7"/>
                <w:szCs w:val="17"/>
                <w:color w:val="auto"/>
              </w:rPr>
              <w:t>$_______________</w:t>
            </w:r>
          </w:p>
        </w:tc>
        <w:tc>
          <w:tcPr>
            <w:tcW w:w="80" w:type="dxa"/>
            <w:vAlign w:val="bottom"/>
            <w:tcBorders>
              <w:right w:val="single" w:sz="8" w:color="00000A"/>
            </w:tcBorders>
          </w:tcPr>
          <w:p>
            <w:pPr>
              <w:spacing w:after="0"/>
              <w:rPr>
                <w:sz w:val="19"/>
                <w:szCs w:val="19"/>
                <w:color w:val="auto"/>
              </w:rPr>
            </w:pPr>
          </w:p>
        </w:tc>
        <w:tc>
          <w:tcPr>
            <w:tcW w:w="1700" w:type="dxa"/>
            <w:vAlign w:val="bottom"/>
            <w:tcBorders>
              <w:right w:val="single" w:sz="8" w:color="00000A"/>
            </w:tcBorders>
            <w:gridSpan w:val="3"/>
            <w:vMerge w:val="restart"/>
          </w:tcPr>
          <w:p>
            <w:pPr>
              <w:jc w:val="center"/>
              <w:ind w:right="20"/>
              <w:spacing w:after="0"/>
              <w:rPr>
                <w:sz w:val="20"/>
                <w:szCs w:val="20"/>
                <w:color w:val="auto"/>
              </w:rPr>
            </w:pPr>
            <w:r>
              <w:rPr>
                <w:rFonts w:ascii="Times New Roman" w:cs="Times New Roman" w:eastAsia="Times New Roman" w:hAnsi="Times New Roman"/>
                <w:sz w:val="17"/>
                <w:szCs w:val="17"/>
                <w:color w:val="auto"/>
              </w:rPr>
              <w:t>$____________</w:t>
            </w:r>
          </w:p>
        </w:tc>
        <w:tc>
          <w:tcPr>
            <w:tcW w:w="1600" w:type="dxa"/>
            <w:vAlign w:val="bottom"/>
            <w:tcBorders>
              <w:right w:val="single" w:sz="8" w:color="00000A"/>
            </w:tcBorders>
            <w:gridSpan w:val="5"/>
            <w:vMerge w:val="restart"/>
          </w:tcPr>
          <w:p>
            <w:pPr>
              <w:jc w:val="center"/>
              <w:ind w:right="40"/>
              <w:spacing w:after="0"/>
              <w:rPr>
                <w:sz w:val="20"/>
                <w:szCs w:val="20"/>
                <w:color w:val="auto"/>
              </w:rPr>
            </w:pPr>
            <w:r>
              <w:rPr>
                <w:rFonts w:ascii="Times New Roman" w:cs="Times New Roman" w:eastAsia="Times New Roman" w:hAnsi="Times New Roman"/>
                <w:sz w:val="17"/>
                <w:szCs w:val="17"/>
                <w:color w:val="auto"/>
              </w:rPr>
              <w:t>___________%</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0" w:type="dxa"/>
            <w:vAlign w:val="bottom"/>
            <w:tcBorders>
              <w:left w:val="single" w:sz="8" w:color="00000A"/>
            </w:tcBorders>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Borders>
              <w:right w:val="single" w:sz="8" w:color="00000A"/>
            </w:tcBorders>
          </w:tcPr>
          <w:p>
            <w:pPr>
              <w:spacing w:after="0"/>
              <w:rPr>
                <w:sz w:val="17"/>
                <w:szCs w:val="17"/>
                <w:color w:val="auto"/>
              </w:rPr>
            </w:pPr>
          </w:p>
        </w:tc>
        <w:tc>
          <w:tcPr>
            <w:tcW w:w="2000" w:type="dxa"/>
            <w:vAlign w:val="bottom"/>
            <w:gridSpan w:val="4"/>
            <w:vMerge w:val="continue"/>
          </w:tcPr>
          <w:p>
            <w:pPr>
              <w:spacing w:after="0"/>
              <w:rPr>
                <w:sz w:val="17"/>
                <w:szCs w:val="17"/>
                <w:color w:val="auto"/>
              </w:rPr>
            </w:pPr>
          </w:p>
        </w:tc>
        <w:tc>
          <w:tcPr>
            <w:tcW w:w="80" w:type="dxa"/>
            <w:vAlign w:val="bottom"/>
            <w:tcBorders>
              <w:right w:val="single" w:sz="8" w:color="00000A"/>
            </w:tcBorders>
          </w:tcPr>
          <w:p>
            <w:pPr>
              <w:spacing w:after="0"/>
              <w:rPr>
                <w:sz w:val="17"/>
                <w:szCs w:val="17"/>
                <w:color w:val="auto"/>
              </w:rPr>
            </w:pPr>
          </w:p>
        </w:tc>
        <w:tc>
          <w:tcPr>
            <w:tcW w:w="1700" w:type="dxa"/>
            <w:vAlign w:val="bottom"/>
            <w:tcBorders>
              <w:right w:val="single" w:sz="8" w:color="00000A"/>
            </w:tcBorders>
            <w:gridSpan w:val="3"/>
            <w:vMerge w:val="continue"/>
          </w:tcPr>
          <w:p>
            <w:pPr>
              <w:spacing w:after="0"/>
              <w:rPr>
                <w:sz w:val="17"/>
                <w:szCs w:val="17"/>
                <w:color w:val="auto"/>
              </w:rPr>
            </w:pPr>
          </w:p>
        </w:tc>
        <w:tc>
          <w:tcPr>
            <w:tcW w:w="1600" w:type="dxa"/>
            <w:vAlign w:val="bottom"/>
            <w:tcBorders>
              <w:right w:val="single" w:sz="8" w:color="00000A"/>
            </w:tcBorders>
            <w:gridSpan w:val="5"/>
            <w:vMerge w:val="continue"/>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40" w:type="dxa"/>
            <w:vAlign w:val="bottom"/>
            <w:tcBorders>
              <w:left w:val="single" w:sz="8" w:color="00000A"/>
              <w:bottom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auto"/>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1520" w:type="dxa"/>
            <w:vAlign w:val="bottom"/>
            <w:tcBorders>
              <w:bottom w:val="single" w:sz="8" w:color="00000A"/>
              <w:right w:val="single" w:sz="8" w:color="auto"/>
            </w:tcBorders>
          </w:tcPr>
          <w:p>
            <w:pPr>
              <w:spacing w:after="0"/>
              <w:rPr>
                <w:sz w:val="2"/>
                <w:szCs w:val="2"/>
                <w:color w:val="auto"/>
              </w:rPr>
            </w:pPr>
          </w:p>
        </w:tc>
        <w:tc>
          <w:tcPr>
            <w:tcW w:w="400" w:type="dxa"/>
            <w:vAlign w:val="bottom"/>
            <w:tcBorders>
              <w:bottom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54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80" w:type="dxa"/>
            <w:vAlign w:val="bottom"/>
            <w:tcBorders>
              <w:bottom w:val="single" w:sz="8" w:color="00000A"/>
              <w:right w:val="single" w:sz="8" w:color="00000A"/>
            </w:tcBorders>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580" w:type="dxa"/>
            <w:vAlign w:val="bottom"/>
            <w:tcBorders>
              <w:bottom w:val="single" w:sz="8" w:color="00000A"/>
              <w:right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8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445"/>
        </w:trPr>
        <w:tc>
          <w:tcPr>
            <w:tcW w:w="2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87"/>
              </w:rPr>
              <w:t>[7.</w:t>
            </w:r>
          </w:p>
        </w:tc>
        <w:tc>
          <w:tcPr>
            <w:tcW w:w="3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Trade Date:</w:t>
            </w:r>
          </w:p>
        </w:tc>
        <w:tc>
          <w:tcPr>
            <w:tcW w:w="2580" w:type="dxa"/>
            <w:vAlign w:val="bottom"/>
            <w:gridSpan w:val="3"/>
          </w:tcPr>
          <w:p>
            <w:pPr>
              <w:jc w:val="right"/>
              <w:ind w:right="279"/>
              <w:spacing w:after="0"/>
              <w:rPr>
                <w:sz w:val="20"/>
                <w:szCs w:val="20"/>
                <w:color w:val="auto"/>
              </w:rPr>
            </w:pPr>
            <w:r>
              <w:rPr>
                <w:rFonts w:ascii="Times New Roman" w:cs="Times New Roman" w:eastAsia="Times New Roman" w:hAnsi="Times New Roman"/>
                <w:sz w:val="21"/>
                <w:szCs w:val="21"/>
                <w:color w:val="auto"/>
              </w:rPr>
              <w:t xml:space="preserve">__________________] </w:t>
            </w:r>
            <w:r>
              <w:rPr>
                <w:rFonts w:ascii="Times New Roman" w:cs="Times New Roman" w:eastAsia="Times New Roman" w:hAnsi="Times New Roman"/>
                <w:sz w:val="27"/>
                <w:szCs w:val="27"/>
                <w:color w:val="auto"/>
                <w:vertAlign w:val="superscript"/>
              </w:rPr>
              <w:t>17</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Date: __________________, 20__ [TO BE INSERTED BY ADMINISTRATIVE AGENT AND WHICH SHALL BE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DATE OF RECORDATION OF TRANSFER IN THE REGISTER THEREFOR.]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11 The reference to “Loans” in the table should be used only if the Credit Agreement provides for Term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12 List each Assignor, as appropriate.</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13 List each Assignee, and, if available, its market entity identifier, as appropriate.</w:t>
      </w:r>
    </w:p>
    <w:p>
      <w:pPr>
        <w:spacing w:after="0" w:line="11" w:lineRule="exact"/>
        <w:rPr>
          <w:sz w:val="20"/>
          <w:szCs w:val="20"/>
          <w:color w:val="auto"/>
        </w:rPr>
      </w:pPr>
    </w:p>
    <w:p>
      <w:pPr>
        <w:ind w:right="3540" w:firstLine="620"/>
        <w:spacing w:after="0" w:line="253" w:lineRule="auto"/>
        <w:rPr>
          <w:sz w:val="20"/>
          <w:szCs w:val="20"/>
          <w:color w:val="auto"/>
        </w:rPr>
      </w:pPr>
      <w:r>
        <w:rPr>
          <w:rFonts w:ascii="Times New Roman" w:cs="Times New Roman" w:eastAsia="Times New Roman" w:hAnsi="Times New Roman"/>
          <w:sz w:val="17"/>
          <w:szCs w:val="17"/>
          <w:color w:val="auto"/>
        </w:rPr>
        <w:t>14 Fill in the appropriate terminology for the types of facilities under the Credit Agreement that are being assigned under this Assignment (e.g. “MC Commitment”, “USD Commitment”, etc.).</w:t>
      </w:r>
    </w:p>
    <w:p>
      <w:pPr>
        <w:spacing w:after="0" w:line="1" w:lineRule="exact"/>
        <w:rPr>
          <w:sz w:val="20"/>
          <w:szCs w:val="20"/>
          <w:color w:val="auto"/>
        </w:rPr>
      </w:pPr>
    </w:p>
    <w:p>
      <w:pPr>
        <w:ind w:right="3480" w:firstLine="620"/>
        <w:spacing w:after="0" w:line="253" w:lineRule="auto"/>
        <w:rPr>
          <w:sz w:val="20"/>
          <w:szCs w:val="20"/>
          <w:color w:val="auto"/>
        </w:rPr>
      </w:pPr>
      <w:r>
        <w:rPr>
          <w:rFonts w:ascii="Times New Roman" w:cs="Times New Roman" w:eastAsia="Times New Roman" w:hAnsi="Times New Roman"/>
          <w:sz w:val="17"/>
          <w:szCs w:val="17"/>
          <w:color w:val="auto"/>
        </w:rPr>
        <w:t>15 Amounts in this column and in the column immediately to the right to be adjusted by the counterparties to take into account any payments or prepayments made between the Trade Date and the Effective Date.</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16 Set forth, to at least 9 decimals, as a percentage of the Commitment/Loans of all Lenders thereunder.</w:t>
      </w:r>
    </w:p>
    <w:p>
      <w:pPr>
        <w:spacing w:after="0" w:line="11" w:lineRule="exact"/>
        <w:rPr>
          <w:sz w:val="20"/>
          <w:szCs w:val="20"/>
          <w:color w:val="auto"/>
        </w:rPr>
      </w:pPr>
    </w:p>
    <w:p>
      <w:pPr>
        <w:ind w:right="3520" w:firstLine="620"/>
        <w:spacing w:after="0" w:line="267" w:lineRule="auto"/>
        <w:rPr>
          <w:sz w:val="20"/>
          <w:szCs w:val="20"/>
          <w:color w:val="auto"/>
        </w:rPr>
      </w:pPr>
      <w:r>
        <w:rPr>
          <w:rFonts w:ascii="Times New Roman" w:cs="Times New Roman" w:eastAsia="Times New Roman" w:hAnsi="Times New Roman"/>
          <w:sz w:val="17"/>
          <w:szCs w:val="17"/>
          <w:color w:val="auto"/>
        </w:rPr>
        <w:t>17 To be completed if the Assignor and the Assignee intend that the minimum assignment amount is to be determined as of the Trade Date.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E-2</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Form of Assignment and Assumption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40"/>
          </w:cols>
          <w:pgMar w:left="240" w:top="605" w:right="219" w:bottom="1440" w:gutter="0" w:footer="0" w:header="0"/>
        </w:sectPr>
      </w:pPr>
    </w:p>
    <w:bookmarkStart w:id="305" w:name="page306"/>
    <w:bookmarkEnd w:id="305"/>
    <w:p>
      <w:pPr>
        <w:ind w:left="620"/>
        <w:spacing w:after="0"/>
        <w:rPr>
          <w:sz w:val="20"/>
          <w:szCs w:val="20"/>
          <w:color w:val="auto"/>
        </w:rPr>
      </w:pPr>
      <w:r>
        <w:rPr>
          <w:rFonts w:ascii="Times New Roman" w:cs="Times New Roman" w:eastAsia="Times New Roman" w:hAnsi="Times New Roman"/>
          <w:sz w:val="21"/>
          <w:szCs w:val="21"/>
          <w:color w:val="auto"/>
        </w:rPr>
        <w:t>The terms set forth in this Assignment and Assumption are hereby agreed to:</w:t>
      </w:r>
    </w:p>
    <w:p>
      <w:pPr>
        <w:spacing w:after="0" w:line="3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u w:val="single" w:color="auto"/>
          <w:color w:val="auto"/>
        </w:rPr>
        <w:t>ASSIGNOR</w:t>
      </w:r>
    </w:p>
    <w:p>
      <w:pPr>
        <w:spacing w:after="0" w:line="10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OF ASSIGNOR]</w:t>
      </w:r>
    </w:p>
    <w:p>
      <w:pPr>
        <w:spacing w:after="0" w:line="3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________________________________</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3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u w:val="single" w:color="auto"/>
          <w:color w:val="auto"/>
        </w:rPr>
        <w:t>ASSIGNEE</w:t>
      </w:r>
    </w:p>
    <w:p>
      <w:pPr>
        <w:spacing w:after="0" w:line="10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OF ASSIGNEE]</w:t>
      </w:r>
    </w:p>
    <w:p>
      <w:pPr>
        <w:spacing w:after="0" w:line="3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_________________________________</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[Consented to and]</w:t>
      </w:r>
      <w:r>
        <w:rPr>
          <w:rFonts w:ascii="Times New Roman" w:cs="Times New Roman" w:eastAsia="Times New Roman" w:hAnsi="Times New Roman"/>
          <w:sz w:val="27"/>
          <w:szCs w:val="27"/>
          <w:color w:val="auto"/>
          <w:vertAlign w:val="superscript"/>
        </w:rPr>
        <w:t>18</w:t>
      </w:r>
      <w:r>
        <w:rPr>
          <w:rFonts w:ascii="Times New Roman" w:cs="Times New Roman" w:eastAsia="Times New Roman" w:hAnsi="Times New Roman"/>
          <w:sz w:val="21"/>
          <w:szCs w:val="21"/>
          <w:color w:val="auto"/>
        </w:rPr>
        <w:t xml:space="preserve"> Accepted: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OF AMERICA, N.A.,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Administrative Agent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[Consented to:]</w:t>
      </w:r>
      <w:r>
        <w:rPr>
          <w:rFonts w:ascii="Times New Roman" w:cs="Times New Roman" w:eastAsia="Times New Roman" w:hAnsi="Times New Roman"/>
          <w:sz w:val="27"/>
          <w:szCs w:val="27"/>
          <w:color w:val="auto"/>
          <w:vertAlign w:val="superscript"/>
        </w:rPr>
        <w:t>19</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w:t>
      </w:r>
    </w:p>
    <w:p>
      <w:pPr>
        <w:spacing w:after="0" w:line="88" w:lineRule="exact"/>
        <w:rPr>
          <w:sz w:val="20"/>
          <w:szCs w:val="20"/>
          <w:color w:val="auto"/>
        </w:rPr>
      </w:pPr>
    </w:p>
    <w:p>
      <w:pPr>
        <w:ind w:left="780" w:hanging="156"/>
        <w:spacing w:after="0"/>
        <w:tabs>
          <w:tab w:leader="none" w:pos="780" w:val="left"/>
        </w:tabs>
        <w:numPr>
          <w:ilvl w:val="0"/>
          <w:numId w:val="2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To be added only if the consent of the Administrative Agent is required by the terms of the Credit Agreement.</w:t>
      </w:r>
    </w:p>
    <w:p>
      <w:pPr>
        <w:spacing w:after="0" w:line="65" w:lineRule="exact"/>
        <w:rPr>
          <w:rFonts w:ascii="Times New Roman" w:cs="Times New Roman" w:eastAsia="Times New Roman" w:hAnsi="Times New Roman"/>
          <w:sz w:val="23"/>
          <w:szCs w:val="23"/>
          <w:color w:val="auto"/>
          <w:vertAlign w:val="superscript"/>
        </w:rPr>
      </w:pPr>
    </w:p>
    <w:p>
      <w:pPr>
        <w:ind w:left="820" w:hanging="196"/>
        <w:spacing w:after="0" w:line="186" w:lineRule="auto"/>
        <w:tabs>
          <w:tab w:leader="none" w:pos="820" w:val="left"/>
        </w:tabs>
        <w:numPr>
          <w:ilvl w:val="0"/>
          <w:numId w:val="2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To be added only if the consent of the Company and/or other parties (e.g. Swing Line Lender, L/C Issuer) is required by the terms of the Credit</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Agreement.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Assignment and Assumption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605" w:right="23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ANNEX 1 TO ASSIGNMENT AND ASSUMPTION</w:t>
      </w:r>
    </w:p>
    <w:p>
      <w:pPr>
        <w:spacing w:after="0" w:line="2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color w:val="auto"/>
        </w:rPr>
        <w:t>STANDARD TERMS AND CONDITIONS FOR</w:t>
      </w:r>
    </w:p>
    <w:p>
      <w:pPr>
        <w:spacing w:after="0" w:line="2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ASSIGNMENT AND ASSUMPTION</w:t>
      </w:r>
    </w:p>
    <w:p>
      <w:pPr>
        <w:spacing w:after="0" w:line="211" w:lineRule="exact"/>
        <w:rPr>
          <w:sz w:val="20"/>
          <w:szCs w:val="20"/>
          <w:color w:val="auto"/>
        </w:rPr>
      </w:pPr>
    </w:p>
    <w:p>
      <w:pPr>
        <w:ind w:left="980" w:hanging="356"/>
        <w:spacing w:after="0"/>
        <w:tabs>
          <w:tab w:leader="none" w:pos="980"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w:t>
      </w:r>
    </w:p>
    <w:p>
      <w:pPr>
        <w:spacing w:after="0" w:line="207"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Assignor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[The][Each]</w:t>
      </w:r>
      <w:r>
        <w:rPr>
          <w:rFonts w:ascii="Times New Roman" w:cs="Times New Roman" w:eastAsia="Times New Roman" w:hAnsi="Times New Roman"/>
          <w:sz w:val="21"/>
          <w:szCs w:val="21"/>
          <w:color w:val="auto"/>
        </w:rPr>
        <w:t xml:space="preserve"> Assignor (a) represents and warrants that (i) it is the legal and beneficial owner of </w:t>
      </w:r>
      <w:r>
        <w:rPr>
          <w:rFonts w:ascii="Times New Roman" w:cs="Times New Roman" w:eastAsia="Times New Roman" w:hAnsi="Times New Roman"/>
          <w:sz w:val="21"/>
          <w:szCs w:val="21"/>
          <w:b w:val="1"/>
          <w:bCs w:val="1"/>
          <w:color w:val="auto"/>
        </w:rPr>
        <w:t>[the][the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relevant] </w:t>
      </w:r>
      <w:r>
        <w:rPr>
          <w:rFonts w:ascii="Times New Roman" w:cs="Times New Roman" w:eastAsia="Times New Roman" w:hAnsi="Times New Roman"/>
          <w:sz w:val="21"/>
          <w:szCs w:val="21"/>
          <w:color w:val="auto"/>
        </w:rPr>
        <w:t>Assigned Interest, (ii)</w:t>
      </w:r>
      <w:r>
        <w:rPr>
          <w:rFonts w:ascii="Times New Roman" w:cs="Times New Roman" w:eastAsia="Times New Roman" w:hAnsi="Times New Roman"/>
          <w:sz w:val="21"/>
          <w:szCs w:val="21"/>
          <w:b w:val="1"/>
          <w:bCs w:val="1"/>
          <w:color w:val="auto"/>
        </w:rPr>
        <w:t xml:space="preserve"> [the][such] </w:t>
      </w:r>
      <w:r>
        <w:rPr>
          <w:rFonts w:ascii="Times New Roman" w:cs="Times New Roman" w:eastAsia="Times New Roman" w:hAnsi="Times New Roman"/>
          <w:sz w:val="21"/>
          <w:szCs w:val="21"/>
          <w:color w:val="auto"/>
        </w:rPr>
        <w:t>Assigned Interest is free and clear of any lien, encumbrance or other adverse claim, (iii) 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has full power and authority, and has taken all action necessary, to execute and deliver this Assignment and Assumption and to consummate the transactions contemplated hereby and (iv) it is </w:t>
      </w:r>
      <w:r>
        <w:rPr>
          <w:rFonts w:ascii="Times New Roman" w:cs="Times New Roman" w:eastAsia="Times New Roman" w:hAnsi="Times New Roman"/>
          <w:sz w:val="21"/>
          <w:szCs w:val="21"/>
          <w:b w:val="1"/>
          <w:bCs w:val="1"/>
          <w:color w:val="auto"/>
        </w:rPr>
        <w:t>[not]</w:t>
      </w:r>
      <w:r>
        <w:rPr>
          <w:rFonts w:ascii="Times New Roman" w:cs="Times New Roman" w:eastAsia="Times New Roman" w:hAnsi="Times New Roman"/>
          <w:sz w:val="21"/>
          <w:szCs w:val="21"/>
          <w:color w:val="auto"/>
        </w:rPr>
        <w:t xml:space="preserve">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79" w:lineRule="exact"/>
        <w:rPr>
          <w:sz w:val="20"/>
          <w:szCs w:val="20"/>
          <w:color w:val="auto"/>
        </w:rPr>
      </w:pPr>
    </w:p>
    <w:p>
      <w:pPr>
        <w:jc w:val="both"/>
        <w:ind w:firstLine="620"/>
        <w:spacing w:after="0" w:line="245"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[The][Each]</w:t>
      </w:r>
      <w:r>
        <w:rPr>
          <w:rFonts w:ascii="Times New Roman" w:cs="Times New Roman" w:eastAsia="Times New Roman" w:hAnsi="Times New Roman"/>
          <w:sz w:val="21"/>
          <w:szCs w:val="21"/>
          <w:color w:val="auto"/>
        </w:rPr>
        <w:t xml:space="preserv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Times New Roman" w:cs="Times New Roman" w:eastAsia="Times New Roman" w:hAnsi="Times New Roman"/>
          <w:sz w:val="21"/>
          <w:szCs w:val="21"/>
          <w:u w:val="single" w:color="auto"/>
          <w:color w:val="auto"/>
        </w:rPr>
        <w:t>Section 10.06(b)(iii)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of the Credit Agreement (subject to such consents, if any, as may be required under </w:t>
      </w:r>
      <w:r>
        <w:rPr>
          <w:rFonts w:ascii="Times New Roman" w:cs="Times New Roman" w:eastAsia="Times New Roman" w:hAnsi="Times New Roman"/>
          <w:sz w:val="21"/>
          <w:szCs w:val="21"/>
          <w:u w:val="single" w:color="auto"/>
          <w:color w:val="auto"/>
        </w:rPr>
        <w:t>Section 10.06(b)(iii)</w:t>
      </w:r>
      <w:r>
        <w:rPr>
          <w:rFonts w:ascii="Times New Roman" w:cs="Times New Roman" w:eastAsia="Times New Roman" w:hAnsi="Times New Roman"/>
          <w:sz w:val="21"/>
          <w:szCs w:val="21"/>
          <w:color w:val="auto"/>
        </w:rPr>
        <w:t xml:space="preserve"> of the Credit Agreement), (iii) from and after the Effective Date, it shall be bound by the provisions of the Credit Agreement as a Lender thereunder and, to the extent of </w:t>
      </w:r>
      <w:r>
        <w:rPr>
          <w:rFonts w:ascii="Times New Roman" w:cs="Times New Roman" w:eastAsia="Times New Roman" w:hAnsi="Times New Roman"/>
          <w:sz w:val="21"/>
          <w:szCs w:val="21"/>
          <w:b w:val="1"/>
          <w:bCs w:val="1"/>
          <w:color w:val="auto"/>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[the relevant] </w:t>
      </w:r>
      <w:r>
        <w:rPr>
          <w:rFonts w:ascii="Times New Roman" w:cs="Times New Roman" w:eastAsia="Times New Roman" w:hAnsi="Times New Roman"/>
          <w:sz w:val="21"/>
          <w:szCs w:val="21"/>
          <w:color w:val="auto"/>
        </w:rPr>
        <w:t>Assigned Interest, shall have the obligations of a Lender thereunder, (iv) it is sophisticated with respect to decisions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acquire assets of the type represented by </w:t>
      </w:r>
      <w:r>
        <w:rPr>
          <w:rFonts w:ascii="Times New Roman" w:cs="Times New Roman" w:eastAsia="Times New Roman" w:hAnsi="Times New Roman"/>
          <w:sz w:val="21"/>
          <w:szCs w:val="21"/>
          <w:b w:val="1"/>
          <w:bCs w:val="1"/>
          <w:color w:val="auto"/>
        </w:rPr>
        <w:t>[the][such]</w:t>
      </w:r>
      <w:r>
        <w:rPr>
          <w:rFonts w:ascii="Times New Roman" w:cs="Times New Roman" w:eastAsia="Times New Roman" w:hAnsi="Times New Roman"/>
          <w:sz w:val="21"/>
          <w:szCs w:val="21"/>
          <w:color w:val="auto"/>
        </w:rPr>
        <w:t xml:space="preserve"> Assigned Interest and either it, or the Person exercising discretion in making its decision to acquire </w:t>
      </w:r>
      <w:r>
        <w:rPr>
          <w:rFonts w:ascii="Times New Roman" w:cs="Times New Roman" w:eastAsia="Times New Roman" w:hAnsi="Times New Roman"/>
          <w:sz w:val="21"/>
          <w:szCs w:val="21"/>
          <w:b w:val="1"/>
          <w:bCs w:val="1"/>
          <w:color w:val="auto"/>
        </w:rPr>
        <w:t>[the][such]</w:t>
      </w:r>
      <w:r>
        <w:rPr>
          <w:rFonts w:ascii="Times New Roman" w:cs="Times New Roman" w:eastAsia="Times New Roman" w:hAnsi="Times New Roman"/>
          <w:sz w:val="21"/>
          <w:szCs w:val="21"/>
          <w:color w:val="auto"/>
        </w:rPr>
        <w:t xml:space="preserve">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thereof, as applicable, and such other documents and information as it deems appropriate to make its own credit analysis and decision to enter into this Assignment and Assumption and to purchase </w:t>
      </w:r>
      <w:r>
        <w:rPr>
          <w:rFonts w:ascii="Times New Roman" w:cs="Times New Roman" w:eastAsia="Times New Roman" w:hAnsi="Times New Roman"/>
          <w:sz w:val="21"/>
          <w:szCs w:val="21"/>
          <w:b w:val="1"/>
          <w:bCs w:val="1"/>
          <w:color w:val="auto"/>
        </w:rPr>
        <w:t>[the][such]</w:t>
      </w:r>
      <w:r>
        <w:rPr>
          <w:rFonts w:ascii="Times New Roman" w:cs="Times New Roman" w:eastAsia="Times New Roman" w:hAnsi="Times New Roman"/>
          <w:sz w:val="21"/>
          <w:szCs w:val="21"/>
          <w:color w:val="auto"/>
        </w:rPr>
        <w:t xml:space="preserv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w:t>
      </w:r>
      <w:r>
        <w:rPr>
          <w:rFonts w:ascii="Times New Roman" w:cs="Times New Roman" w:eastAsia="Times New Roman" w:hAnsi="Times New Roman"/>
          <w:sz w:val="21"/>
          <w:szCs w:val="21"/>
          <w:b w:val="1"/>
          <w:bCs w:val="1"/>
          <w:color w:val="auto"/>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[such] </w:t>
      </w:r>
      <w:r>
        <w:rPr>
          <w:rFonts w:ascii="Times New Roman" w:cs="Times New Roman" w:eastAsia="Times New Roman" w:hAnsi="Times New Roman"/>
          <w:sz w:val="21"/>
          <w:szCs w:val="21"/>
          <w:color w:val="auto"/>
        </w:rPr>
        <w:t>Assigned Interest, and (vii) attached hereto is any documentation required to be delivered by it pursuant to the terms of the Credit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duly completed and executed by </w:t>
      </w:r>
      <w:r>
        <w:rPr>
          <w:rFonts w:ascii="Times New Roman" w:cs="Times New Roman" w:eastAsia="Times New Roman" w:hAnsi="Times New Roman"/>
          <w:sz w:val="21"/>
          <w:szCs w:val="21"/>
          <w:b w:val="1"/>
          <w:bCs w:val="1"/>
          <w:color w:val="auto"/>
        </w:rPr>
        <w:t>[the][such]</w:t>
      </w:r>
      <w:r>
        <w:rPr>
          <w:rFonts w:ascii="Times New Roman" w:cs="Times New Roman" w:eastAsia="Times New Roman" w:hAnsi="Times New Roman"/>
          <w:sz w:val="21"/>
          <w:szCs w:val="21"/>
          <w:color w:val="auto"/>
        </w:rPr>
        <w:t xml:space="preserve"> Assignee; and (b) agrees that (i) it will, independently and without reliance upon the Administrative Agent, </w:t>
      </w:r>
      <w:r>
        <w:rPr>
          <w:rFonts w:ascii="Times New Roman" w:cs="Times New Roman" w:eastAsia="Times New Roman" w:hAnsi="Times New Roman"/>
          <w:sz w:val="21"/>
          <w:szCs w:val="21"/>
          <w:b w:val="1"/>
          <w:bCs w:val="1"/>
          <w:color w:val="auto"/>
        </w:rPr>
        <w:t>[the][any]</w:t>
      </w:r>
      <w:r>
        <w:rPr>
          <w:rFonts w:ascii="Times New Roman" w:cs="Times New Roman" w:eastAsia="Times New Roman" w:hAnsi="Times New Roman"/>
          <w:sz w:val="21"/>
          <w:szCs w:val="21"/>
          <w:color w:val="auto"/>
        </w:rPr>
        <w:t xml:space="preserve"> Assignor or any other Lender, and based on such documents and information as it shall deem appropriate at the time, continue to make its own credit decisions in taking or not taking action under the Loan Documents, and (ii) it will perform in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Assignment and Assumption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599" w:right="239" w:bottom="1440" w:gutter="0" w:footer="0" w:header="0"/>
        </w:sectPr>
      </w:pPr>
    </w:p>
    <w:bookmarkStart w:id="307" w:name="page308"/>
    <w:bookmarkEnd w:id="307"/>
    <w:p>
      <w:pPr>
        <w:spacing w:after="0" w:line="270" w:lineRule="auto"/>
        <w:rPr>
          <w:sz w:val="20"/>
          <w:szCs w:val="20"/>
          <w:color w:val="auto"/>
        </w:rPr>
      </w:pPr>
      <w:r>
        <w:rPr>
          <w:rFonts w:ascii="Times New Roman" w:cs="Times New Roman" w:eastAsia="Times New Roman" w:hAnsi="Times New Roman"/>
          <w:sz w:val="21"/>
          <w:szCs w:val="21"/>
          <w:color w:val="auto"/>
        </w:rPr>
        <w:t>accordance with their terms all of the obligations which by the terms of the Loan Documents are required to be performed by it as a Lender.</w:t>
      </w:r>
    </w:p>
    <w:p>
      <w:pPr>
        <w:spacing w:after="0" w:line="150" w:lineRule="exact"/>
        <w:rPr>
          <w:sz w:val="20"/>
          <w:szCs w:val="20"/>
          <w:color w:val="auto"/>
        </w:rPr>
      </w:pPr>
    </w:p>
    <w:p>
      <w:pPr>
        <w:jc w:val="both"/>
        <w:ind w:firstLine="624"/>
        <w:spacing w:after="0" w:line="251" w:lineRule="auto"/>
        <w:tabs>
          <w:tab w:leader="none" w:pos="1059"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xml:space="preserve">. From and after the Effective Date, the Administrative Agent shall make all payments in respect of </w:t>
      </w:r>
      <w:r>
        <w:rPr>
          <w:rFonts w:ascii="Times New Roman" w:cs="Times New Roman" w:eastAsia="Times New Roman" w:hAnsi="Times New Roman"/>
          <w:sz w:val="21"/>
          <w:szCs w:val="21"/>
          <w:b w:val="1"/>
          <w:bCs w:val="1"/>
          <w:color w:val="auto"/>
        </w:rPr>
        <w:t>[the][each]</w:t>
      </w:r>
      <w:r>
        <w:rPr>
          <w:rFonts w:ascii="Times New Roman" w:cs="Times New Roman" w:eastAsia="Times New Roman" w:hAnsi="Times New Roman"/>
          <w:sz w:val="21"/>
          <w:szCs w:val="21"/>
          <w:color w:val="auto"/>
        </w:rPr>
        <w:t xml:space="preserve"> Assigned Interest (including payments of principal, interest, fees and other amounts) to </w:t>
      </w:r>
      <w:r>
        <w:rPr>
          <w:rFonts w:ascii="Times New Roman" w:cs="Times New Roman" w:eastAsia="Times New Roman" w:hAnsi="Times New Roman"/>
          <w:sz w:val="21"/>
          <w:szCs w:val="21"/>
          <w:b w:val="1"/>
          <w:bCs w:val="1"/>
          <w:color w:val="auto"/>
        </w:rPr>
        <w:t>[the][the relevant]</w:t>
      </w:r>
      <w:r>
        <w:rPr>
          <w:rFonts w:ascii="Times New Roman" w:cs="Times New Roman" w:eastAsia="Times New Roman" w:hAnsi="Times New Roman"/>
          <w:sz w:val="21"/>
          <w:szCs w:val="21"/>
          <w:color w:val="auto"/>
        </w:rPr>
        <w:t xml:space="preserve"> Assignor for amounts which have accrued to but excluding the Effective Date and to </w:t>
      </w:r>
      <w:r>
        <w:rPr>
          <w:rFonts w:ascii="Times New Roman" w:cs="Times New Roman" w:eastAsia="Times New Roman" w:hAnsi="Times New Roman"/>
          <w:sz w:val="21"/>
          <w:szCs w:val="21"/>
          <w:b w:val="1"/>
          <w:bCs w:val="1"/>
          <w:color w:val="auto"/>
        </w:rPr>
        <w:t>[the][the relevant]</w:t>
      </w:r>
      <w:r>
        <w:rPr>
          <w:rFonts w:ascii="Times New Roman" w:cs="Times New Roman" w:eastAsia="Times New Roman" w:hAnsi="Times New Roman"/>
          <w:sz w:val="21"/>
          <w:szCs w:val="21"/>
          <w:color w:val="auto"/>
        </w:rPr>
        <w:t xml:space="preserve"> Assignee for amounts which have accrued from and after the Effective Date. Notwithstanding the foregoing, the Administrative Agent shall make all payments of interest, fees or other amounts paid or payable in kind from and after the Effective Date to </w:t>
      </w:r>
      <w:r>
        <w:rPr>
          <w:rFonts w:ascii="Times New Roman" w:cs="Times New Roman" w:eastAsia="Times New Roman" w:hAnsi="Times New Roman"/>
          <w:sz w:val="21"/>
          <w:szCs w:val="21"/>
          <w:b w:val="1"/>
          <w:bCs w:val="1"/>
          <w:color w:val="auto"/>
        </w:rPr>
        <w:t>[the][the relevant]</w:t>
      </w:r>
      <w:r>
        <w:rPr>
          <w:rFonts w:ascii="Times New Roman" w:cs="Times New Roman" w:eastAsia="Times New Roman" w:hAnsi="Times New Roman"/>
          <w:sz w:val="21"/>
          <w:szCs w:val="21"/>
          <w:color w:val="auto"/>
        </w:rPr>
        <w:t xml:space="preserve"> Assignee.</w:t>
      </w:r>
    </w:p>
    <w:p>
      <w:pPr>
        <w:spacing w:after="0" w:line="175" w:lineRule="exact"/>
        <w:rPr>
          <w:rFonts w:ascii="Times New Roman" w:cs="Times New Roman" w:eastAsia="Times New Roman" w:hAnsi="Times New Roman"/>
          <w:sz w:val="21"/>
          <w:szCs w:val="21"/>
          <w:color w:val="auto"/>
        </w:rPr>
      </w:pPr>
    </w:p>
    <w:p>
      <w:pPr>
        <w:jc w:val="both"/>
        <w:ind w:firstLine="624"/>
        <w:spacing w:after="0" w:line="249" w:lineRule="auto"/>
        <w:tabs>
          <w:tab w:leader="none" w:pos="1034"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 without regard to conflicts of law principles that would require the application of laws of another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Assignment and Assumption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605" w:right="239" w:bottom="1440" w:gutter="0" w:footer="0" w:header="0"/>
        </w:sectPr>
      </w:pPr>
    </w:p>
    <w:bookmarkStart w:id="308" w:name="page309"/>
    <w:bookmarkEnd w:id="308"/>
    <w:p>
      <w:pPr>
        <w:ind w:left="10200"/>
        <w:spacing w:after="0"/>
        <w:rPr>
          <w:sz w:val="20"/>
          <w:szCs w:val="20"/>
          <w:color w:val="auto"/>
        </w:rPr>
      </w:pPr>
      <w:r>
        <w:rPr>
          <w:rFonts w:ascii="Times New Roman" w:cs="Times New Roman" w:eastAsia="Times New Roman" w:hAnsi="Times New Roman"/>
          <w:sz w:val="20"/>
          <w:szCs w:val="20"/>
          <w:b w:val="1"/>
          <w:bCs w:val="1"/>
          <w:i w:val="1"/>
          <w:iCs w:val="1"/>
          <w:color w:val="auto"/>
        </w:rPr>
        <w:t>EXHIBIT F-1</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U.S. TAX COMPLIANCE CERTIFICATE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 Foreign Lenders That Are Not Partnerships For U.S. Federal Income Tax Purposes)</w:t>
      </w:r>
    </w:p>
    <w:p>
      <w:pPr>
        <w:spacing w:after="0" w:line="2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Reference is made to that certain Fifth Amended and Restated Credit Agreement, dated as of [_________], 2019 (as</w:t>
      </w:r>
    </w:p>
    <w:p>
      <w:pPr>
        <w:spacing w:after="0" w:line="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amended, restated, extended, supplemented or otherwise modified in writing from time to time,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terms defined therein being used herein as therein defined), among MasTec, Inc., a Florida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MasTec North America, Inc., a Florida corporation (together with the Company, collectively,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and Bank of America, N.A., as Administrative Agent, L/C Issuer and Swing Line Lender.</w:t>
      </w:r>
    </w:p>
    <w:p>
      <w:pPr>
        <w:spacing w:after="0" w:line="176" w:lineRule="exact"/>
        <w:rPr>
          <w:sz w:val="20"/>
          <w:szCs w:val="20"/>
          <w:color w:val="auto"/>
        </w:rPr>
      </w:pPr>
    </w:p>
    <w:p>
      <w:pPr>
        <w:jc w:val="both"/>
        <w:ind w:firstLine="1240"/>
        <w:spacing w:after="0" w:line="274" w:lineRule="auto"/>
        <w:rPr>
          <w:sz w:val="20"/>
          <w:szCs w:val="20"/>
          <w:color w:val="auto"/>
        </w:rPr>
      </w:pPr>
      <w:r>
        <w:rPr>
          <w:rFonts w:ascii="Times New Roman" w:cs="Times New Roman" w:eastAsia="Times New Roman" w:hAnsi="Times New Roman"/>
          <w:sz w:val="20"/>
          <w:szCs w:val="20"/>
          <w:color w:val="auto"/>
        </w:rPr>
        <w:t xml:space="preserve">Pursuant to the provisions of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of the Agreement, the undersigned hereby certifies that (i) it is the sole record and beneficial owner of the Loan(s) (as well as any Note(s) evidencing such Loan(s)) in respect of which it is providing this certificate,</w:t>
      </w:r>
    </w:p>
    <w:p>
      <w:pPr>
        <w:spacing w:after="0" w:line="1" w:lineRule="exact"/>
        <w:rPr>
          <w:sz w:val="20"/>
          <w:szCs w:val="20"/>
          <w:color w:val="auto"/>
        </w:rPr>
      </w:pPr>
    </w:p>
    <w:p>
      <w:pPr>
        <w:jc w:val="both"/>
        <w:ind w:firstLine="3"/>
        <w:spacing w:after="0" w:line="265" w:lineRule="auto"/>
        <w:tabs>
          <w:tab w:leader="none" w:pos="305"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2" w:lineRule="exact"/>
        <w:rPr>
          <w:sz w:val="20"/>
          <w:szCs w:val="20"/>
          <w:color w:val="auto"/>
        </w:rPr>
      </w:pPr>
    </w:p>
    <w:p>
      <w:pPr>
        <w:jc w:val="both"/>
        <w:ind w:firstLine="1240"/>
        <w:spacing w:after="0" w:line="262" w:lineRule="auto"/>
        <w:rPr>
          <w:sz w:val="20"/>
          <w:szCs w:val="20"/>
          <w:color w:val="auto"/>
        </w:rPr>
      </w:pPr>
      <w:r>
        <w:rPr>
          <w:rFonts w:ascii="Times New Roman" w:cs="Times New Roman" w:eastAsia="Times New Roman" w:hAnsi="Times New Roman"/>
          <w:sz w:val="21"/>
          <w:szCs w:val="21"/>
          <w:color w:val="auto"/>
        </w:rPr>
        <w:t>The undersigned has furnished the Administrative Agent and the Borrowers with a certificate of its non-U.S. Person status on IRS Form W-8BENE (or W-8BEN, as applicable).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75" w:lineRule="exact"/>
        <w:rPr>
          <w:sz w:val="20"/>
          <w:szCs w:val="20"/>
          <w:color w:val="auto"/>
        </w:rPr>
      </w:pPr>
    </w:p>
    <w:p>
      <w:pPr>
        <w:jc w:val="both"/>
        <w:ind w:firstLine="1240"/>
        <w:spacing w:after="0" w:line="283" w:lineRule="auto"/>
        <w:rPr>
          <w:sz w:val="20"/>
          <w:szCs w:val="20"/>
          <w:color w:val="auto"/>
        </w:rPr>
      </w:pPr>
      <w:r>
        <w:rPr>
          <w:rFonts w:ascii="Times New Roman" w:cs="Times New Roman" w:eastAsia="Times New Roman" w:hAnsi="Times New Roman"/>
          <w:sz w:val="21"/>
          <w:szCs w:val="21"/>
          <w:color w:val="auto"/>
        </w:rPr>
        <w:t>Unless otherwise defined herein, terms defined in the Agreement and used herein shall have the meanings given to them in the Agreement.</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OF LENDER]</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_______________________</w:t>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Name: _________________</w:t>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Title: __________________</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U.S. Tax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599" w:right="23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F-2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U.S. TAX COMPLIANCE CERTIFICATE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 Foreign Participants That Are Not Partnerships For U.S. Federal Income Tax Purposes)</w:t>
      </w:r>
    </w:p>
    <w:p>
      <w:pPr>
        <w:spacing w:after="0" w:line="2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Reference is made to that certain Fifth Amended and Restated Credit Agreement, dated as of [_________], 2019 (as</w:t>
      </w:r>
    </w:p>
    <w:p>
      <w:pPr>
        <w:spacing w:after="0" w:line="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amended, restated, extended, supplemented or otherwise modified in writing from time to time,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terms defined therein being used herein as therein defined), among MasTec, Inc., a Florida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MasTec North America, Inc., a Florida corporation (together with the Company, collectively,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and Bank of America, N.A., as Administrative Agent, L/C Issuer and Swing Line Lender.</w:t>
      </w:r>
    </w:p>
    <w:p>
      <w:pPr>
        <w:spacing w:after="0" w:line="176" w:lineRule="exact"/>
        <w:rPr>
          <w:sz w:val="20"/>
          <w:szCs w:val="20"/>
          <w:color w:val="auto"/>
        </w:rPr>
      </w:pPr>
    </w:p>
    <w:p>
      <w:pPr>
        <w:jc w:val="both"/>
        <w:ind w:firstLine="1240"/>
        <w:spacing w:after="0" w:line="282" w:lineRule="auto"/>
        <w:rPr>
          <w:sz w:val="20"/>
          <w:szCs w:val="20"/>
          <w:color w:val="auto"/>
        </w:rPr>
      </w:pPr>
      <w:r>
        <w:rPr>
          <w:rFonts w:ascii="Times New Roman" w:cs="Times New Roman" w:eastAsia="Times New Roman" w:hAnsi="Times New Roman"/>
          <w:sz w:val="20"/>
          <w:szCs w:val="20"/>
          <w:color w:val="auto"/>
        </w:rPr>
        <w:t xml:space="preserve">Pursuant to the provisions of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of the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59" w:lineRule="exact"/>
        <w:rPr>
          <w:sz w:val="20"/>
          <w:szCs w:val="20"/>
          <w:color w:val="auto"/>
        </w:rPr>
      </w:pPr>
    </w:p>
    <w:p>
      <w:pPr>
        <w:jc w:val="both"/>
        <w:ind w:firstLine="1240"/>
        <w:spacing w:after="0" w:line="263" w:lineRule="auto"/>
        <w:rPr>
          <w:sz w:val="20"/>
          <w:szCs w:val="20"/>
          <w:color w:val="auto"/>
        </w:rPr>
      </w:pPr>
      <w:r>
        <w:rPr>
          <w:rFonts w:ascii="Times New Roman" w:cs="Times New Roman" w:eastAsia="Times New Roman" w:hAnsi="Times New Roman"/>
          <w:sz w:val="21"/>
          <w:szCs w:val="21"/>
          <w:color w:val="auto"/>
        </w:rPr>
        <w:t>The undersigned has furnished its participating Lender with a certificate of its non-U.S. Person status on IRS Form W-8BENE (or W-8BEN,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6" w:lineRule="exact"/>
        <w:rPr>
          <w:sz w:val="20"/>
          <w:szCs w:val="20"/>
          <w:color w:val="auto"/>
        </w:rPr>
      </w:pPr>
    </w:p>
    <w:p>
      <w:pPr>
        <w:jc w:val="both"/>
        <w:ind w:firstLine="1240"/>
        <w:spacing w:after="0" w:line="283" w:lineRule="auto"/>
        <w:rPr>
          <w:sz w:val="20"/>
          <w:szCs w:val="20"/>
          <w:color w:val="auto"/>
        </w:rPr>
      </w:pPr>
      <w:r>
        <w:rPr>
          <w:rFonts w:ascii="Times New Roman" w:cs="Times New Roman" w:eastAsia="Times New Roman" w:hAnsi="Times New Roman"/>
          <w:sz w:val="21"/>
          <w:szCs w:val="21"/>
          <w:color w:val="auto"/>
        </w:rPr>
        <w:t>Unless otherwise defined herein, terms defined in the Agreement and used herein shall have the meanings given to them in the Agreement.</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OF PARTICIPANT]</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_____________________</w:t>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Name: ______________</w:t>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Title: ________________</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U.S. Tax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599" w:right="23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19"/>
          <w:szCs w:val="19"/>
          <w:b w:val="1"/>
          <w:bCs w:val="1"/>
          <w:i w:val="1"/>
          <w:iCs w:val="1"/>
          <w:color w:val="auto"/>
        </w:rPr>
        <w:t>EXHIBIT F-3</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U.S. TAX COMPLIANCE CERTIFICATE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 Foreign Participants That Are Partnerships For U.S. Federal Income Tax Purposes)</w:t>
      </w:r>
    </w:p>
    <w:p>
      <w:pPr>
        <w:spacing w:after="0" w:line="21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Reference is made to that certain Fifth Amended and Restated Credit Agreement, dated as of [_________], 2019 (as amended,</w:t>
      </w:r>
    </w:p>
    <w:p>
      <w:pPr>
        <w:spacing w:after="0" w:line="2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restated, extended, supplemented or otherwise modified in writing from time to time,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the terms defined therein being used herein as therein defined), among MasTec, Inc., a Florida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MasTec North America, Inc., a Florida corporation (together with the Company, collectively,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each individually a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and Bank of America, N.A., as Administrative Agent, L/C Issuer and Swing Line Lender.</w:t>
      </w:r>
    </w:p>
    <w:p>
      <w:pPr>
        <w:spacing w:after="0" w:line="173" w:lineRule="exact"/>
        <w:rPr>
          <w:sz w:val="20"/>
          <w:szCs w:val="20"/>
          <w:color w:val="auto"/>
        </w:rPr>
      </w:pPr>
    </w:p>
    <w:p>
      <w:pPr>
        <w:jc w:val="both"/>
        <w:ind w:firstLine="1240"/>
        <w:spacing w:after="0" w:line="274" w:lineRule="auto"/>
        <w:rPr>
          <w:sz w:val="20"/>
          <w:szCs w:val="20"/>
          <w:color w:val="auto"/>
        </w:rPr>
      </w:pPr>
      <w:r>
        <w:rPr>
          <w:rFonts w:ascii="Times New Roman" w:cs="Times New Roman" w:eastAsia="Times New Roman" w:hAnsi="Times New Roman"/>
          <w:sz w:val="19"/>
          <w:szCs w:val="19"/>
          <w:color w:val="auto"/>
        </w:rPr>
        <w:t xml:space="preserve">Pursuant to the provisions of </w:t>
      </w:r>
      <w:r>
        <w:rPr>
          <w:rFonts w:ascii="Times New Roman" w:cs="Times New Roman" w:eastAsia="Times New Roman" w:hAnsi="Times New Roman"/>
          <w:sz w:val="19"/>
          <w:szCs w:val="19"/>
          <w:u w:val="single" w:color="auto"/>
          <w:color w:val="auto"/>
        </w:rPr>
        <w:t>Section 3.01(e)</w:t>
      </w:r>
      <w:r>
        <w:rPr>
          <w:rFonts w:ascii="Times New Roman" w:cs="Times New Roman" w:eastAsia="Times New Roman" w:hAnsi="Times New Roman"/>
          <w:sz w:val="19"/>
          <w:szCs w:val="19"/>
          <w:color w:val="auto"/>
        </w:rPr>
        <w:t xml:space="preserve"> of the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79" w:lineRule="exact"/>
        <w:rPr>
          <w:sz w:val="20"/>
          <w:szCs w:val="20"/>
          <w:color w:val="auto"/>
        </w:rPr>
      </w:pPr>
    </w:p>
    <w:p>
      <w:pPr>
        <w:jc w:val="both"/>
        <w:ind w:firstLine="1240"/>
        <w:spacing w:after="0" w:line="274" w:lineRule="auto"/>
        <w:rPr>
          <w:sz w:val="20"/>
          <w:szCs w:val="20"/>
          <w:color w:val="auto"/>
        </w:rPr>
      </w:pPr>
      <w:r>
        <w:rPr>
          <w:rFonts w:ascii="Times New Roman" w:cs="Times New Roman" w:eastAsia="Times New Roman" w:hAnsi="Times New Roman"/>
          <w:sz w:val="19"/>
          <w:szCs w:val="19"/>
          <w:color w:val="auto"/>
        </w:rPr>
        <w:t>The undersigned has furnished its participating Lender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Unless otherwise defined herein, terms defined in the Agreement and used herein shall have the meanings given to them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OF PARTICIPANT]</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_______________________</w:t>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Name: ________________</w:t>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Title: _________________</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U.S. Tax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591" w:right="239" w:bottom="1440" w:gutter="0" w:footer="0" w:header="0"/>
        </w:sectPr>
      </w:pPr>
    </w:p>
    <w:bookmarkStart w:id="311" w:name="page312"/>
    <w:bookmarkEnd w:id="311"/>
    <w:p>
      <w:pPr>
        <w:ind w:left="10300"/>
        <w:spacing w:after="0"/>
        <w:rPr>
          <w:sz w:val="20"/>
          <w:szCs w:val="20"/>
          <w:color w:val="auto"/>
        </w:rPr>
      </w:pPr>
      <w:r>
        <w:rPr>
          <w:rFonts w:ascii="Times New Roman" w:cs="Times New Roman" w:eastAsia="Times New Roman" w:hAnsi="Times New Roman"/>
          <w:sz w:val="18"/>
          <w:szCs w:val="18"/>
          <w:b w:val="1"/>
          <w:bCs w:val="1"/>
          <w:i w:val="1"/>
          <w:iCs w:val="1"/>
          <w:color w:val="auto"/>
        </w:rPr>
        <w:t>EXHIBIT F-4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U.S. TAX COMPLIANCE CERTIFICATE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 Foreign Lenders That Are Partnerships For U.S. Federal Income Tax Purposes)</w:t>
      </w:r>
    </w:p>
    <w:p>
      <w:pPr>
        <w:spacing w:after="0" w:line="21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Reference is made to that certain Fifth Amended and Restated Credit Agreement, dated as of [_________], 2019 (as amended,</w:t>
      </w:r>
    </w:p>
    <w:p>
      <w:pPr>
        <w:spacing w:after="0" w:line="2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restated, extended, supplemented or otherwise modified in writing from time to time,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the terms defined therein being used herein as therein defined), among MasTec, Inc., a Florida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MasTec North America, Inc., a Florida corporation (together with the Company, collectively,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each individually a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and Bank of America, N.A., as Administrative Agent, L/C Issuer and Swing Line Lender.</w:t>
      </w:r>
    </w:p>
    <w:p>
      <w:pPr>
        <w:spacing w:after="0" w:line="173" w:lineRule="exact"/>
        <w:rPr>
          <w:sz w:val="20"/>
          <w:szCs w:val="20"/>
          <w:color w:val="auto"/>
        </w:rPr>
      </w:pPr>
    </w:p>
    <w:p>
      <w:pPr>
        <w:jc w:val="both"/>
        <w:ind w:firstLine="1240"/>
        <w:spacing w:after="0" w:line="269" w:lineRule="auto"/>
        <w:rPr>
          <w:sz w:val="20"/>
          <w:szCs w:val="20"/>
          <w:color w:val="auto"/>
        </w:rPr>
      </w:pPr>
      <w:r>
        <w:rPr>
          <w:rFonts w:ascii="Times New Roman" w:cs="Times New Roman" w:eastAsia="Times New Roman" w:hAnsi="Times New Roman"/>
          <w:sz w:val="19"/>
          <w:szCs w:val="19"/>
          <w:color w:val="auto"/>
        </w:rPr>
        <w:t xml:space="preserve">Pursuant to the provisions of </w:t>
      </w:r>
      <w:r>
        <w:rPr>
          <w:rFonts w:ascii="Times New Roman" w:cs="Times New Roman" w:eastAsia="Times New Roman" w:hAnsi="Times New Roman"/>
          <w:sz w:val="19"/>
          <w:szCs w:val="19"/>
          <w:u w:val="single" w:color="auto"/>
          <w:color w:val="auto"/>
        </w:rPr>
        <w:t>Section 3.01(e)</w:t>
      </w:r>
      <w:r>
        <w:rPr>
          <w:rFonts w:ascii="Times New Roman" w:cs="Times New Roman" w:eastAsia="Times New Roman" w:hAnsi="Times New Roman"/>
          <w:sz w:val="19"/>
          <w:szCs w:val="19"/>
          <w:color w:val="auto"/>
        </w:rPr>
        <w:t xml:space="preserve"> of the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w:t>
      </w:r>
    </w:p>
    <w:p>
      <w:pPr>
        <w:spacing w:after="0" w:line="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8" w:lineRule="exact"/>
        <w:rPr>
          <w:sz w:val="20"/>
          <w:szCs w:val="20"/>
          <w:color w:val="auto"/>
        </w:rPr>
      </w:pPr>
    </w:p>
    <w:p>
      <w:pPr>
        <w:jc w:val="both"/>
        <w:ind w:firstLine="1240"/>
        <w:spacing w:after="0" w:line="291"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Borrowers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Unless otherwise defined herein, terms defined in the Agreement and used herein shall have the meanings given to them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[NAME OF LENDER]</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By: __________________________</w:t>
      </w:r>
    </w:p>
    <w:p>
      <w:pPr>
        <w:spacing w:after="0" w:line="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Name: ___________________</w:t>
      </w:r>
    </w:p>
    <w:p>
      <w:pPr>
        <w:spacing w:after="0" w:line="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Title: ____________________</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U.S. Tax Compliance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591" w:right="23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G</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BANKERS’ ACCEPTANCE REQUEST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to be printed on MasTec, Inc. letterhead</w:t>
      </w:r>
      <w:r>
        <w:rPr>
          <w:rFonts w:ascii="Times New Roman" w:cs="Times New Roman" w:eastAsia="Times New Roman" w:hAnsi="Times New Roman"/>
          <w:sz w:val="21"/>
          <w:szCs w:val="21"/>
          <w:b w:val="1"/>
          <w:bCs w:val="1"/>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[Pam Granahan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31" w:lineRule="auto"/>
        <w:rPr>
          <w:sz w:val="20"/>
          <w:szCs w:val="20"/>
          <w:color w:val="auto"/>
        </w:rPr>
      </w:pPr>
      <w:r>
        <w:rPr>
          <w:rFonts w:ascii="Times New Roman" w:cs="Times New Roman" w:eastAsia="Times New Roman" w:hAnsi="Times New Roman"/>
          <w:sz w:val="21"/>
          <w:szCs w:val="21"/>
          <w:color w:val="auto"/>
        </w:rPr>
        <w:t>1 Fleet Way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Scranton, Pennsylvania 18507]</w:t>
      </w:r>
      <w:r>
        <w:rPr>
          <w:rFonts w:ascii="Times New Roman" w:cs="Times New Roman" w:eastAsia="Times New Roman" w:hAnsi="Times New Roman"/>
          <w:sz w:val="27"/>
          <w:szCs w:val="27"/>
          <w:color w:val="auto"/>
          <w:vertAlign w:val="superscript"/>
        </w:rPr>
        <w:t>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Re:</w:t>
            </w:r>
          </w:p>
        </w:tc>
        <w:tc>
          <w:tcPr>
            <w:tcW w:w="10960" w:type="dxa"/>
            <w:vAlign w:val="bottom"/>
            <w:gridSpan w:val="9"/>
          </w:tcPr>
          <w:p>
            <w:pPr>
              <w:ind w:left="180"/>
              <w:spacing w:after="0"/>
              <w:rPr>
                <w:sz w:val="20"/>
                <w:szCs w:val="20"/>
                <w:color w:val="auto"/>
              </w:rPr>
            </w:pPr>
            <w:r>
              <w:rPr>
                <w:rFonts w:ascii="Times New Roman" w:cs="Times New Roman" w:eastAsia="Times New Roman" w:hAnsi="Times New Roman"/>
                <w:sz w:val="21"/>
                <w:szCs w:val="21"/>
                <w:i w:val="1"/>
                <w:iCs w:val="1"/>
                <w:color w:val="auto"/>
                <w:w w:val="98"/>
              </w:rPr>
              <w:t>Fifth Amended and Restated Credit Agreement, dated as of [_________], 2019 (as amended, restated, extended, supplemented or</w:t>
            </w:r>
          </w:p>
        </w:tc>
      </w:tr>
      <w:tr>
        <w:trPr>
          <w:trHeight w:val="223"/>
        </w:trPr>
        <w:tc>
          <w:tcPr>
            <w:tcW w:w="460" w:type="dxa"/>
            <w:vAlign w:val="bottom"/>
          </w:tcPr>
          <w:p>
            <w:pPr>
              <w:spacing w:after="0"/>
              <w:rPr>
                <w:sz w:val="19"/>
                <w:szCs w:val="19"/>
                <w:color w:val="auto"/>
              </w:rPr>
            </w:pPr>
          </w:p>
        </w:tc>
        <w:tc>
          <w:tcPr>
            <w:tcW w:w="10960" w:type="dxa"/>
            <w:vAlign w:val="bottom"/>
            <w:gridSpan w:val="9"/>
          </w:tcPr>
          <w:p>
            <w:pPr>
              <w:ind w:left="180"/>
              <w:spacing w:after="0" w:line="223" w:lineRule="exact"/>
              <w:rPr>
                <w:sz w:val="20"/>
                <w:szCs w:val="20"/>
                <w:color w:val="auto"/>
              </w:rPr>
            </w:pPr>
            <w:r>
              <w:rPr>
                <w:rFonts w:ascii="Times New Roman" w:cs="Times New Roman" w:eastAsia="Times New Roman" w:hAnsi="Times New Roman"/>
                <w:sz w:val="21"/>
                <w:szCs w:val="21"/>
                <w:i w:val="1"/>
                <w:iCs w:val="1"/>
                <w:color w:val="auto"/>
                <w:w w:val="98"/>
              </w:rPr>
              <w:t>otherwise modified in writing from time to time, the “Agreement;” the terms defined therein being used herein as therein defined),</w:t>
            </w:r>
          </w:p>
        </w:tc>
      </w:tr>
      <w:tr>
        <w:trPr>
          <w:trHeight w:val="20"/>
        </w:trPr>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10960" w:type="dxa"/>
            <w:vAlign w:val="bottom"/>
            <w:gridSpan w:val="9"/>
          </w:tcPr>
          <w:p>
            <w:pPr>
              <w:ind w:left="180"/>
              <w:spacing w:after="0" w:line="226" w:lineRule="exact"/>
              <w:rPr>
                <w:sz w:val="20"/>
                <w:szCs w:val="20"/>
                <w:color w:val="auto"/>
              </w:rPr>
            </w:pPr>
            <w:r>
              <w:rPr>
                <w:rFonts w:ascii="Times New Roman" w:cs="Times New Roman" w:eastAsia="Times New Roman" w:hAnsi="Times New Roman"/>
                <w:sz w:val="21"/>
                <w:szCs w:val="21"/>
                <w:i w:val="1"/>
                <w:iCs w:val="1"/>
                <w:color w:val="auto"/>
                <w:w w:val="98"/>
              </w:rPr>
              <w:t>among MasTec, Inc., a Florida corporation (the “Company”), MasTec North America, Inc., a Florida corporation (together with</w:t>
            </w:r>
          </w:p>
        </w:tc>
      </w:tr>
      <w:tr>
        <w:trPr>
          <w:trHeight w:val="20"/>
        </w:trPr>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10960" w:type="dxa"/>
            <w:vAlign w:val="bottom"/>
            <w:gridSpan w:val="9"/>
          </w:tcPr>
          <w:p>
            <w:pPr>
              <w:ind w:left="180"/>
              <w:spacing w:after="0" w:line="226" w:lineRule="exact"/>
              <w:rPr>
                <w:sz w:val="20"/>
                <w:szCs w:val="20"/>
                <w:color w:val="auto"/>
              </w:rPr>
            </w:pPr>
            <w:r>
              <w:rPr>
                <w:rFonts w:ascii="Times New Roman" w:cs="Times New Roman" w:eastAsia="Times New Roman" w:hAnsi="Times New Roman"/>
                <w:sz w:val="21"/>
                <w:szCs w:val="21"/>
                <w:i w:val="1"/>
                <w:iCs w:val="1"/>
                <w:color w:val="auto"/>
                <w:w w:val="99"/>
              </w:rPr>
              <w:t>the Company, collectively, the “Borrowers” and each individually a “Borrower”), and Bank of America, N.A., as Administrative</w:t>
            </w:r>
          </w:p>
        </w:tc>
      </w:tr>
      <w:tr>
        <w:trPr>
          <w:trHeight w:val="20"/>
        </w:trPr>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75"/>
        </w:trPr>
        <w:tc>
          <w:tcPr>
            <w:tcW w:w="460" w:type="dxa"/>
            <w:vAlign w:val="bottom"/>
          </w:tcPr>
          <w:p>
            <w:pPr>
              <w:spacing w:after="0"/>
              <w:rPr>
                <w:sz w:val="23"/>
                <w:szCs w:val="23"/>
                <w:color w:val="auto"/>
              </w:rPr>
            </w:pPr>
          </w:p>
        </w:tc>
        <w:tc>
          <w:tcPr>
            <w:tcW w:w="10960" w:type="dxa"/>
            <w:vAlign w:val="bottom"/>
            <w:gridSpan w:val="9"/>
          </w:tcPr>
          <w:p>
            <w:pPr>
              <w:ind w:left="180"/>
              <w:spacing w:after="0"/>
              <w:rPr>
                <w:sz w:val="20"/>
                <w:szCs w:val="20"/>
                <w:color w:val="auto"/>
              </w:rPr>
            </w:pPr>
            <w:r>
              <w:rPr>
                <w:rFonts w:ascii="Times New Roman" w:cs="Times New Roman" w:eastAsia="Times New Roman" w:hAnsi="Times New Roman"/>
                <w:sz w:val="21"/>
                <w:szCs w:val="21"/>
                <w:i w:val="1"/>
                <w:iCs w:val="1"/>
                <w:color w:val="auto"/>
              </w:rPr>
              <w:t>Agent, L/C Issuer and Swing Line Lender</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 xml:space="preserve">With reference to the credit facilities granted to us by you, we request that you complete a draft(s) in accordance with the following instructions and to accept and discount such draft(s) for the account of </w:t>
      </w:r>
      <w:r>
        <w:rPr>
          <w:rFonts w:ascii="Times New Roman" w:cs="Times New Roman" w:eastAsia="Times New Roman" w:hAnsi="Times New Roman"/>
          <w:sz w:val="21"/>
          <w:szCs w:val="21"/>
          <w:b w:val="1"/>
          <w:bCs w:val="1"/>
          <w:color w:val="auto"/>
        </w:rPr>
        <w:t>[________________]</w:t>
      </w:r>
      <w:r>
        <w:rPr>
          <w:rFonts w:ascii="Times New Roman" w:cs="Times New Roman" w:eastAsia="Times New Roman" w:hAnsi="Times New Roman"/>
          <w:sz w:val="21"/>
          <w:szCs w:val="21"/>
          <w:color w:val="auto"/>
        </w:rPr>
        <w:t xml:space="preserve">, which is </w:t>
      </w:r>
      <w:r>
        <w:rPr>
          <w:rFonts w:ascii="Times New Roman" w:cs="Times New Roman" w:eastAsia="Times New Roman" w:hAnsi="Times New Roman"/>
          <w:sz w:val="21"/>
          <w:szCs w:val="21"/>
          <w:b w:val="1"/>
          <w:bCs w:val="1"/>
          <w:color w:val="auto"/>
        </w:rPr>
        <w:t>[a Borrower][a Subsidiary]</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ind w:left="1240"/>
        <w:spacing w:after="0"/>
        <w:tabs>
          <w:tab w:leader="none" w:pos="2400" w:val="left"/>
        </w:tabs>
        <w:rPr>
          <w:sz w:val="20"/>
          <w:szCs w:val="20"/>
          <w:color w:val="auto"/>
        </w:rPr>
      </w:pPr>
      <w:r>
        <w:rPr>
          <w:rFonts w:ascii="Times New Roman" w:cs="Times New Roman" w:eastAsia="Times New Roman" w:hAnsi="Times New Roman"/>
          <w:sz w:val="21"/>
          <w:szCs w:val="21"/>
          <w:color w:val="auto"/>
        </w:rPr>
        <w:t>Value Date:</w:t>
      </w:r>
      <w:r>
        <w:rPr>
          <w:sz w:val="20"/>
          <w:szCs w:val="20"/>
          <w:color w:val="auto"/>
        </w:rPr>
        <w:tab/>
      </w:r>
      <w:r>
        <w:rPr>
          <w:rFonts w:ascii="Times New Roman" w:cs="Times New Roman" w:eastAsia="Times New Roman" w:hAnsi="Times New Roman"/>
          <w:sz w:val="20"/>
          <w:szCs w:val="20"/>
          <w:color w:val="auto"/>
        </w:rPr>
        <w:t>_________________</w:t>
      </w:r>
    </w:p>
    <w:p>
      <w:pPr>
        <w:spacing w:after="0" w:line="211" w:lineRule="exact"/>
        <w:rPr>
          <w:sz w:val="20"/>
          <w:szCs w:val="20"/>
          <w:color w:val="auto"/>
        </w:rPr>
      </w:pPr>
    </w:p>
    <w:p>
      <w:pPr>
        <w:ind w:left="1240"/>
        <w:spacing w:after="0"/>
        <w:tabs>
          <w:tab w:leader="none" w:pos="2160" w:val="left"/>
        </w:tabs>
        <w:rPr>
          <w:sz w:val="20"/>
          <w:szCs w:val="20"/>
          <w:color w:val="auto"/>
        </w:rPr>
      </w:pPr>
      <w:r>
        <w:rPr>
          <w:rFonts w:ascii="Times New Roman" w:cs="Times New Roman" w:eastAsia="Times New Roman" w:hAnsi="Times New Roman"/>
          <w:sz w:val="21"/>
          <w:szCs w:val="21"/>
          <w:color w:val="auto"/>
        </w:rPr>
        <w:t>Amount:</w:t>
      </w:r>
      <w:r>
        <w:rPr>
          <w:sz w:val="20"/>
          <w:szCs w:val="20"/>
          <w:color w:val="auto"/>
        </w:rPr>
        <w:tab/>
      </w:r>
      <w:r>
        <w:rPr>
          <w:rFonts w:ascii="Times New Roman" w:cs="Times New Roman" w:eastAsia="Times New Roman" w:hAnsi="Times New Roman"/>
          <w:sz w:val="20"/>
          <w:szCs w:val="20"/>
          <w:color w:val="auto"/>
        </w:rPr>
        <w:t>$________________</w:t>
      </w:r>
    </w:p>
    <w:p>
      <w:pPr>
        <w:spacing w:after="0" w:line="211" w:lineRule="exact"/>
        <w:rPr>
          <w:sz w:val="20"/>
          <w:szCs w:val="20"/>
          <w:color w:val="auto"/>
        </w:rPr>
      </w:pPr>
    </w:p>
    <w:p>
      <w:pPr>
        <w:ind w:left="1240"/>
        <w:spacing w:after="0"/>
        <w:tabs>
          <w:tab w:leader="none" w:pos="2180" w:val="left"/>
        </w:tabs>
        <w:rPr>
          <w:sz w:val="20"/>
          <w:szCs w:val="20"/>
          <w:color w:val="auto"/>
        </w:rPr>
      </w:pPr>
      <w:r>
        <w:rPr>
          <w:rFonts w:ascii="Times New Roman" w:cs="Times New Roman" w:eastAsia="Times New Roman" w:hAnsi="Times New Roman"/>
          <w:sz w:val="21"/>
          <w:szCs w:val="21"/>
          <w:color w:val="auto"/>
        </w:rPr>
        <w:t>Tenor:</w:t>
      </w:r>
      <w:r>
        <w:rPr>
          <w:sz w:val="20"/>
          <w:szCs w:val="20"/>
          <w:color w:val="auto"/>
        </w:rPr>
        <w:tab/>
      </w:r>
      <w:r>
        <w:rPr>
          <w:rFonts w:ascii="Times New Roman" w:cs="Times New Roman" w:eastAsia="Times New Roman" w:hAnsi="Times New Roman"/>
          <w:sz w:val="21"/>
          <w:szCs w:val="21"/>
          <w:color w:val="auto"/>
        </w:rPr>
        <w:t>_________________________</w:t>
      </w:r>
    </w:p>
    <w:p>
      <w:pPr>
        <w:spacing w:after="0" w:line="211" w:lineRule="exact"/>
        <w:rPr>
          <w:sz w:val="20"/>
          <w:szCs w:val="20"/>
          <w:color w:val="auto"/>
        </w:rPr>
      </w:pPr>
    </w:p>
    <w:p>
      <w:pPr>
        <w:ind w:left="1240"/>
        <w:spacing w:after="0"/>
        <w:tabs>
          <w:tab w:leader="none" w:pos="2080" w:val="left"/>
        </w:tabs>
        <w:rPr>
          <w:sz w:val="20"/>
          <w:szCs w:val="20"/>
          <w:color w:val="auto"/>
        </w:rPr>
      </w:pPr>
      <w:r>
        <w:rPr>
          <w:rFonts w:ascii="Times New Roman" w:cs="Times New Roman" w:eastAsia="Times New Roman" w:hAnsi="Times New Roman"/>
          <w:sz w:val="21"/>
          <w:szCs w:val="21"/>
          <w:color w:val="auto"/>
        </w:rPr>
        <w:t>Ship to:</w:t>
      </w:r>
      <w:r>
        <w:rPr>
          <w:sz w:val="20"/>
          <w:szCs w:val="20"/>
          <w:color w:val="auto"/>
        </w:rPr>
        <w:tab/>
      </w:r>
      <w:r>
        <w:rPr>
          <w:rFonts w:ascii="Times New Roman" w:cs="Times New Roman" w:eastAsia="Times New Roman" w:hAnsi="Times New Roman"/>
          <w:sz w:val="20"/>
          <w:szCs w:val="20"/>
          <w:color w:val="auto"/>
        </w:rPr>
        <w:t>_________________________</w:t>
      </w:r>
    </w:p>
    <w:p>
      <w:pPr>
        <w:spacing w:after="0" w:line="211" w:lineRule="exact"/>
        <w:rPr>
          <w:sz w:val="20"/>
          <w:szCs w:val="20"/>
          <w:color w:val="auto"/>
        </w:rPr>
      </w:pPr>
    </w:p>
    <w:p>
      <w:pPr>
        <w:ind w:left="1240"/>
        <w:spacing w:after="0"/>
        <w:tabs>
          <w:tab w:leader="none" w:pos="2140" w:val="left"/>
        </w:tabs>
        <w:rPr>
          <w:sz w:val="20"/>
          <w:szCs w:val="20"/>
          <w:color w:val="auto"/>
        </w:rPr>
      </w:pPr>
      <w:r>
        <w:rPr>
          <w:rFonts w:ascii="Times New Roman" w:cs="Times New Roman" w:eastAsia="Times New Roman" w:hAnsi="Times New Roman"/>
          <w:sz w:val="21"/>
          <w:szCs w:val="21"/>
          <w:color w:val="auto"/>
        </w:rPr>
        <w:t>From:</w:t>
      </w:r>
      <w:r>
        <w:rPr>
          <w:sz w:val="20"/>
          <w:szCs w:val="20"/>
          <w:color w:val="auto"/>
        </w:rPr>
        <w:tab/>
      </w:r>
      <w:r>
        <w:rPr>
          <w:rFonts w:ascii="Times New Roman" w:cs="Times New Roman" w:eastAsia="Times New Roman" w:hAnsi="Times New Roman"/>
          <w:sz w:val="21"/>
          <w:szCs w:val="21"/>
          <w:color w:val="auto"/>
        </w:rPr>
        <w:t>_________________________</w:t>
      </w:r>
    </w:p>
    <w:p>
      <w:pPr>
        <w:spacing w:after="0" w:line="211" w:lineRule="exact"/>
        <w:rPr>
          <w:sz w:val="20"/>
          <w:szCs w:val="20"/>
          <w:color w:val="auto"/>
        </w:rPr>
      </w:pPr>
    </w:p>
    <w:p>
      <w:pPr>
        <w:ind w:left="1240"/>
        <w:spacing w:after="0"/>
        <w:tabs>
          <w:tab w:leader="none" w:pos="3580" w:val="left"/>
        </w:tabs>
        <w:rPr>
          <w:sz w:val="20"/>
          <w:szCs w:val="20"/>
          <w:color w:val="auto"/>
        </w:rPr>
      </w:pPr>
      <w:r>
        <w:rPr>
          <w:rFonts w:ascii="Times New Roman" w:cs="Times New Roman" w:eastAsia="Times New Roman" w:hAnsi="Times New Roman"/>
          <w:sz w:val="21"/>
          <w:szCs w:val="21"/>
          <w:color w:val="auto"/>
        </w:rPr>
        <w:t>Merchandise description:</w:t>
      </w:r>
      <w:r>
        <w:rPr>
          <w:sz w:val="20"/>
          <w:szCs w:val="20"/>
          <w:color w:val="auto"/>
        </w:rPr>
        <w:tab/>
      </w:r>
      <w:r>
        <w:rPr>
          <w:rFonts w:ascii="Times New Roman" w:cs="Times New Roman" w:eastAsia="Times New Roman" w:hAnsi="Times New Roman"/>
          <w:sz w:val="20"/>
          <w:szCs w:val="20"/>
          <w:color w:val="auto"/>
        </w:rPr>
        <w:t>____________________</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To facilitate the creation of the acceptances, we authorize you to draw up and sign on our behalf and in our name as our attorney-in-fact draft(s) drawn on Bank of America, N.A. as provided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certify that there is no other financing covering this transaction and that the shipment was effected within the last thirty (30) days.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4"/>
          <w:szCs w:val="24"/>
          <w:color w:val="auto"/>
          <w:vertAlign w:val="superscript"/>
        </w:rPr>
        <w:t>20</w:t>
      </w:r>
      <w:r>
        <w:rPr>
          <w:rFonts w:ascii="Times New Roman" w:cs="Times New Roman" w:eastAsia="Times New Roman" w:hAnsi="Times New Roman"/>
          <w:sz w:val="17"/>
          <w:szCs w:val="17"/>
          <w:color w:val="auto"/>
        </w:rPr>
        <w:t>NTD: Address/Addressee to be confirmed.</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G-1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Bankers’ Acceptance Request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20"/>
          </w:cols>
          <w:pgMar w:left="240" w:top="600" w:right="2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1"/>
          <w:szCs w:val="21"/>
          <w:color w:val="auto"/>
        </w:rPr>
        <w:t>Please credit the net proceeds to our account No. _______________ with you.</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maturity of the acceptance, we authorize you to charge our account No. _______________ with you.</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Thank you for your assistance in this matter.</w:t>
      </w:r>
    </w:p>
    <w:p>
      <w:pPr>
        <w:spacing w:after="0" w:line="20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MASTEC, INC.</w:t>
      </w:r>
    </w:p>
    <w:p>
      <w:pPr>
        <w:spacing w:after="0" w:line="253"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______________________________</w:t>
      </w:r>
    </w:p>
    <w:p>
      <w:pPr>
        <w:spacing w:after="0" w:line="4" w:lineRule="exact"/>
        <w:rPr>
          <w:sz w:val="20"/>
          <w:szCs w:val="20"/>
          <w:color w:val="auto"/>
        </w:rPr>
      </w:pPr>
    </w:p>
    <w:p>
      <w:pPr>
        <w:ind w:left="3720"/>
        <w:spacing w:after="0"/>
        <w:tabs>
          <w:tab w:leader="none" w:pos="436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200" w:lineRule="exact"/>
        <w:rPr>
          <w:sz w:val="20"/>
          <w:szCs w:val="20"/>
          <w:color w:val="auto"/>
        </w:rPr>
      </w:pPr>
    </w:p>
    <w:p>
      <w:pPr>
        <w:spacing w:after="0" w:line="27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color w:val="auto"/>
        </w:rPr>
        <w:t>G-1</w:t>
      </w:r>
    </w:p>
    <w:p>
      <w:pPr>
        <w:spacing w:after="0" w:line="1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Bankers’ Acceptance Request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0219"/>
          </w:cols>
          <w:pgMar w:left="240" w:top="863" w:right="1440" w:bottom="1440" w:gutter="0" w:footer="0" w:header="0"/>
        </w:sectPr>
      </w:pPr>
    </w:p>
    <w:bookmarkStart w:id="314" w:name="page315"/>
    <w:bookmarkEnd w:id="314"/>
    <w:p>
      <w:pPr>
        <w:ind w:left="10440"/>
        <w:spacing w:after="0"/>
        <w:rPr>
          <w:sz w:val="20"/>
          <w:szCs w:val="20"/>
          <w:color w:val="auto"/>
        </w:rPr>
      </w:pPr>
      <w:r>
        <w:rPr>
          <w:rFonts w:ascii="Times New Roman" w:cs="Times New Roman" w:eastAsia="Times New Roman" w:hAnsi="Times New Roman"/>
          <w:sz w:val="19"/>
          <w:szCs w:val="19"/>
          <w:b w:val="1"/>
          <w:bCs w:val="1"/>
          <w:i w:val="1"/>
          <w:iCs w:val="1"/>
          <w:color w:val="auto"/>
        </w:rPr>
        <w:t>EXHIBIT H</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FORM OF LETTERS OF CREDIT REPORT</w:t>
      </w:r>
    </w:p>
    <w:p>
      <w:pPr>
        <w:spacing w:after="0" w:line="328"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9"/>
          <w:szCs w:val="19"/>
          <w:color w:val="auto"/>
        </w:rPr>
        <w:t>Date: ___________, _____</w:t>
      </w:r>
    </w:p>
    <w:p>
      <w:pPr>
        <w:spacing w:after="0" w:line="20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To:</w:t>
      </w:r>
      <w:r>
        <w:rPr>
          <w:sz w:val="20"/>
          <w:szCs w:val="20"/>
          <w:color w:val="auto"/>
        </w:rPr>
        <w:tab/>
      </w:r>
      <w:r>
        <w:rPr>
          <w:rFonts w:ascii="Times New Roman" w:cs="Times New Roman" w:eastAsia="Times New Roman" w:hAnsi="Times New Roman"/>
          <w:sz w:val="18"/>
          <w:szCs w:val="18"/>
          <w:color w:val="auto"/>
        </w:rPr>
        <w:t>Bank of America, N.A., as Administrative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Reference is made to that certain Fifth Amended and Restated Credit Agreement, dated as of [_________], 2019 (as amended, restated,</w:t>
      </w:r>
    </w:p>
    <w:p>
      <w:pPr>
        <w:spacing w:after="0" w:line="2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extended, supplemented or otherwise modified in writing from time to time,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the terms defined therein being used herein as therein defined), among MasTec, Inc., a Florida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MasTec North America, Inc., a Florida corporation (together with the Company, collectively,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each individually a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and Bank of America, N.A., as Administrative Agent, L/C Issuer and Swing Line Lender.</w:t>
      </w:r>
    </w:p>
    <w:p>
      <w:pPr>
        <w:spacing w:after="0" w:line="180" w:lineRule="exact"/>
        <w:rPr>
          <w:sz w:val="20"/>
          <w:szCs w:val="20"/>
          <w:color w:val="auto"/>
        </w:rPr>
      </w:pPr>
    </w:p>
    <w:p>
      <w:pPr>
        <w:jc w:val="both"/>
        <w:ind w:right="20" w:firstLine="620"/>
        <w:spacing w:after="0" w:line="270" w:lineRule="auto"/>
        <w:rPr>
          <w:sz w:val="20"/>
          <w:szCs w:val="20"/>
          <w:color w:val="auto"/>
        </w:rPr>
      </w:pPr>
      <w:r>
        <w:rPr>
          <w:rFonts w:ascii="Times New Roman" w:cs="Times New Roman" w:eastAsia="Times New Roman" w:hAnsi="Times New Roman"/>
          <w:sz w:val="19"/>
          <w:szCs w:val="19"/>
          <w:color w:val="auto"/>
        </w:rPr>
        <w:t xml:space="preserve">This report is being delivered pursuant to </w:t>
      </w:r>
      <w:r>
        <w:rPr>
          <w:rFonts w:ascii="Times New Roman" w:cs="Times New Roman" w:eastAsia="Times New Roman" w:hAnsi="Times New Roman"/>
          <w:sz w:val="19"/>
          <w:szCs w:val="19"/>
          <w:u w:val="single" w:color="auto"/>
          <w:color w:val="auto"/>
        </w:rPr>
        <w:t>Section 2.03(n)</w:t>
      </w:r>
      <w:r>
        <w:rPr>
          <w:rFonts w:ascii="Times New Roman" w:cs="Times New Roman" w:eastAsia="Times New Roman" w:hAnsi="Times New Roman"/>
          <w:sz w:val="19"/>
          <w:szCs w:val="19"/>
          <w:color w:val="auto"/>
        </w:rPr>
        <w:t xml:space="preserve"> of the Agreement. Set forth in the table below is a description of each Letter of Credit issued by the undersigned and outstanding on the date hereof.</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1180" w:type="dxa"/>
            <w:vAlign w:val="bottom"/>
            <w:tcBorders>
              <w:top w:val="single" w:sz="8" w:color="00000A"/>
              <w:left w:val="single" w:sz="8" w:color="00000A"/>
              <w:right w:val="single" w:sz="8" w:color="00000A"/>
            </w:tcBorders>
            <w:shd w:val="clear" w:color="auto" w:fill="CCCCCC"/>
          </w:tcPr>
          <w:p>
            <w:pPr>
              <w:ind w:left="280"/>
              <w:spacing w:after="0"/>
              <w:rPr>
                <w:sz w:val="20"/>
                <w:szCs w:val="20"/>
                <w:color w:val="auto"/>
              </w:rPr>
            </w:pPr>
            <w:r>
              <w:rPr>
                <w:rFonts w:ascii="Times New Roman" w:cs="Times New Roman" w:eastAsia="Times New Roman" w:hAnsi="Times New Roman"/>
                <w:sz w:val="19"/>
                <w:szCs w:val="19"/>
                <w:color w:val="auto"/>
              </w:rPr>
              <w:t>L/C No.</w:t>
            </w:r>
          </w:p>
        </w:tc>
        <w:tc>
          <w:tcPr>
            <w:tcW w:w="1380" w:type="dxa"/>
            <w:vAlign w:val="bottom"/>
            <w:tcBorders>
              <w:top w:val="single" w:sz="8" w:color="00000A"/>
              <w:right w:val="single" w:sz="8" w:color="00000A"/>
            </w:tcBorders>
            <w:shd w:val="clear" w:color="auto" w:fill="CCCCCC"/>
          </w:tcPr>
          <w:p>
            <w:pPr>
              <w:jc w:val="center"/>
              <w:spacing w:after="0"/>
              <w:rPr>
                <w:sz w:val="20"/>
                <w:szCs w:val="20"/>
                <w:color w:val="auto"/>
              </w:rPr>
            </w:pPr>
            <w:r>
              <w:rPr>
                <w:rFonts w:ascii="Times New Roman" w:cs="Times New Roman" w:eastAsia="Times New Roman" w:hAnsi="Times New Roman"/>
                <w:sz w:val="19"/>
                <w:szCs w:val="19"/>
                <w:color w:val="auto"/>
                <w:w w:val="98"/>
              </w:rPr>
              <w:t>Maximum Face</w:t>
            </w:r>
          </w:p>
        </w:tc>
        <w:tc>
          <w:tcPr>
            <w:tcW w:w="1260" w:type="dxa"/>
            <w:vAlign w:val="bottom"/>
            <w:tcBorders>
              <w:top w:val="single" w:sz="8" w:color="00000A"/>
              <w:right w:val="single" w:sz="8" w:color="00000A"/>
            </w:tcBorders>
            <w:shd w:val="clear" w:color="auto" w:fill="CCCCCC"/>
          </w:tcPr>
          <w:p>
            <w:pPr>
              <w:jc w:val="center"/>
              <w:spacing w:after="0"/>
              <w:rPr>
                <w:sz w:val="20"/>
                <w:szCs w:val="20"/>
                <w:color w:val="auto"/>
              </w:rPr>
            </w:pPr>
            <w:r>
              <w:rPr>
                <w:rFonts w:ascii="Times New Roman" w:cs="Times New Roman" w:eastAsia="Times New Roman" w:hAnsi="Times New Roman"/>
                <w:sz w:val="19"/>
                <w:szCs w:val="19"/>
                <w:color w:val="auto"/>
                <w:w w:val="99"/>
              </w:rPr>
              <w:t>Current Face</w:t>
            </w:r>
          </w:p>
        </w:tc>
        <w:tc>
          <w:tcPr>
            <w:tcW w:w="1480" w:type="dxa"/>
            <w:vAlign w:val="bottom"/>
            <w:tcBorders>
              <w:top w:val="single" w:sz="8" w:color="00000A"/>
              <w:right w:val="single" w:sz="8" w:color="00000A"/>
            </w:tcBorders>
            <w:shd w:val="clear" w:color="auto" w:fill="CCCCCC"/>
          </w:tcPr>
          <w:p>
            <w:pPr>
              <w:ind w:left="40"/>
              <w:spacing w:after="0"/>
              <w:rPr>
                <w:sz w:val="20"/>
                <w:szCs w:val="20"/>
                <w:color w:val="auto"/>
              </w:rPr>
            </w:pPr>
            <w:r>
              <w:rPr>
                <w:rFonts w:ascii="Times New Roman" w:cs="Times New Roman" w:eastAsia="Times New Roman" w:hAnsi="Times New Roman"/>
                <w:sz w:val="19"/>
                <w:szCs w:val="19"/>
                <w:color w:val="auto"/>
              </w:rPr>
              <w:t>Beneficiary Name</w:t>
            </w:r>
          </w:p>
        </w:tc>
        <w:tc>
          <w:tcPr>
            <w:tcW w:w="1140" w:type="dxa"/>
            <w:vAlign w:val="bottom"/>
            <w:tcBorders>
              <w:top w:val="single" w:sz="8" w:color="00000A"/>
              <w:right w:val="single" w:sz="8" w:color="00000A"/>
            </w:tcBorders>
            <w:shd w:val="clear" w:color="auto" w:fill="CCCCCC"/>
          </w:tcPr>
          <w:p>
            <w:pPr>
              <w:jc w:val="center"/>
              <w:spacing w:after="0"/>
              <w:rPr>
                <w:sz w:val="20"/>
                <w:szCs w:val="20"/>
                <w:color w:val="auto"/>
              </w:rPr>
            </w:pPr>
            <w:r>
              <w:rPr>
                <w:rFonts w:ascii="Times New Roman" w:cs="Times New Roman" w:eastAsia="Times New Roman" w:hAnsi="Times New Roman"/>
                <w:sz w:val="19"/>
                <w:szCs w:val="19"/>
                <w:color w:val="auto"/>
              </w:rPr>
              <w:t>Issuance</w:t>
            </w:r>
          </w:p>
        </w:tc>
        <w:tc>
          <w:tcPr>
            <w:tcW w:w="1140" w:type="dxa"/>
            <w:vAlign w:val="bottom"/>
            <w:tcBorders>
              <w:top w:val="single" w:sz="8" w:color="00000A"/>
              <w:right w:val="single" w:sz="8" w:color="00000A"/>
            </w:tcBorders>
            <w:shd w:val="clear" w:color="auto" w:fill="CCCCCC"/>
          </w:tcPr>
          <w:p>
            <w:pPr>
              <w:ind w:left="120"/>
              <w:spacing w:after="0"/>
              <w:rPr>
                <w:sz w:val="20"/>
                <w:szCs w:val="20"/>
                <w:color w:val="auto"/>
              </w:rPr>
            </w:pPr>
            <w:r>
              <w:rPr>
                <w:rFonts w:ascii="Times New Roman" w:cs="Times New Roman" w:eastAsia="Times New Roman" w:hAnsi="Times New Roman"/>
                <w:sz w:val="19"/>
                <w:szCs w:val="19"/>
                <w:color w:val="auto"/>
              </w:rPr>
              <w:t>Expiry Date</w:t>
            </w:r>
          </w:p>
        </w:tc>
        <w:tc>
          <w:tcPr>
            <w:tcW w:w="1140" w:type="dxa"/>
            <w:vAlign w:val="bottom"/>
            <w:tcBorders>
              <w:top w:val="single" w:sz="8" w:color="00000A"/>
              <w:right w:val="single" w:sz="8" w:color="00000A"/>
            </w:tcBorders>
            <w:shd w:val="clear" w:color="auto" w:fill="CCCCCC"/>
          </w:tcPr>
          <w:p>
            <w:pPr>
              <w:jc w:val="center"/>
              <w:spacing w:after="0"/>
              <w:rPr>
                <w:sz w:val="20"/>
                <w:szCs w:val="20"/>
                <w:color w:val="auto"/>
              </w:rPr>
            </w:pPr>
            <w:r>
              <w:rPr>
                <w:rFonts w:ascii="Times New Roman" w:cs="Times New Roman" w:eastAsia="Times New Roman" w:hAnsi="Times New Roman"/>
                <w:sz w:val="19"/>
                <w:szCs w:val="19"/>
                <w:color w:val="auto"/>
                <w:w w:val="99"/>
              </w:rPr>
              <w:t>Auto</w:t>
            </w:r>
          </w:p>
        </w:tc>
        <w:tc>
          <w:tcPr>
            <w:tcW w:w="1260" w:type="dxa"/>
            <w:vAlign w:val="bottom"/>
            <w:tcBorders>
              <w:top w:val="single" w:sz="8" w:color="00000A"/>
              <w:right w:val="single" w:sz="8" w:color="00000A"/>
            </w:tcBorders>
            <w:shd w:val="clear" w:color="auto" w:fill="CCCCCC"/>
          </w:tcPr>
          <w:p>
            <w:pPr>
              <w:jc w:val="center"/>
              <w:spacing w:after="0"/>
              <w:rPr>
                <w:sz w:val="20"/>
                <w:szCs w:val="20"/>
                <w:color w:val="auto"/>
              </w:rPr>
            </w:pPr>
            <w:r>
              <w:rPr>
                <w:rFonts w:ascii="Times New Roman" w:cs="Times New Roman" w:eastAsia="Times New Roman" w:hAnsi="Times New Roman"/>
                <w:sz w:val="19"/>
                <w:szCs w:val="19"/>
                <w:color w:val="auto"/>
                <w:w w:val="99"/>
              </w:rPr>
              <w:t>Date of</w:t>
            </w:r>
          </w:p>
        </w:tc>
        <w:tc>
          <w:tcPr>
            <w:tcW w:w="1460" w:type="dxa"/>
            <w:vAlign w:val="bottom"/>
            <w:tcBorders>
              <w:top w:val="single" w:sz="8" w:color="00000A"/>
              <w:right w:val="single" w:sz="8" w:color="00000A"/>
            </w:tcBorders>
            <w:shd w:val="clear" w:color="auto" w:fill="CCCCCC"/>
          </w:tcPr>
          <w:p>
            <w:pPr>
              <w:jc w:val="center"/>
              <w:spacing w:after="0"/>
              <w:rPr>
                <w:sz w:val="20"/>
                <w:szCs w:val="20"/>
                <w:color w:val="auto"/>
              </w:rPr>
            </w:pPr>
            <w:r>
              <w:rPr>
                <w:rFonts w:ascii="Times New Roman" w:cs="Times New Roman" w:eastAsia="Times New Roman" w:hAnsi="Times New Roman"/>
                <w:sz w:val="19"/>
                <w:szCs w:val="19"/>
                <w:color w:val="auto"/>
                <w:w w:val="98"/>
              </w:rPr>
              <w:t>Amount of</w:t>
            </w:r>
          </w:p>
        </w:tc>
      </w:tr>
      <w:tr>
        <w:trPr>
          <w:trHeight w:val="194"/>
        </w:trPr>
        <w:tc>
          <w:tcPr>
            <w:tcW w:w="1180" w:type="dxa"/>
            <w:vAlign w:val="bottom"/>
            <w:tcBorders>
              <w:left w:val="single" w:sz="8" w:color="00000A"/>
              <w:bottom w:val="single" w:sz="8" w:color="00000A"/>
              <w:right w:val="single" w:sz="8" w:color="00000A"/>
            </w:tcBorders>
            <w:shd w:val="clear" w:color="auto" w:fill="CCCCCC"/>
          </w:tcPr>
          <w:p>
            <w:pPr>
              <w:spacing w:after="0"/>
              <w:rPr>
                <w:sz w:val="16"/>
                <w:szCs w:val="16"/>
                <w:color w:val="auto"/>
              </w:rPr>
            </w:pPr>
          </w:p>
        </w:tc>
        <w:tc>
          <w:tcPr>
            <w:tcW w:w="1380" w:type="dxa"/>
            <w:vAlign w:val="bottom"/>
            <w:tcBorders>
              <w:bottom w:val="single" w:sz="8" w:color="00000A"/>
              <w:right w:val="single" w:sz="8" w:color="00000A"/>
            </w:tcBorders>
            <w:shd w:val="clear" w:color="auto" w:fill="CCCCCC"/>
          </w:tcPr>
          <w:p>
            <w:pPr>
              <w:jc w:val="center"/>
              <w:spacing w:after="0" w:line="193" w:lineRule="exact"/>
              <w:rPr>
                <w:sz w:val="20"/>
                <w:szCs w:val="20"/>
                <w:color w:val="auto"/>
              </w:rPr>
            </w:pPr>
            <w:r>
              <w:rPr>
                <w:rFonts w:ascii="Times New Roman" w:cs="Times New Roman" w:eastAsia="Times New Roman" w:hAnsi="Times New Roman"/>
                <w:sz w:val="19"/>
                <w:szCs w:val="19"/>
                <w:color w:val="auto"/>
                <w:w w:val="99"/>
              </w:rPr>
              <w:t>Amount</w:t>
            </w:r>
          </w:p>
        </w:tc>
        <w:tc>
          <w:tcPr>
            <w:tcW w:w="1260" w:type="dxa"/>
            <w:vAlign w:val="bottom"/>
            <w:tcBorders>
              <w:bottom w:val="single" w:sz="8" w:color="00000A"/>
              <w:right w:val="single" w:sz="8" w:color="00000A"/>
            </w:tcBorders>
            <w:shd w:val="clear" w:color="auto" w:fill="CCCCCC"/>
          </w:tcPr>
          <w:p>
            <w:pPr>
              <w:jc w:val="center"/>
              <w:spacing w:after="0" w:line="193" w:lineRule="exact"/>
              <w:rPr>
                <w:sz w:val="20"/>
                <w:szCs w:val="20"/>
                <w:color w:val="auto"/>
              </w:rPr>
            </w:pPr>
            <w:r>
              <w:rPr>
                <w:rFonts w:ascii="Times New Roman" w:cs="Times New Roman" w:eastAsia="Times New Roman" w:hAnsi="Times New Roman"/>
                <w:sz w:val="19"/>
                <w:szCs w:val="19"/>
                <w:color w:val="auto"/>
                <w:w w:val="99"/>
              </w:rPr>
              <w:t>Amount</w:t>
            </w:r>
          </w:p>
        </w:tc>
        <w:tc>
          <w:tcPr>
            <w:tcW w:w="1480" w:type="dxa"/>
            <w:vAlign w:val="bottom"/>
            <w:tcBorders>
              <w:bottom w:val="single" w:sz="8" w:color="00000A"/>
              <w:right w:val="single" w:sz="8" w:color="00000A"/>
            </w:tcBorders>
            <w:shd w:val="clear" w:color="auto" w:fill="CCCCCC"/>
          </w:tcPr>
          <w:p>
            <w:pPr>
              <w:spacing w:after="0"/>
              <w:rPr>
                <w:sz w:val="16"/>
                <w:szCs w:val="16"/>
                <w:color w:val="auto"/>
              </w:rPr>
            </w:pPr>
          </w:p>
        </w:tc>
        <w:tc>
          <w:tcPr>
            <w:tcW w:w="1140" w:type="dxa"/>
            <w:vAlign w:val="bottom"/>
            <w:tcBorders>
              <w:bottom w:val="single" w:sz="8" w:color="00000A"/>
              <w:right w:val="single" w:sz="8" w:color="00000A"/>
            </w:tcBorders>
            <w:shd w:val="clear" w:color="auto" w:fill="CCCCCC"/>
          </w:tcPr>
          <w:p>
            <w:pPr>
              <w:jc w:val="center"/>
              <w:spacing w:after="0" w:line="193" w:lineRule="exact"/>
              <w:rPr>
                <w:sz w:val="20"/>
                <w:szCs w:val="20"/>
                <w:color w:val="auto"/>
              </w:rPr>
            </w:pPr>
            <w:r>
              <w:rPr>
                <w:rFonts w:ascii="Times New Roman" w:cs="Times New Roman" w:eastAsia="Times New Roman" w:hAnsi="Times New Roman"/>
                <w:sz w:val="19"/>
                <w:szCs w:val="19"/>
                <w:color w:val="auto"/>
              </w:rPr>
              <w:t>Date</w:t>
            </w:r>
          </w:p>
        </w:tc>
        <w:tc>
          <w:tcPr>
            <w:tcW w:w="1140" w:type="dxa"/>
            <w:vAlign w:val="bottom"/>
            <w:tcBorders>
              <w:bottom w:val="single" w:sz="8" w:color="00000A"/>
              <w:right w:val="single" w:sz="8" w:color="00000A"/>
            </w:tcBorders>
            <w:shd w:val="clear" w:color="auto" w:fill="CCCCCC"/>
          </w:tcPr>
          <w:p>
            <w:pPr>
              <w:spacing w:after="0"/>
              <w:rPr>
                <w:sz w:val="16"/>
                <w:szCs w:val="16"/>
                <w:color w:val="auto"/>
              </w:rPr>
            </w:pPr>
          </w:p>
        </w:tc>
        <w:tc>
          <w:tcPr>
            <w:tcW w:w="1140" w:type="dxa"/>
            <w:vAlign w:val="bottom"/>
            <w:tcBorders>
              <w:bottom w:val="single" w:sz="8" w:color="00000A"/>
              <w:right w:val="single" w:sz="8" w:color="00000A"/>
            </w:tcBorders>
            <w:shd w:val="clear" w:color="auto" w:fill="CCCCCC"/>
          </w:tcPr>
          <w:p>
            <w:pPr>
              <w:jc w:val="center"/>
              <w:spacing w:after="0" w:line="193" w:lineRule="exact"/>
              <w:rPr>
                <w:sz w:val="20"/>
                <w:szCs w:val="20"/>
                <w:color w:val="auto"/>
              </w:rPr>
            </w:pPr>
            <w:r>
              <w:rPr>
                <w:rFonts w:ascii="Times New Roman" w:cs="Times New Roman" w:eastAsia="Times New Roman" w:hAnsi="Times New Roman"/>
                <w:sz w:val="19"/>
                <w:szCs w:val="19"/>
                <w:color w:val="auto"/>
                <w:w w:val="99"/>
              </w:rPr>
              <w:t>Renewal</w:t>
            </w:r>
          </w:p>
        </w:tc>
        <w:tc>
          <w:tcPr>
            <w:tcW w:w="1260" w:type="dxa"/>
            <w:vAlign w:val="bottom"/>
            <w:tcBorders>
              <w:bottom w:val="single" w:sz="8" w:color="00000A"/>
              <w:right w:val="single" w:sz="8" w:color="00000A"/>
            </w:tcBorders>
            <w:shd w:val="clear" w:color="auto" w:fill="CCCCCC"/>
          </w:tcPr>
          <w:p>
            <w:pPr>
              <w:jc w:val="center"/>
              <w:spacing w:after="0" w:line="193" w:lineRule="exact"/>
              <w:rPr>
                <w:sz w:val="20"/>
                <w:szCs w:val="20"/>
                <w:color w:val="auto"/>
              </w:rPr>
            </w:pPr>
            <w:r>
              <w:rPr>
                <w:rFonts w:ascii="Times New Roman" w:cs="Times New Roman" w:eastAsia="Times New Roman" w:hAnsi="Times New Roman"/>
                <w:sz w:val="19"/>
                <w:szCs w:val="19"/>
                <w:color w:val="auto"/>
              </w:rPr>
              <w:t>Amendment</w:t>
            </w:r>
          </w:p>
        </w:tc>
        <w:tc>
          <w:tcPr>
            <w:tcW w:w="1460" w:type="dxa"/>
            <w:vAlign w:val="bottom"/>
            <w:tcBorders>
              <w:bottom w:val="single" w:sz="8" w:color="00000A"/>
              <w:right w:val="single" w:sz="8" w:color="00000A"/>
            </w:tcBorders>
            <w:shd w:val="clear" w:color="auto" w:fill="CCCCCC"/>
          </w:tcPr>
          <w:p>
            <w:pPr>
              <w:jc w:val="center"/>
              <w:spacing w:after="0" w:line="193" w:lineRule="exact"/>
              <w:rPr>
                <w:sz w:val="20"/>
                <w:szCs w:val="20"/>
                <w:color w:val="auto"/>
              </w:rPr>
            </w:pPr>
            <w:r>
              <w:rPr>
                <w:rFonts w:ascii="Times New Roman" w:cs="Times New Roman" w:eastAsia="Times New Roman" w:hAnsi="Times New Roman"/>
                <w:sz w:val="19"/>
                <w:szCs w:val="19"/>
                <w:color w:val="auto"/>
              </w:rPr>
              <w:t>Amendment</w:t>
            </w:r>
          </w:p>
        </w:tc>
      </w:tr>
      <w:tr>
        <w:trPr>
          <w:trHeight w:val="458"/>
        </w:trPr>
        <w:tc>
          <w:tcPr>
            <w:tcW w:w="1180" w:type="dxa"/>
            <w:vAlign w:val="bottom"/>
            <w:tcBorders>
              <w:left w:val="single" w:sz="8" w:color="00000A"/>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140" w:type="dxa"/>
            <w:vAlign w:val="bottom"/>
            <w:tcBorders>
              <w:bottom w:val="single" w:sz="8" w:color="00000A"/>
              <w:right w:val="single" w:sz="8" w:color="00000A"/>
            </w:tcBorders>
          </w:tcPr>
          <w:p>
            <w:pPr>
              <w:spacing w:after="0"/>
              <w:rPr>
                <w:sz w:val="24"/>
                <w:szCs w:val="24"/>
                <w:color w:val="auto"/>
              </w:rPr>
            </w:pPr>
          </w:p>
        </w:tc>
        <w:tc>
          <w:tcPr>
            <w:tcW w:w="1140" w:type="dxa"/>
            <w:vAlign w:val="bottom"/>
            <w:tcBorders>
              <w:bottom w:val="single" w:sz="8" w:color="00000A"/>
              <w:right w:val="single" w:sz="8" w:color="00000A"/>
            </w:tcBorders>
          </w:tcPr>
          <w:p>
            <w:pPr>
              <w:spacing w:after="0"/>
              <w:rPr>
                <w:sz w:val="24"/>
                <w:szCs w:val="24"/>
                <w:color w:val="auto"/>
              </w:rPr>
            </w:pPr>
          </w:p>
        </w:tc>
        <w:tc>
          <w:tcPr>
            <w:tcW w:w="11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right w:val="single" w:sz="8" w:color="00000A"/>
            </w:tcBorders>
          </w:tcPr>
          <w:p>
            <w:pPr>
              <w:spacing w:after="0"/>
              <w:rPr>
                <w:sz w:val="24"/>
                <w:szCs w:val="24"/>
                <w:color w:val="auto"/>
              </w:rPr>
            </w:pPr>
          </w:p>
        </w:tc>
        <w:tc>
          <w:tcPr>
            <w:tcW w:w="1460" w:type="dxa"/>
            <w:vAlign w:val="bottom"/>
            <w:tcBorders>
              <w:bottom w:val="single" w:sz="8" w:color="00000A"/>
              <w:right w:val="single" w:sz="8" w:color="00000A"/>
            </w:tcBorders>
          </w:tcPr>
          <w:p>
            <w:pPr>
              <w:spacing w:after="0"/>
              <w:rPr>
                <w:sz w:val="24"/>
                <w:szCs w:val="24"/>
                <w:color w:val="auto"/>
              </w:rPr>
            </w:pPr>
          </w:p>
        </w:tc>
      </w:tr>
      <w:tr>
        <w:trPr>
          <w:trHeight w:val="458"/>
        </w:trPr>
        <w:tc>
          <w:tcPr>
            <w:tcW w:w="1180" w:type="dxa"/>
            <w:vAlign w:val="bottom"/>
            <w:tcBorders>
              <w:left w:val="single" w:sz="8" w:color="00000A"/>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140" w:type="dxa"/>
            <w:vAlign w:val="bottom"/>
            <w:tcBorders>
              <w:bottom w:val="single" w:sz="8" w:color="00000A"/>
              <w:right w:val="single" w:sz="8" w:color="00000A"/>
            </w:tcBorders>
          </w:tcPr>
          <w:p>
            <w:pPr>
              <w:spacing w:after="0"/>
              <w:rPr>
                <w:sz w:val="24"/>
                <w:szCs w:val="24"/>
                <w:color w:val="auto"/>
              </w:rPr>
            </w:pPr>
          </w:p>
        </w:tc>
        <w:tc>
          <w:tcPr>
            <w:tcW w:w="1140" w:type="dxa"/>
            <w:vAlign w:val="bottom"/>
            <w:tcBorders>
              <w:bottom w:val="single" w:sz="8" w:color="00000A"/>
              <w:right w:val="single" w:sz="8" w:color="00000A"/>
            </w:tcBorders>
          </w:tcPr>
          <w:p>
            <w:pPr>
              <w:spacing w:after="0"/>
              <w:rPr>
                <w:sz w:val="24"/>
                <w:szCs w:val="24"/>
                <w:color w:val="auto"/>
              </w:rPr>
            </w:pPr>
          </w:p>
        </w:tc>
        <w:tc>
          <w:tcPr>
            <w:tcW w:w="11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right w:val="single" w:sz="8" w:color="00000A"/>
            </w:tcBorders>
          </w:tcPr>
          <w:p>
            <w:pPr>
              <w:spacing w:after="0"/>
              <w:rPr>
                <w:sz w:val="24"/>
                <w:szCs w:val="24"/>
                <w:color w:val="auto"/>
              </w:rPr>
            </w:pPr>
          </w:p>
        </w:tc>
        <w:tc>
          <w:tcPr>
            <w:tcW w:w="1460" w:type="dxa"/>
            <w:vAlign w:val="bottom"/>
            <w:tcBorders>
              <w:bottom w:val="single" w:sz="8" w:color="00000A"/>
              <w:right w:val="single" w:sz="8" w:color="00000A"/>
            </w:tcBorders>
          </w:tcPr>
          <w:p>
            <w:pPr>
              <w:spacing w:after="0"/>
              <w:rPr>
                <w:sz w:val="24"/>
                <w:szCs w:val="24"/>
                <w:color w:val="auto"/>
              </w:rPr>
            </w:pPr>
          </w:p>
        </w:tc>
      </w:tr>
      <w:tr>
        <w:trPr>
          <w:trHeight w:val="458"/>
        </w:trPr>
        <w:tc>
          <w:tcPr>
            <w:tcW w:w="1180" w:type="dxa"/>
            <w:vAlign w:val="bottom"/>
            <w:tcBorders>
              <w:left w:val="single" w:sz="8" w:color="00000A"/>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140" w:type="dxa"/>
            <w:vAlign w:val="bottom"/>
            <w:tcBorders>
              <w:bottom w:val="single" w:sz="8" w:color="00000A"/>
              <w:right w:val="single" w:sz="8" w:color="00000A"/>
            </w:tcBorders>
          </w:tcPr>
          <w:p>
            <w:pPr>
              <w:spacing w:after="0"/>
              <w:rPr>
                <w:sz w:val="24"/>
                <w:szCs w:val="24"/>
                <w:color w:val="auto"/>
              </w:rPr>
            </w:pPr>
          </w:p>
        </w:tc>
        <w:tc>
          <w:tcPr>
            <w:tcW w:w="1140" w:type="dxa"/>
            <w:vAlign w:val="bottom"/>
            <w:tcBorders>
              <w:bottom w:val="single" w:sz="8" w:color="00000A"/>
              <w:right w:val="single" w:sz="8" w:color="00000A"/>
            </w:tcBorders>
          </w:tcPr>
          <w:p>
            <w:pPr>
              <w:spacing w:after="0"/>
              <w:rPr>
                <w:sz w:val="24"/>
                <w:szCs w:val="24"/>
                <w:color w:val="auto"/>
              </w:rPr>
            </w:pPr>
          </w:p>
        </w:tc>
        <w:tc>
          <w:tcPr>
            <w:tcW w:w="11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right w:val="single" w:sz="8" w:color="00000A"/>
            </w:tcBorders>
          </w:tcPr>
          <w:p>
            <w:pPr>
              <w:spacing w:after="0"/>
              <w:rPr>
                <w:sz w:val="24"/>
                <w:szCs w:val="24"/>
                <w:color w:val="auto"/>
              </w:rPr>
            </w:pPr>
          </w:p>
        </w:tc>
        <w:tc>
          <w:tcPr>
            <w:tcW w:w="1460" w:type="dxa"/>
            <w:vAlign w:val="bottom"/>
            <w:tcBorders>
              <w:bottom w:val="single" w:sz="8" w:color="00000A"/>
              <w:right w:val="single" w:sz="8" w:color="00000A"/>
            </w:tcBorders>
          </w:tcPr>
          <w:p>
            <w:pPr>
              <w:spacing w:after="0"/>
              <w:rPr>
                <w:sz w:val="24"/>
                <w:szCs w:val="24"/>
                <w:color w:val="auto"/>
              </w:rPr>
            </w:pPr>
          </w:p>
        </w:tc>
      </w:tr>
      <w:tr>
        <w:trPr>
          <w:trHeight w:val="471"/>
        </w:trPr>
        <w:tc>
          <w:tcPr>
            <w:tcW w:w="1180" w:type="dxa"/>
            <w:vAlign w:val="bottom"/>
            <w:tcBorders>
              <w:left w:val="single" w:sz="8" w:color="00000A"/>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140" w:type="dxa"/>
            <w:vAlign w:val="bottom"/>
            <w:tcBorders>
              <w:bottom w:val="single" w:sz="8" w:color="00000A"/>
              <w:right w:val="single" w:sz="8" w:color="00000A"/>
            </w:tcBorders>
          </w:tcPr>
          <w:p>
            <w:pPr>
              <w:spacing w:after="0"/>
              <w:rPr>
                <w:sz w:val="24"/>
                <w:szCs w:val="24"/>
                <w:color w:val="auto"/>
              </w:rPr>
            </w:pPr>
          </w:p>
        </w:tc>
        <w:tc>
          <w:tcPr>
            <w:tcW w:w="1140" w:type="dxa"/>
            <w:vAlign w:val="bottom"/>
            <w:tcBorders>
              <w:bottom w:val="single" w:sz="8" w:color="00000A"/>
              <w:right w:val="single" w:sz="8" w:color="00000A"/>
            </w:tcBorders>
          </w:tcPr>
          <w:p>
            <w:pPr>
              <w:spacing w:after="0"/>
              <w:rPr>
                <w:sz w:val="24"/>
                <w:szCs w:val="24"/>
                <w:color w:val="auto"/>
              </w:rPr>
            </w:pPr>
          </w:p>
        </w:tc>
        <w:tc>
          <w:tcPr>
            <w:tcW w:w="1140" w:type="dxa"/>
            <w:vAlign w:val="bottom"/>
            <w:tcBorders>
              <w:bottom w:val="single" w:sz="8" w:color="00000A"/>
              <w:right w:val="single" w:sz="8" w:color="00000A"/>
            </w:tcBorders>
          </w:tcPr>
          <w:p>
            <w:pPr>
              <w:spacing w:after="0"/>
              <w:rPr>
                <w:sz w:val="24"/>
                <w:szCs w:val="24"/>
                <w:color w:val="auto"/>
              </w:rPr>
            </w:pPr>
          </w:p>
        </w:tc>
        <w:tc>
          <w:tcPr>
            <w:tcW w:w="1260" w:type="dxa"/>
            <w:vAlign w:val="bottom"/>
            <w:tcBorders>
              <w:bottom w:val="single" w:sz="8" w:color="00000A"/>
              <w:right w:val="single" w:sz="8" w:color="00000A"/>
            </w:tcBorders>
          </w:tcPr>
          <w:p>
            <w:pPr>
              <w:spacing w:after="0"/>
              <w:rPr>
                <w:sz w:val="24"/>
                <w:szCs w:val="24"/>
                <w:color w:val="auto"/>
              </w:rPr>
            </w:pPr>
          </w:p>
        </w:tc>
        <w:tc>
          <w:tcPr>
            <w:tcW w:w="14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[APPLICABLE L/C ISSUER]</w:t>
      </w:r>
    </w:p>
    <w:p>
      <w:pPr>
        <w:spacing w:after="0" w:line="3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By:_______________________________</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Name:_____________________________</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Title:______________________________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H-1</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Letters of Credit Report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120564890</w:t>
      </w:r>
    </w:p>
    <w:p>
      <w:pPr>
        <w:sectPr>
          <w:pgSz w:w="11900" w:h="16838" w:orient="portrait"/>
          <w:cols w:equalWidth="0" w:num="1">
            <w:col w:w="11440"/>
          </w:cols>
          <w:pgMar w:left="240" w:top="590" w:right="21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51"/>
        </w:trPr>
        <w:tc>
          <w:tcPr>
            <w:tcW w:w="5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i w:val="1"/>
                <w:iCs w:val="1"/>
                <w:color w:val="auto"/>
              </w:rPr>
              <w:t>EXHIBIT I</w:t>
            </w:r>
          </w:p>
        </w:tc>
      </w:tr>
      <w:tr>
        <w:trPr>
          <w:trHeight w:val="439"/>
        </w:trPr>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20" w:type="dxa"/>
            <w:vAlign w:val="bottom"/>
            <w:gridSpan w:val="13"/>
          </w:tcPr>
          <w:p>
            <w:pPr>
              <w:jc w:val="right"/>
              <w:ind w:right="3645"/>
              <w:spacing w:after="0"/>
              <w:rPr>
                <w:sz w:val="20"/>
                <w:szCs w:val="20"/>
                <w:color w:val="auto"/>
              </w:rPr>
            </w:pPr>
            <w:r>
              <w:rPr>
                <w:rFonts w:ascii="Times New Roman" w:cs="Times New Roman" w:eastAsia="Times New Roman" w:hAnsi="Times New Roman"/>
                <w:sz w:val="19"/>
                <w:szCs w:val="19"/>
                <w:b w:val="1"/>
                <w:bCs w:val="1"/>
                <w:color w:val="auto"/>
              </w:rPr>
              <w:t>FORM OF NOTICE OF LOAN PREPAYMENT</w:t>
            </w:r>
          </w:p>
        </w:tc>
      </w:tr>
      <w:tr>
        <w:trPr>
          <w:trHeight w:val="646"/>
        </w:trPr>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 xml:space="preserve">Date: </w:t>
            </w:r>
            <w:r>
              <w:rPr>
                <w:rFonts w:ascii="Times New Roman" w:cs="Times New Roman" w:eastAsia="Times New Roman" w:hAnsi="Times New Roman"/>
                <w:sz w:val="19"/>
                <w:szCs w:val="19"/>
                <w:b w:val="1"/>
                <w:bCs w:val="1"/>
                <w:color w:val="auto"/>
              </w:rPr>
              <w:t>[___________, _____]</w:t>
            </w:r>
          </w:p>
        </w:tc>
      </w:tr>
      <w:tr>
        <w:trPr>
          <w:trHeight w:val="603"/>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TO:</w:t>
            </w:r>
          </w:p>
        </w:tc>
        <w:tc>
          <w:tcPr>
            <w:tcW w:w="10840" w:type="dxa"/>
            <w:vAlign w:val="bottom"/>
            <w:gridSpan w:val="14"/>
          </w:tcPr>
          <w:p>
            <w:pPr>
              <w:jc w:val="right"/>
              <w:ind w:right="4665"/>
              <w:spacing w:after="0"/>
              <w:rPr>
                <w:sz w:val="20"/>
                <w:szCs w:val="20"/>
                <w:color w:val="auto"/>
              </w:rPr>
            </w:pPr>
            <w:r>
              <w:rPr>
                <w:rFonts w:ascii="Times New Roman" w:cs="Times New Roman" w:eastAsia="Times New Roman" w:hAnsi="Times New Roman"/>
                <w:sz w:val="19"/>
                <w:szCs w:val="19"/>
                <w:color w:val="auto"/>
              </w:rPr>
              <w:t>Bank of America, N.A., as Administrative Agent (the “Administrative Agent”)</w:t>
            </w: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7"/>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RE:</w:t>
            </w:r>
          </w:p>
        </w:tc>
        <w:tc>
          <w:tcPr>
            <w:tcW w:w="10840" w:type="dxa"/>
            <w:vAlign w:val="bottom"/>
            <w:gridSpan w:val="14"/>
          </w:tcPr>
          <w:p>
            <w:pPr>
              <w:ind w:left="660"/>
              <w:spacing w:after="0"/>
              <w:rPr>
                <w:sz w:val="20"/>
                <w:szCs w:val="20"/>
                <w:color w:val="auto"/>
              </w:rPr>
            </w:pPr>
            <w:r>
              <w:rPr>
                <w:rFonts w:ascii="Times New Roman" w:cs="Times New Roman" w:eastAsia="Times New Roman" w:hAnsi="Times New Roman"/>
                <w:sz w:val="19"/>
                <w:szCs w:val="19"/>
                <w:color w:val="auto"/>
              </w:rPr>
              <w:t>Fifth Amended and Restated Credit Agreement, dated as of [_________], 2019 (as amended, restated, extended, supplemented or</w:t>
            </w:r>
          </w:p>
        </w:tc>
      </w:tr>
      <w:tr>
        <w:trPr>
          <w:trHeight w:val="202"/>
        </w:trPr>
        <w:tc>
          <w:tcPr>
            <w:tcW w:w="580" w:type="dxa"/>
            <w:vAlign w:val="bottom"/>
          </w:tcPr>
          <w:p>
            <w:pPr>
              <w:spacing w:after="0"/>
              <w:rPr>
                <w:sz w:val="17"/>
                <w:szCs w:val="17"/>
                <w:color w:val="auto"/>
              </w:rPr>
            </w:pPr>
          </w:p>
        </w:tc>
        <w:tc>
          <w:tcPr>
            <w:tcW w:w="10840" w:type="dxa"/>
            <w:vAlign w:val="bottom"/>
            <w:gridSpan w:val="14"/>
          </w:tcPr>
          <w:p>
            <w:pPr>
              <w:jc w:val="right"/>
              <w:spacing w:after="0" w:line="202" w:lineRule="exact"/>
              <w:rPr>
                <w:sz w:val="20"/>
                <w:szCs w:val="20"/>
                <w:color w:val="auto"/>
              </w:rPr>
            </w:pPr>
            <w:r>
              <w:rPr>
                <w:rFonts w:ascii="Times New Roman" w:cs="Times New Roman" w:eastAsia="Times New Roman" w:hAnsi="Times New Roman"/>
                <w:sz w:val="19"/>
                <w:szCs w:val="19"/>
                <w:color w:val="auto"/>
              </w:rPr>
              <w:t>otherwise modified in writing from time to time, the “Agreement;” the terms defined therein being used herein as therein defined),</w:t>
            </w: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0"/>
        </w:trPr>
        <w:tc>
          <w:tcPr>
            <w:tcW w:w="580" w:type="dxa"/>
            <w:vAlign w:val="bottom"/>
          </w:tcPr>
          <w:p>
            <w:pPr>
              <w:spacing w:after="0"/>
              <w:rPr>
                <w:sz w:val="17"/>
                <w:szCs w:val="17"/>
                <w:color w:val="auto"/>
              </w:rPr>
            </w:pPr>
          </w:p>
        </w:tc>
        <w:tc>
          <w:tcPr>
            <w:tcW w:w="10840" w:type="dxa"/>
            <w:vAlign w:val="bottom"/>
            <w:gridSpan w:val="14"/>
          </w:tcPr>
          <w:p>
            <w:pPr>
              <w:jc w:val="right"/>
              <w:spacing w:after="0" w:line="200" w:lineRule="exact"/>
              <w:rPr>
                <w:sz w:val="20"/>
                <w:szCs w:val="20"/>
                <w:color w:val="auto"/>
              </w:rPr>
            </w:pPr>
            <w:r>
              <w:rPr>
                <w:rFonts w:ascii="Times New Roman" w:cs="Times New Roman" w:eastAsia="Times New Roman" w:hAnsi="Times New Roman"/>
                <w:sz w:val="19"/>
                <w:szCs w:val="19"/>
                <w:color w:val="auto"/>
              </w:rPr>
              <w:t>among MasTec, Inc., a Florida corporation (the “Company”), MasTec North America, Inc., a Florida corporation (together with the</w:t>
            </w: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0"/>
        </w:trPr>
        <w:tc>
          <w:tcPr>
            <w:tcW w:w="580" w:type="dxa"/>
            <w:vAlign w:val="bottom"/>
          </w:tcPr>
          <w:p>
            <w:pPr>
              <w:spacing w:after="0"/>
              <w:rPr>
                <w:sz w:val="17"/>
                <w:szCs w:val="17"/>
                <w:color w:val="auto"/>
              </w:rPr>
            </w:pPr>
          </w:p>
        </w:tc>
        <w:tc>
          <w:tcPr>
            <w:tcW w:w="10840" w:type="dxa"/>
            <w:vAlign w:val="bottom"/>
            <w:gridSpan w:val="14"/>
          </w:tcPr>
          <w:p>
            <w:pPr>
              <w:jc w:val="right"/>
              <w:spacing w:after="0" w:line="200" w:lineRule="exact"/>
              <w:rPr>
                <w:sz w:val="20"/>
                <w:szCs w:val="20"/>
                <w:color w:val="auto"/>
              </w:rPr>
            </w:pPr>
            <w:r>
              <w:rPr>
                <w:rFonts w:ascii="Times New Roman" w:cs="Times New Roman" w:eastAsia="Times New Roman" w:hAnsi="Times New Roman"/>
                <w:sz w:val="19"/>
                <w:szCs w:val="19"/>
                <w:color w:val="auto"/>
              </w:rPr>
              <w:t>Company, collectively, the “Borrowers” and each individually a “Borrower”), the Lenders from time to time party thereto, and Bank</w:t>
            </w: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100" w:type="dxa"/>
            <w:vAlign w:val="bottom"/>
            <w:tcBorders>
              <w:right w:val="single" w:sz="8" w:color="auto"/>
            </w:tcBorders>
            <w:gridSpan w:val="5"/>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10840" w:type="dxa"/>
            <w:vAlign w:val="bottom"/>
            <w:gridSpan w:val="14"/>
          </w:tcPr>
          <w:p>
            <w:pPr>
              <w:ind w:left="660"/>
              <w:spacing w:after="0"/>
              <w:rPr>
                <w:sz w:val="20"/>
                <w:szCs w:val="20"/>
                <w:color w:val="auto"/>
              </w:rPr>
            </w:pPr>
            <w:r>
              <w:rPr>
                <w:rFonts w:ascii="Times New Roman" w:cs="Times New Roman" w:eastAsia="Times New Roman" w:hAnsi="Times New Roman"/>
                <w:sz w:val="19"/>
                <w:szCs w:val="19"/>
                <w:color w:val="auto"/>
              </w:rPr>
              <w:t>of America, N.A., as Administrative Agent, L/C Issuer and Swing Line Lender.</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DATE:</w:t>
            </w:r>
          </w:p>
        </w:tc>
        <w:tc>
          <w:tcPr>
            <w:tcW w:w="10840" w:type="dxa"/>
            <w:vAlign w:val="bottom"/>
            <w:gridSpan w:val="14"/>
          </w:tcPr>
          <w:p>
            <w:pPr>
              <w:jc w:val="right"/>
              <w:ind w:right="9925"/>
              <w:spacing w:after="0"/>
              <w:rPr>
                <w:sz w:val="20"/>
                <w:szCs w:val="20"/>
                <w:color w:val="auto"/>
              </w:rPr>
            </w:pPr>
            <w:r>
              <w:rPr>
                <w:rFonts w:ascii="Times New Roman" w:cs="Times New Roman" w:eastAsia="Times New Roman" w:hAnsi="Times New Roman"/>
                <w:sz w:val="19"/>
                <w:szCs w:val="19"/>
                <w:color w:val="auto"/>
              </w:rPr>
              <w:t>[Date]</w:t>
            </w:r>
          </w:p>
        </w:tc>
      </w:tr>
      <w:tr>
        <w:trPr>
          <w:trHeight w:val="177"/>
        </w:trPr>
        <w:tc>
          <w:tcPr>
            <w:tcW w:w="580" w:type="dxa"/>
            <w:vAlign w:val="bottom"/>
          </w:tcPr>
          <w:p>
            <w:pPr>
              <w:spacing w:after="0"/>
              <w:rPr>
                <w:sz w:val="15"/>
                <w:szCs w:val="15"/>
                <w:color w:val="auto"/>
              </w:rPr>
            </w:pPr>
          </w:p>
        </w:tc>
        <w:tc>
          <w:tcPr>
            <w:tcW w:w="7480" w:type="dxa"/>
            <w:vAlign w:val="bottom"/>
            <w:gridSpan w:val="10"/>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419"/>
        </w:trPr>
        <w:tc>
          <w:tcPr>
            <w:tcW w:w="580" w:type="dxa"/>
            <w:vAlign w:val="bottom"/>
          </w:tcPr>
          <w:p>
            <w:pPr>
              <w:spacing w:after="0"/>
              <w:rPr>
                <w:sz w:val="24"/>
                <w:szCs w:val="24"/>
                <w:color w:val="auto"/>
              </w:rPr>
            </w:pPr>
          </w:p>
        </w:tc>
        <w:tc>
          <w:tcPr>
            <w:tcW w:w="10840" w:type="dxa"/>
            <w:vAlign w:val="bottom"/>
            <w:gridSpan w:val="14"/>
          </w:tcPr>
          <w:p>
            <w:pPr>
              <w:jc w:val="right"/>
              <w:spacing w:after="0"/>
              <w:rPr>
                <w:sz w:val="20"/>
                <w:szCs w:val="20"/>
                <w:color w:val="auto"/>
              </w:rPr>
            </w:pPr>
            <w:r>
              <w:rPr>
                <w:rFonts w:ascii="Times New Roman" w:cs="Times New Roman" w:eastAsia="Times New Roman" w:hAnsi="Times New Roman"/>
                <w:sz w:val="19"/>
                <w:szCs w:val="19"/>
                <w:color w:val="auto"/>
              </w:rPr>
              <w:t>The Company hereby notifies the Administrative Agent that on __________, 20</w:t>
            </w:r>
            <w:r>
              <w:rPr>
                <w:rFonts w:ascii="Times New Roman" w:cs="Times New Roman" w:eastAsia="Times New Roman" w:hAnsi="Times New Roman"/>
                <w:sz w:val="19"/>
                <w:szCs w:val="19"/>
                <w:b w:val="1"/>
                <w:bCs w:val="1"/>
                <w:color w:val="auto"/>
              </w:rPr>
              <w:t>____</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4"/>
                <w:szCs w:val="24"/>
                <w:color w:val="auto"/>
                <w:vertAlign w:val="superscript"/>
              </w:rPr>
              <w:t>21</w:t>
            </w:r>
            <w:r>
              <w:rPr>
                <w:rFonts w:ascii="Times New Roman" w:cs="Times New Roman" w:eastAsia="Times New Roman" w:hAnsi="Times New Roman"/>
                <w:sz w:val="19"/>
                <w:szCs w:val="19"/>
                <w:color w:val="auto"/>
              </w:rPr>
              <w:t xml:space="preserve"> pursuant to the terms of Section 2.05 (Prepayments)</w:t>
            </w: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 Agreement, the Borrowers intend to prepay/repay the following Eurocurrency Rate Loans as more specifically set forth below:</w:t>
      </w:r>
    </w:p>
    <w:p>
      <w:pPr>
        <w:spacing w:after="0" w:line="221" w:lineRule="exact"/>
        <w:rPr>
          <w:sz w:val="20"/>
          <w:szCs w:val="20"/>
          <w:color w:val="auto"/>
        </w:rPr>
      </w:pPr>
    </w:p>
    <w:p>
      <w:pPr>
        <w:ind w:left="1640" w:hanging="319"/>
        <w:spacing w:after="0"/>
        <w:tabs>
          <w:tab w:leader="none" w:pos="1640" w:val="left"/>
        </w:tabs>
        <w:numPr>
          <w:ilvl w:val="0"/>
          <w:numId w:val="278"/>
        </w:numPr>
        <w:rPr>
          <w:rFonts w:ascii="MS PGothic" w:cs="MS PGothic" w:eastAsia="MS PGothic" w:hAnsi="MS PGothic"/>
          <w:sz w:val="17"/>
          <w:szCs w:val="17"/>
          <w:color w:val="auto"/>
        </w:rPr>
      </w:pPr>
      <w:r>
        <w:rPr>
          <w:rFonts w:ascii="Times New Roman" w:cs="Times New Roman" w:eastAsia="Times New Roman" w:hAnsi="Times New Roman"/>
          <w:sz w:val="19"/>
          <w:szCs w:val="19"/>
          <w:color w:val="auto"/>
        </w:rPr>
        <w:t>Optional prepayment of Committed (USD) Loans in the following amount(s):</w:t>
      </w:r>
    </w:p>
    <w:p>
      <w:pPr>
        <w:spacing w:after="0" w:line="22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9"/>
          <w:szCs w:val="19"/>
          <w:color w:val="auto"/>
        </w:rPr>
        <w:t xml:space="preserve">Eurocurrency Rate Loans: $________________ </w:t>
      </w:r>
      <w:r>
        <w:rPr>
          <w:rFonts w:ascii="Times New Roman" w:cs="Times New Roman" w:eastAsia="Times New Roman" w:hAnsi="Times New Roman"/>
          <w:sz w:val="24"/>
          <w:szCs w:val="24"/>
          <w:color w:val="auto"/>
          <w:vertAlign w:val="superscript"/>
        </w:rPr>
        <w:t>22</w:t>
      </w:r>
    </w:p>
    <w:p>
      <w:pPr>
        <w:spacing w:after="0" w:line="4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9"/>
          <w:szCs w:val="19"/>
          <w:color w:val="auto"/>
        </w:rPr>
        <w:t>Applicable Interest Period: _________________</w:t>
      </w:r>
    </w:p>
    <w:p>
      <w:pPr>
        <w:spacing w:after="0" w:line="208" w:lineRule="exact"/>
        <w:rPr>
          <w:sz w:val="20"/>
          <w:szCs w:val="20"/>
          <w:color w:val="auto"/>
        </w:rPr>
      </w:pPr>
    </w:p>
    <w:p>
      <w:pPr>
        <w:ind w:left="1640" w:hanging="319"/>
        <w:spacing w:after="0"/>
        <w:tabs>
          <w:tab w:leader="none" w:pos="1640" w:val="left"/>
        </w:tabs>
        <w:numPr>
          <w:ilvl w:val="0"/>
          <w:numId w:val="279"/>
        </w:numPr>
        <w:rPr>
          <w:rFonts w:ascii="MS PGothic" w:cs="MS PGothic" w:eastAsia="MS PGothic" w:hAnsi="MS PGothic"/>
          <w:sz w:val="17"/>
          <w:szCs w:val="17"/>
          <w:color w:val="auto"/>
        </w:rPr>
      </w:pPr>
      <w:r>
        <w:rPr>
          <w:rFonts w:ascii="Times New Roman" w:cs="Times New Roman" w:eastAsia="Times New Roman" w:hAnsi="Times New Roman"/>
          <w:sz w:val="19"/>
          <w:szCs w:val="19"/>
          <w:color w:val="auto"/>
        </w:rPr>
        <w:t>Optional prepayment of Committed (MC) Loans in the following amount(s):</w:t>
      </w:r>
    </w:p>
    <w:p>
      <w:pPr>
        <w:spacing w:after="0" w:line="22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9"/>
          <w:szCs w:val="19"/>
          <w:color w:val="auto"/>
        </w:rPr>
        <w:t xml:space="preserve">Eurocurrency Rate Loans: $________________ </w:t>
      </w:r>
      <w:r>
        <w:rPr>
          <w:rFonts w:ascii="Times New Roman" w:cs="Times New Roman" w:eastAsia="Times New Roman" w:hAnsi="Times New Roman"/>
          <w:sz w:val="24"/>
          <w:szCs w:val="24"/>
          <w:color w:val="auto"/>
          <w:vertAlign w:val="superscript"/>
        </w:rPr>
        <w:t>23</w:t>
      </w:r>
    </w:p>
    <w:p>
      <w:pPr>
        <w:spacing w:after="0" w:line="4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9"/>
          <w:szCs w:val="19"/>
          <w:color w:val="auto"/>
        </w:rPr>
        <w:t>In the following currency: _________________</w:t>
      </w:r>
    </w:p>
    <w:p>
      <w:pPr>
        <w:spacing w:after="0" w:line="10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9"/>
          <w:szCs w:val="19"/>
          <w:color w:val="auto"/>
        </w:rPr>
        <w:t>Applicable Interest Period:_________________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131" w:lineRule="exact"/>
        <w:rPr>
          <w:sz w:val="20"/>
          <w:szCs w:val="20"/>
          <w:color w:val="auto"/>
        </w:rPr>
      </w:pPr>
    </w:p>
    <w:p>
      <w:pPr>
        <w:ind w:left="780" w:hanging="156"/>
        <w:spacing w:after="0"/>
        <w:tabs>
          <w:tab w:leader="none" w:pos="780" w:val="left"/>
        </w:tabs>
        <w:numPr>
          <w:ilvl w:val="0"/>
          <w:numId w:val="2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Specify date of such prepayment.</w:t>
      </w:r>
    </w:p>
    <w:p>
      <w:pPr>
        <w:spacing w:after="0" w:line="1" w:lineRule="exact"/>
        <w:rPr>
          <w:rFonts w:ascii="Times New Roman" w:cs="Times New Roman" w:eastAsia="Times New Roman" w:hAnsi="Times New Roman"/>
          <w:sz w:val="23"/>
          <w:szCs w:val="23"/>
          <w:color w:val="auto"/>
          <w:vertAlign w:val="superscript"/>
        </w:rPr>
      </w:pPr>
    </w:p>
    <w:p>
      <w:pPr>
        <w:ind w:right="3640" w:firstLine="624"/>
        <w:spacing w:after="0" w:line="215" w:lineRule="auto"/>
        <w:tabs>
          <w:tab w:leader="none" w:pos="784" w:val="left"/>
        </w:tabs>
        <w:numPr>
          <w:ilvl w:val="0"/>
          <w:numId w:val="2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Any prepayment of Eurocurrency Rate Loans shall be in a principal amount of $1,000,000 or a whole multiple of $100,000 in excess thereof (or if less, the entire principal amount thereof outstanding).</w:t>
      </w:r>
    </w:p>
    <w:p>
      <w:pPr>
        <w:ind w:right="3640" w:firstLine="624"/>
        <w:spacing w:after="0" w:line="215" w:lineRule="auto"/>
        <w:tabs>
          <w:tab w:leader="none" w:pos="784" w:val="left"/>
        </w:tabs>
        <w:numPr>
          <w:ilvl w:val="0"/>
          <w:numId w:val="2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Any prepayment of Eurocurrency Rate Loans shall be in a principal amount of $1,000,000 or a whole multiple of $100,000 in excess thereof (or if less, the entire principal amount thereof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Notice of Loan Prepayment</w:t>
      </w:r>
    </w:p>
    <w:p>
      <w:pPr>
        <w:sectPr>
          <w:pgSz w:w="11900" w:h="16838" w:orient="portrait"/>
          <w:cols w:equalWidth="0" w:num="1">
            <w:col w:w="11420"/>
          </w:cols>
          <w:pgMar w:left="240" w:top="590" w:right="239" w:bottom="1440" w:gutter="0" w:footer="0" w:header="0"/>
        </w:sectPr>
      </w:pPr>
    </w:p>
    <w:bookmarkStart w:id="316" w:name="page317"/>
    <w:bookmarkEnd w:id="316"/>
    <w:p>
      <w:pPr>
        <w:ind w:left="1640" w:hanging="319"/>
        <w:spacing w:after="0"/>
        <w:tabs>
          <w:tab w:leader="none" w:pos="1640" w:val="left"/>
        </w:tabs>
        <w:numPr>
          <w:ilvl w:val="0"/>
          <w:numId w:val="281"/>
        </w:numPr>
        <w:rPr>
          <w:rFonts w:ascii="MS PGothic" w:cs="MS PGothic" w:eastAsia="MS PGothic" w:hAnsi="MS PGothic"/>
          <w:sz w:val="17"/>
          <w:szCs w:val="17"/>
          <w:color w:val="auto"/>
        </w:rPr>
      </w:pPr>
      <w:r>
        <w:rPr>
          <w:rFonts w:ascii="Times New Roman" w:cs="Times New Roman" w:eastAsia="Times New Roman" w:hAnsi="Times New Roman"/>
          <w:sz w:val="19"/>
          <w:szCs w:val="19"/>
          <w:color w:val="auto"/>
        </w:rPr>
        <w:t xml:space="preserve">Optional </w:t>
      </w:r>
      <w:r>
        <w:rPr>
          <w:rFonts w:ascii="Times New Roman" w:cs="Times New Roman" w:eastAsia="Times New Roman" w:hAnsi="Times New Roman"/>
          <w:sz w:val="20"/>
          <w:szCs w:val="20"/>
          <w:color w:val="auto"/>
        </w:rPr>
        <w:t>prepayment of Term Loans in the following amount(s):</w:t>
      </w:r>
    </w:p>
    <w:p>
      <w:pPr>
        <w:spacing w:after="0" w:line="26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Eurocurrency Rate Loans: $______________</w:t>
      </w:r>
      <w:r>
        <w:rPr>
          <w:rFonts w:ascii="Times New Roman" w:cs="Times New Roman" w:eastAsia="Times New Roman" w:hAnsi="Times New Roman"/>
          <w:sz w:val="27"/>
          <w:szCs w:val="27"/>
          <w:color w:val="auto"/>
          <w:vertAlign w:val="superscript"/>
        </w:rPr>
        <w:t>24</w:t>
      </w:r>
    </w:p>
    <w:p>
      <w:pPr>
        <w:spacing w:after="0" w:line="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Applicable Interest Period:_______________</w:t>
      </w:r>
    </w:p>
    <w:p>
      <w:pPr>
        <w:spacing w:after="0" w:line="205"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21"/>
          <w:szCs w:val="21"/>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9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MASTEC, INC.,</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 Florida corporation</w:t>
      </w:r>
    </w:p>
    <w:p>
      <w:pPr>
        <w:spacing w:after="0" w:line="2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___________________________</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_________________________</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w:t>
      </w:r>
    </w:p>
    <w:p>
      <w:pPr>
        <w:spacing w:after="0" w:line="129" w:lineRule="exact"/>
        <w:rPr>
          <w:sz w:val="20"/>
          <w:szCs w:val="20"/>
          <w:color w:val="auto"/>
        </w:rPr>
      </w:pPr>
    </w:p>
    <w:p>
      <w:pPr>
        <w:ind w:firstLine="624"/>
        <w:spacing w:after="0" w:line="238" w:lineRule="auto"/>
        <w:tabs>
          <w:tab w:leader="none" w:pos="792" w:val="left"/>
        </w:tabs>
        <w:numPr>
          <w:ilvl w:val="0"/>
          <w:numId w:val="2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Any prepayment of Eurocurrency Rate Loans shall be in a principal amount of $1,000,000 or a whole multiple of $100,000 in excess thereof (or if less, the entire principal amount thereof outstanding).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Notice of Loan Prepayment</w:t>
      </w:r>
    </w:p>
    <w:p>
      <w:pPr>
        <w:sectPr>
          <w:pgSz w:w="11900" w:h="16838" w:orient="portrait"/>
          <w:cols w:equalWidth="0" w:num="1">
            <w:col w:w="11420"/>
          </w:cols>
          <w:pgMar w:left="240" w:top="605" w:right="239" w:bottom="1440" w:gutter="0" w:footer="0" w:header="0"/>
        </w:sectPr>
      </w:pPr>
    </w:p>
    <w:bookmarkStart w:id="317" w:name="page318"/>
    <w:bookmarkEnd w:id="317"/>
    <w:p>
      <w:pPr>
        <w:ind w:left="1062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José R. Mas, certify that: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178"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left="940" w:hanging="472"/>
        <w:spacing w:after="0" w:line="246" w:lineRule="auto"/>
        <w:tabs>
          <w:tab w:leader="none" w:pos="94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7" w:lineRule="exact"/>
        <w:rPr>
          <w:rFonts w:ascii="Times New Roman" w:cs="Times New Roman" w:eastAsia="Times New Roman" w:hAnsi="Times New Roman"/>
          <w:sz w:val="16"/>
          <w:szCs w:val="16"/>
          <w:color w:val="auto"/>
        </w:rPr>
      </w:pPr>
    </w:p>
    <w:p>
      <w:pPr>
        <w:jc w:val="both"/>
        <w:ind w:left="940" w:hanging="472"/>
        <w:spacing w:after="0" w:line="246" w:lineRule="auto"/>
        <w:tabs>
          <w:tab w:leader="none" w:pos="94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6"/>
          <w:szCs w:val="16"/>
          <w:color w:val="auto"/>
        </w:rPr>
      </w:pPr>
    </w:p>
    <w:p>
      <w:pPr>
        <w:ind w:left="940" w:hanging="472"/>
        <w:spacing w:after="0" w:line="257" w:lineRule="auto"/>
        <w:tabs>
          <w:tab w:leader="none" w:pos="94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6"/>
          <w:szCs w:val="16"/>
          <w:color w:val="auto"/>
        </w:rPr>
      </w:pPr>
    </w:p>
    <w:p>
      <w:pPr>
        <w:ind w:left="940" w:hanging="472"/>
        <w:spacing w:after="0" w:line="257" w:lineRule="auto"/>
        <w:tabs>
          <w:tab w:leader="none" w:pos="94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sz w:val="20"/>
          <w:szCs w:val="20"/>
          <w:color w:val="auto"/>
        </w:rPr>
      </w:pPr>
    </w:p>
    <w:p>
      <w:pPr>
        <w:ind w:left="940" w:hanging="472"/>
        <w:spacing w:after="0" w:line="257" w:lineRule="auto"/>
        <w:tabs>
          <w:tab w:leader="none" w:pos="940"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6"/>
          <w:szCs w:val="16"/>
          <w:color w:val="auto"/>
        </w:rPr>
      </w:pPr>
    </w:p>
    <w:p>
      <w:pPr>
        <w:ind w:left="940" w:hanging="472"/>
        <w:spacing w:after="0"/>
        <w:tabs>
          <w:tab w:leader="none" w:pos="94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October 31, 2019</w:t>
      </w:r>
    </w:p>
    <w:p>
      <w:pPr>
        <w:spacing w:after="0" w:line="38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33020</wp:posOffset>
            </wp:positionV>
            <wp:extent cx="27235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José R. Mas</w:t>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420"/>
          </w:cols>
          <w:pgMar w:left="240" w:top="563" w:right="239" w:bottom="1440" w:gutter="0" w:footer="0" w:header="0"/>
        </w:sectPr>
      </w:pPr>
    </w:p>
    <w:bookmarkStart w:id="318" w:name="page319"/>
    <w:bookmarkEnd w:id="318"/>
    <w:p>
      <w:pPr>
        <w:ind w:left="1062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George L. Pita, certify that: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1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left="940" w:hanging="472"/>
        <w:spacing w:after="0" w:line="246" w:lineRule="auto"/>
        <w:tabs>
          <w:tab w:leader="none" w:pos="9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7" w:lineRule="exact"/>
        <w:rPr>
          <w:rFonts w:ascii="Times New Roman" w:cs="Times New Roman" w:eastAsia="Times New Roman" w:hAnsi="Times New Roman"/>
          <w:sz w:val="16"/>
          <w:szCs w:val="16"/>
          <w:color w:val="auto"/>
        </w:rPr>
      </w:pPr>
    </w:p>
    <w:p>
      <w:pPr>
        <w:jc w:val="both"/>
        <w:ind w:left="940" w:hanging="472"/>
        <w:spacing w:after="0" w:line="246" w:lineRule="auto"/>
        <w:tabs>
          <w:tab w:leader="none" w:pos="9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6"/>
          <w:szCs w:val="16"/>
          <w:color w:val="auto"/>
        </w:rPr>
      </w:pPr>
    </w:p>
    <w:p>
      <w:pPr>
        <w:ind w:left="940" w:hanging="472"/>
        <w:spacing w:after="0" w:line="257" w:lineRule="auto"/>
        <w:tabs>
          <w:tab w:leader="none" w:pos="9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6"/>
          <w:szCs w:val="16"/>
          <w:color w:val="auto"/>
        </w:rPr>
      </w:pPr>
    </w:p>
    <w:p>
      <w:pPr>
        <w:ind w:left="940" w:hanging="472"/>
        <w:spacing w:after="0" w:line="257" w:lineRule="auto"/>
        <w:tabs>
          <w:tab w:leader="none" w:pos="94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sz w:val="20"/>
          <w:szCs w:val="20"/>
          <w:color w:val="auto"/>
        </w:rPr>
      </w:pPr>
    </w:p>
    <w:p>
      <w:pPr>
        <w:ind w:left="940" w:hanging="472"/>
        <w:spacing w:after="0" w:line="257" w:lineRule="auto"/>
        <w:tabs>
          <w:tab w:leader="none" w:pos="94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6"/>
          <w:szCs w:val="16"/>
          <w:color w:val="auto"/>
        </w:rPr>
      </w:pPr>
    </w:p>
    <w:p>
      <w:pPr>
        <w:ind w:left="940" w:hanging="472"/>
        <w:spacing w:after="0"/>
        <w:tabs>
          <w:tab w:leader="none" w:pos="94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October 31, 2019</w:t>
      </w:r>
    </w:p>
    <w:p>
      <w:pPr>
        <w:spacing w:after="0" w:line="38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33020</wp:posOffset>
            </wp:positionV>
            <wp:extent cx="2723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George L. Pita</w:t>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1">
            <w:col w:w="11420"/>
          </w:cols>
          <w:pgMar w:left="240" w:top="563" w:right="2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September 30, 2019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58" w:lineRule="exact"/>
        <w:rPr>
          <w:sz w:val="20"/>
          <w:szCs w:val="20"/>
          <w:color w:val="auto"/>
        </w:rPr>
      </w:pPr>
    </w:p>
    <w:p>
      <w:pPr>
        <w:ind w:left="940" w:hanging="472"/>
        <w:spacing w:after="0"/>
        <w:tabs>
          <w:tab w:leader="none" w:pos="94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77" w:lineRule="exact"/>
        <w:rPr>
          <w:rFonts w:ascii="Times New Roman" w:cs="Times New Roman" w:eastAsia="Times New Roman" w:hAnsi="Times New Roman"/>
          <w:sz w:val="16"/>
          <w:szCs w:val="16"/>
          <w:color w:val="auto"/>
        </w:rPr>
      </w:pPr>
    </w:p>
    <w:p>
      <w:pPr>
        <w:ind w:left="940" w:hanging="472"/>
        <w:spacing w:after="0"/>
        <w:tabs>
          <w:tab w:leader="none" w:pos="94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October 31, 2019</w:t>
      </w:r>
    </w:p>
    <w:p>
      <w:pPr>
        <w:spacing w:after="0" w:line="38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33020</wp:posOffset>
            </wp:positionV>
            <wp:extent cx="27235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José R. Mas</w:t>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1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September 30, 2019, or as a separate disclosure document of the Company or the certifying officers.</w:t>
      </w:r>
    </w:p>
    <w:p>
      <w:pPr>
        <w:sectPr>
          <w:pgSz w:w="11900" w:h="16838" w:orient="portrait"/>
          <w:cols w:equalWidth="0" w:num="1">
            <w:col w:w="11420"/>
          </w:cols>
          <w:pgMar w:left="240" w:top="562" w:right="2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September 30, 2019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158" w:lineRule="exact"/>
        <w:rPr>
          <w:sz w:val="20"/>
          <w:szCs w:val="20"/>
          <w:color w:val="auto"/>
        </w:rPr>
      </w:pPr>
    </w:p>
    <w:p>
      <w:pPr>
        <w:ind w:left="940" w:hanging="472"/>
        <w:spacing w:after="0"/>
        <w:tabs>
          <w:tab w:leader="none" w:pos="940"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77" w:lineRule="exact"/>
        <w:rPr>
          <w:rFonts w:ascii="Times New Roman" w:cs="Times New Roman" w:eastAsia="Times New Roman" w:hAnsi="Times New Roman"/>
          <w:sz w:val="16"/>
          <w:szCs w:val="16"/>
          <w:color w:val="auto"/>
        </w:rPr>
      </w:pPr>
    </w:p>
    <w:p>
      <w:pPr>
        <w:ind w:left="940" w:hanging="472"/>
        <w:spacing w:after="0"/>
        <w:tabs>
          <w:tab w:leader="none" w:pos="940"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October 31, 2019</w:t>
      </w:r>
    </w:p>
    <w:p>
      <w:pPr>
        <w:spacing w:after="0" w:line="38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33020</wp:posOffset>
            </wp:positionV>
            <wp:extent cx="2723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George L. Pita</w:t>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1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September 30, 2019, or as a separate disclosure document of the Company or the certifying officers.</w:t>
      </w:r>
    </w:p>
    <w:sectPr>
      <w:pgSz w:w="11900" w:h="16838" w:orient="portrait"/>
      <w:cols w:equalWidth="0" w:num="1">
        <w:col w:w="11420"/>
      </w:cols>
      <w:pgMar w:left="240" w:top="5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E74EA3"/>
    <w:multiLevelType w:val="hybridMultilevel"/>
    <w:lvl w:ilvl="0">
      <w:lvlJc w:val="left"/>
      <w:lvlText w:val="☑"/>
      <w:numFmt w:val="bullet"/>
      <w:start w:val="1"/>
    </w:lvl>
  </w:abstractNum>
  <w:abstractNum w:abstractNumId="1">
    <w:nsid w:val="597B4D84"/>
    <w:multiLevelType w:val="hybridMultilevel"/>
    <w:lvl w:ilvl="0">
      <w:lvlJc w:val="left"/>
      <w:lvlText w:val="☐"/>
      <w:numFmt w:val="bullet"/>
      <w:start w:val="1"/>
    </w:lvl>
  </w:abstractNum>
  <w:abstractNum w:abstractNumId="2">
    <w:nsid w:val="F819E7F"/>
    <w:multiLevelType w:val="hybridMultilevel"/>
    <w:lvl w:ilvl="0">
      <w:lvlJc w:val="left"/>
      <w:lvlText w:val="(%1)"/>
      <w:numFmt w:val="lowerLetter"/>
      <w:start w:val="1"/>
    </w:lvl>
  </w:abstractNum>
  <w:abstractNum w:abstractNumId="3">
    <w:nsid w:val="57C7D42D"/>
    <w:multiLevelType w:val="hybridMultilevel"/>
    <w:lvl w:ilvl="0">
      <w:lvlJc w:val="left"/>
      <w:lvlText w:val="(%1)"/>
      <w:numFmt w:val="lowerLetter"/>
      <w:start w:val="1"/>
    </w:lvl>
  </w:abstractNum>
  <w:abstractNum w:abstractNumId="4">
    <w:nsid w:val="312167AD"/>
    <w:multiLevelType w:val="hybridMultilevel"/>
    <w:lvl w:ilvl="0">
      <w:lvlJc w:val="left"/>
      <w:lvlText w:val="(%1)"/>
      <w:numFmt w:val="lowerRoman"/>
      <w:start w:val="2"/>
    </w:lvl>
  </w:abstractNum>
  <w:abstractNum w:abstractNumId="5">
    <w:nsid w:val="631B64D4"/>
    <w:multiLevelType w:val="hybridMultilevel"/>
    <w:lvl w:ilvl="0">
      <w:lvlJc w:val="left"/>
      <w:lvlText w:val="(%1)"/>
      <w:numFmt w:val="lowerLetter"/>
      <w:start w:val="1"/>
    </w:lvl>
  </w:abstractNum>
  <w:abstractNum w:abstractNumId="6">
    <w:nsid w:val="78B5E776"/>
    <w:multiLevelType w:val="hybridMultilevel"/>
    <w:lvl w:ilvl="0">
      <w:lvlJc w:val="left"/>
      <w:lvlText w:val="(%1)"/>
      <w:numFmt w:val="lowerLetter"/>
      <w:start w:val="1"/>
    </w:lvl>
  </w:abstractNum>
  <w:abstractNum w:abstractNumId="7">
    <w:nsid w:val="75486E47"/>
    <w:multiLevelType w:val="hybridMultilevel"/>
    <w:lvl w:ilvl="0">
      <w:lvlJc w:val="left"/>
      <w:lvlText w:val="(%1)"/>
      <w:numFmt w:val="lowerLetter"/>
      <w:start w:val="1"/>
    </w:lvl>
  </w:abstractNum>
  <w:abstractNum w:abstractNumId="8">
    <w:nsid w:val="6E534CDE"/>
    <w:multiLevelType w:val="hybridMultilevel"/>
    <w:lvl w:ilvl="0">
      <w:lvlJc w:val="left"/>
      <w:lvlText w:val="(%1)"/>
      <w:numFmt w:val="decimal"/>
      <w:start w:val="4"/>
    </w:lvl>
  </w:abstractNum>
  <w:abstractNum w:abstractNumId="9">
    <w:nsid w:val="1A0DDE32"/>
    <w:multiLevelType w:val="hybridMultilevel"/>
    <w:lvl w:ilvl="0">
      <w:lvlJc w:val="left"/>
      <w:lvlText w:val="(%1)"/>
      <w:numFmt w:val="lowerRoman"/>
      <w:start w:val="5"/>
    </w:lvl>
  </w:abstractNum>
  <w:abstractNum w:abstractNumId="10">
    <w:nsid w:val="65968C1C"/>
    <w:multiLevelType w:val="hybridMultilevel"/>
    <w:lvl w:ilvl="0">
      <w:lvlJc w:val="left"/>
      <w:lvlText w:val="(%1)"/>
      <w:numFmt w:val="lowerLetter"/>
      <w:start w:val="1"/>
    </w:lvl>
  </w:abstractNum>
  <w:abstractNum w:abstractNumId="11">
    <w:nsid w:val="46263DEC"/>
    <w:multiLevelType w:val="hybridMultilevel"/>
    <w:lvl w:ilvl="0">
      <w:lvlJc w:val="left"/>
      <w:lvlText w:val="(%1)"/>
      <w:numFmt w:val="lowerLetter"/>
      <w:start w:val="1"/>
    </w:lvl>
  </w:abstractNum>
  <w:abstractNum w:abstractNumId="12">
    <w:nsid w:val="260D8C4A"/>
    <w:multiLevelType w:val="hybridMultilevel"/>
    <w:lvl w:ilvl="0">
      <w:lvlJc w:val="left"/>
      <w:lvlText w:val="%1"/>
      <w:numFmt w:val="decimal"/>
      <w:start w:val="104"/>
    </w:lvl>
  </w:abstractNum>
  <w:abstractNum w:abstractNumId="13">
    <w:nsid w:val="73D4D3C4"/>
    <w:multiLevelType w:val="hybridMultilevel"/>
    <w:lvl w:ilvl="0">
      <w:lvlJc w:val="left"/>
      <w:lvlText w:val="*"/>
      <w:numFmt w:val="bullet"/>
      <w:start w:val="1"/>
    </w:lvl>
  </w:abstractNum>
  <w:abstractNum w:abstractNumId="14">
    <w:nsid w:val="746F2E30"/>
    <w:multiLevelType w:val="hybridMultilevel"/>
    <w:lvl w:ilvl="0">
      <w:lvlJc w:val="left"/>
      <w:lvlText w:val="**"/>
      <w:numFmt w:val="bullet"/>
      <w:start w:val="1"/>
    </w:lvl>
  </w:abstractNum>
  <w:abstractNum w:abstractNumId="15">
    <w:nsid w:val="6FDE8AF6"/>
    <w:multiLevelType w:val="hybridMultilevel"/>
    <w:lvl w:ilvl="0">
      <w:lvlJc w:val="left"/>
      <w:lvlText w:val="A"/>
      <w:numFmt w:val="bullet"/>
      <w:start w:val="1"/>
    </w:lvl>
  </w:abstractNum>
  <w:abstractNum w:abstractNumId="16">
    <w:nsid w:val="3FC32E20"/>
    <w:multiLevelType w:val="hybridMultilevel"/>
    <w:lvl w:ilvl="0">
      <w:lvlJc w:val="left"/>
      <w:lvlText w:val="B"/>
      <w:numFmt w:val="bullet"/>
      <w:start w:val="1"/>
    </w:lvl>
  </w:abstractNum>
  <w:abstractNum w:abstractNumId="17">
    <w:nsid w:val="49C0E823"/>
    <w:multiLevelType w:val="hybridMultilevel"/>
    <w:lvl w:ilvl="0">
      <w:lvlJc w:val="left"/>
      <w:lvlText w:val="C"/>
      <w:numFmt w:val="bullet"/>
      <w:start w:val="1"/>
    </w:lvl>
  </w:abstractNum>
  <w:abstractNum w:abstractNumId="18">
    <w:nsid w:val="14D53685"/>
    <w:multiLevelType w:val="hybridMultilevel"/>
    <w:lvl w:ilvl="0">
      <w:lvlJc w:val="left"/>
      <w:lvlText w:val="D"/>
      <w:numFmt w:val="bullet"/>
      <w:start w:val="1"/>
    </w:lvl>
  </w:abstractNum>
  <w:abstractNum w:abstractNumId="19">
    <w:nsid w:val="230F856C"/>
    <w:multiLevelType w:val="hybridMultilevel"/>
    <w:lvl w:ilvl="0">
      <w:lvlJc w:val="left"/>
      <w:lvlText w:val="E"/>
      <w:numFmt w:val="bullet"/>
      <w:start w:val="1"/>
    </w:lvl>
  </w:abstractNum>
  <w:abstractNum w:abstractNumId="20">
    <w:nsid w:val="6EAA85FB"/>
    <w:multiLevelType w:val="hybridMultilevel"/>
    <w:lvl w:ilvl="0">
      <w:lvlJc w:val="left"/>
      <w:lvlText w:val="G"/>
      <w:numFmt w:val="bullet"/>
      <w:start w:val="1"/>
    </w:lvl>
  </w:abstractNum>
  <w:abstractNum w:abstractNumId="21">
    <w:nsid w:val="3F06ECB2"/>
    <w:multiLevelType w:val="hybridMultilevel"/>
    <w:lvl w:ilvl="0">
      <w:lvlJc w:val="left"/>
      <w:lvlText w:val="H"/>
      <w:numFmt w:val="bullet"/>
      <w:start w:val="1"/>
    </w:lvl>
  </w:abstractNum>
  <w:abstractNum w:abstractNumId="22">
    <w:nsid w:val="3B594807"/>
    <w:multiLevelType w:val="hybridMultilevel"/>
    <w:lvl w:ilvl="0">
      <w:lvlJc w:val="left"/>
      <w:lvlText w:val="(%1)"/>
      <w:numFmt w:val="lowerLetter"/>
      <w:start w:val="1"/>
    </w:lvl>
  </w:abstractNum>
  <w:abstractNum w:abstractNumId="23">
    <w:nsid w:val="6CAA2304"/>
    <w:multiLevelType w:val="hybridMultilevel"/>
    <w:lvl w:ilvl="0">
      <w:lvlJc w:val="left"/>
      <w:lvlText w:val="(%1)"/>
      <w:numFmt w:val="lowerLetter"/>
      <w:start w:val="2"/>
    </w:lvl>
  </w:abstractNum>
  <w:abstractNum w:abstractNumId="24">
    <w:nsid w:val="3F7C2FF4"/>
    <w:multiLevelType w:val="hybridMultilevel"/>
    <w:lvl w:ilvl="0">
      <w:lvlJc w:val="left"/>
      <w:lvlText w:val="(%1)"/>
      <w:numFmt w:val="lowerLetter"/>
      <w:start w:val="1"/>
    </w:lvl>
  </w:abstractNum>
  <w:abstractNum w:abstractNumId="25">
    <w:nsid w:val="25413BEC"/>
    <w:multiLevelType w:val="hybridMultilevel"/>
    <w:lvl w:ilvl="0">
      <w:lvlJc w:val="left"/>
      <w:lvlText w:val="(%1)"/>
      <w:numFmt w:val="lowerLetter"/>
      <w:start w:val="1"/>
    </w:lvl>
  </w:abstractNum>
  <w:abstractNum w:abstractNumId="26">
    <w:nsid w:val="17180B0B"/>
    <w:multiLevelType w:val="hybridMultilevel"/>
    <w:lvl w:ilvl="0">
      <w:lvlJc w:val="left"/>
      <w:lvlText w:val="%1"/>
      <w:numFmt w:val="lowerLetter"/>
      <w:start w:val="1"/>
    </w:lvl>
    <w:lvl w:ilvl="1">
      <w:lvlJc w:val="left"/>
      <w:lvlText w:val="(%2)"/>
      <w:numFmt w:val="lowerLetter"/>
      <w:start w:val="1"/>
    </w:lvl>
  </w:abstractNum>
  <w:abstractNum w:abstractNumId="27">
    <w:nsid w:val="579328B9"/>
    <w:multiLevelType w:val="hybridMultilevel"/>
    <w:lvl w:ilvl="0">
      <w:lvlJc w:val="left"/>
      <w:lvlText w:val="(%1)"/>
      <w:numFmt w:val="lowerLetter"/>
      <w:start w:val="61"/>
    </w:lvl>
    <w:lvl w:ilvl="1">
      <w:lvlJc w:val="left"/>
      <w:lvlText w:val="(%2)"/>
      <w:numFmt w:val="lowerLetter"/>
      <w:start w:val="2"/>
    </w:lvl>
  </w:abstractNum>
  <w:abstractNum w:abstractNumId="28">
    <w:nsid w:val="5D205E20"/>
    <w:multiLevelType w:val="hybridMultilevel"/>
    <w:lvl w:ilvl="0">
      <w:lvlJc w:val="left"/>
      <w:lvlText w:val="%1"/>
      <w:numFmt w:val="lowerLetter"/>
      <w:start w:val="1"/>
    </w:lvl>
    <w:lvl w:ilvl="1">
      <w:lvlJc w:val="left"/>
      <w:lvlText w:val="(%2)"/>
      <w:numFmt w:val="lowerLetter"/>
      <w:start w:val="4"/>
    </w:lvl>
  </w:abstractNum>
  <w:abstractNum w:abstractNumId="29">
    <w:nsid w:val="11CCA8BA"/>
    <w:multiLevelType w:val="hybridMultilevel"/>
    <w:lvl w:ilvl="0">
      <w:lvlJc w:val="left"/>
      <w:lvlText w:val="(%1)"/>
      <w:numFmt w:val="lowerLetter"/>
      <w:start w:val="2"/>
    </w:lvl>
    <w:lvl w:ilvl="1">
      <w:lvlJc w:val="left"/>
      <w:lvlText w:val="(%2)"/>
      <w:numFmt w:val="lowerLetter"/>
      <w:start w:val="5"/>
    </w:lvl>
  </w:abstractNum>
  <w:abstractNum w:abstractNumId="30">
    <w:nsid w:val="4D32AB86"/>
    <w:multiLevelType w:val="hybridMultilevel"/>
    <w:lvl w:ilvl="0">
      <w:lvlJc w:val="left"/>
      <w:lvlText w:val="%1"/>
      <w:numFmt w:val="lowerLetter"/>
      <w:start w:val="1"/>
    </w:lvl>
    <w:lvl w:ilvl="1">
      <w:lvlJc w:val="left"/>
      <w:lvlText w:val="(%2)"/>
      <w:numFmt w:val="lowerLetter"/>
      <w:start w:val="1"/>
    </w:lvl>
  </w:abstractNum>
  <w:abstractNum w:abstractNumId="31">
    <w:nsid w:val="3F07ACC3"/>
    <w:multiLevelType w:val="hybridMultilevel"/>
    <w:lvl w:ilvl="0">
      <w:lvlJc w:val="left"/>
      <w:lvlText w:val="(%1)"/>
      <w:numFmt w:val="lowerLetter"/>
      <w:start w:val="2"/>
    </w:lvl>
    <w:lvl w:ilvl="1">
      <w:lvlJc w:val="left"/>
      <w:lvlText w:val="%2"/>
      <w:numFmt w:val="lowerLetter"/>
      <w:start w:val="1"/>
    </w:lvl>
  </w:abstractNum>
  <w:abstractNum w:abstractNumId="32">
    <w:nsid w:val="6B47F63E"/>
    <w:multiLevelType w:val="hybridMultilevel"/>
    <w:lvl w:ilvl="0">
      <w:lvlJc w:val="left"/>
      <w:lvlText w:val="(%1)"/>
      <w:numFmt w:val="lowerLetter"/>
      <w:start w:val="61"/>
    </w:lvl>
    <w:lvl w:ilvl="1">
      <w:lvlJc w:val="left"/>
      <w:lvlText w:val="(%2)"/>
      <w:numFmt w:val="lowerLetter"/>
      <w:start w:val="4"/>
    </w:lvl>
  </w:abstractNum>
  <w:abstractNum w:abstractNumId="33">
    <w:nsid w:val="5CB44A05"/>
    <w:multiLevelType w:val="hybridMultilevel"/>
    <w:lvl w:ilvl="0">
      <w:lvlJc w:val="left"/>
      <w:lvlText w:val="(%1)"/>
      <w:numFmt w:val="lowerLetter"/>
      <w:start w:val="2"/>
    </w:lvl>
    <w:lvl w:ilvl="1">
      <w:lvlJc w:val="left"/>
      <w:lvlText w:val="(%2)"/>
      <w:numFmt w:val="lowerLetter"/>
      <w:start w:val="5"/>
    </w:lvl>
  </w:abstractNum>
  <w:abstractNum w:abstractNumId="34">
    <w:nsid w:val="16CF80F1"/>
    <w:multiLevelType w:val="hybridMultilevel"/>
    <w:lvl w:ilvl="0">
      <w:lvlJc w:val="left"/>
      <w:lvlText w:val="(%1)"/>
      <w:numFmt w:val="lowerLetter"/>
      <w:start w:val="1"/>
    </w:lvl>
  </w:abstractNum>
  <w:abstractNum w:abstractNumId="35">
    <w:nsid w:val="1C695DEC"/>
    <w:multiLevelType w:val="hybridMultilevel"/>
    <w:lvl w:ilvl="0">
      <w:lvlJc w:val="left"/>
      <w:lvlText w:val="(%1)"/>
      <w:numFmt w:val="lowerRoman"/>
      <w:start w:val="7"/>
    </w:lvl>
  </w:abstractNum>
  <w:abstractNum w:abstractNumId="36">
    <w:nsid w:val="3FCFAED9"/>
    <w:multiLevelType w:val="hybridMultilevel"/>
    <w:lvl w:ilvl="0">
      <w:lvlJc w:val="left"/>
      <w:lvlText w:val="(%1)"/>
      <w:numFmt w:val="lowerLetter"/>
      <w:start w:val="1"/>
    </w:lvl>
  </w:abstractNum>
  <w:abstractNum w:abstractNumId="37">
    <w:nsid w:val="F856867"/>
    <w:multiLevelType w:val="hybridMultilevel"/>
    <w:lvl w:ilvl="0">
      <w:lvlJc w:val="left"/>
      <w:lvlText w:val="(%1)"/>
      <w:numFmt w:val="lowerLetter"/>
      <w:start w:val="3"/>
    </w:lvl>
  </w:abstractNum>
  <w:abstractNum w:abstractNumId="38">
    <w:nsid w:val="11B1CC33"/>
    <w:multiLevelType w:val="hybridMultilevel"/>
    <w:lvl w:ilvl="0">
      <w:lvlJc w:val="left"/>
      <w:lvlText w:val="(%1)"/>
      <w:numFmt w:val="lowerLetter"/>
      <w:start w:val="1"/>
    </w:lvl>
    <w:lvl w:ilvl="1">
      <w:lvlJc w:val="left"/>
      <w:lvlText w:val="(%2)"/>
      <w:numFmt w:val="lowerLetter"/>
      <w:start w:val="9"/>
    </w:lvl>
  </w:abstractNum>
  <w:abstractNum w:abstractNumId="39">
    <w:nsid w:val="2E22FBB7"/>
    <w:multiLevelType w:val="hybridMultilevel"/>
    <w:lvl w:ilvl="0">
      <w:lvlJc w:val="left"/>
      <w:lvlText w:val="%1"/>
      <w:numFmt w:val="lowerLetter"/>
      <w:start w:val="1"/>
    </w:lvl>
    <w:lvl w:ilvl="1">
      <w:lvlJc w:val="left"/>
      <w:lvlText w:val="(%2)"/>
      <w:numFmt w:val="lowerRoman"/>
      <w:start w:val="2"/>
    </w:lvl>
  </w:abstractNum>
  <w:abstractNum w:abstractNumId="40">
    <w:nsid w:val="29934699"/>
    <w:multiLevelType w:val="hybridMultilevel"/>
    <w:lvl w:ilvl="0">
      <w:lvlJc w:val="left"/>
      <w:lvlText w:val="(%1)"/>
      <w:numFmt w:val="lowerLetter"/>
      <w:start w:val="2"/>
    </w:lvl>
    <w:lvl w:ilvl="1">
      <w:lvlJc w:val="left"/>
      <w:lvlText w:val="%2"/>
      <w:numFmt w:val="lowerRoman"/>
      <w:start w:val="1"/>
    </w:lvl>
  </w:abstractNum>
  <w:abstractNum w:abstractNumId="41">
    <w:nsid w:val="77485850"/>
    <w:multiLevelType w:val="hybridMultilevel"/>
    <w:lvl w:ilvl="0">
      <w:lvlJc w:val="left"/>
      <w:lvlText w:val="(%1)"/>
      <w:numFmt w:val="lowerLetter"/>
      <w:start w:val="1"/>
    </w:lvl>
  </w:abstractNum>
  <w:abstractNum w:abstractNumId="42">
    <w:nsid w:val="744939A3"/>
    <w:multiLevelType w:val="hybridMultilevel"/>
    <w:lvl w:ilvl="0">
      <w:lvlJc w:val="left"/>
      <w:lvlText w:val="(%1)"/>
      <w:numFmt w:val="lowerLetter"/>
      <w:start w:val="5"/>
    </w:lvl>
  </w:abstractNum>
  <w:abstractNum w:abstractNumId="43">
    <w:nsid w:val="4FA0D2E3"/>
    <w:multiLevelType w:val="hybridMultilevel"/>
    <w:lvl w:ilvl="0">
      <w:lvlJc w:val="left"/>
      <w:lvlText w:val="(%1)"/>
      <w:numFmt w:val="lowerRoman"/>
      <w:start w:val="1"/>
    </w:lvl>
  </w:abstractNum>
  <w:abstractNum w:abstractNumId="44">
    <w:nsid w:val="6B1D2C14"/>
    <w:multiLevelType w:val="hybridMultilevel"/>
    <w:lvl w:ilvl="0">
      <w:lvlJc w:val="left"/>
      <w:lvlText w:val="(%1)"/>
      <w:numFmt w:val="lowerRoman"/>
      <w:start w:val="3"/>
    </w:lvl>
  </w:abstractNum>
  <w:abstractNum w:abstractNumId="45">
    <w:nsid w:val="68B867D3"/>
    <w:multiLevelType w:val="hybridMultilevel"/>
    <w:lvl w:ilvl="0">
      <w:lvlJc w:val="left"/>
      <w:lvlText w:val="(%1)"/>
      <w:numFmt w:val="lowerLetter"/>
      <w:start w:val="1"/>
    </w:lvl>
  </w:abstractNum>
  <w:abstractNum w:abstractNumId="46">
    <w:nsid w:val="3F7F5DD9"/>
    <w:multiLevelType w:val="hybridMultilevel"/>
    <w:lvl w:ilvl="0">
      <w:lvlJc w:val="left"/>
      <w:lvlText w:val="(%1)"/>
      <w:numFmt w:val="lowerLetter"/>
      <w:start w:val="3"/>
    </w:lvl>
  </w:abstractNum>
  <w:abstractNum w:abstractNumId="47">
    <w:nsid w:val="2AE05A34"/>
    <w:multiLevelType w:val="hybridMultilevel"/>
    <w:lvl w:ilvl="0">
      <w:lvlJc w:val="left"/>
      <w:lvlText w:val="(%1)"/>
      <w:numFmt w:val="lowerRoman"/>
      <w:start w:val="3"/>
    </w:lvl>
  </w:abstractNum>
  <w:abstractNum w:abstractNumId="48">
    <w:nsid w:val="32794FF7"/>
    <w:multiLevelType w:val="hybridMultilevel"/>
    <w:lvl w:ilvl="0">
      <w:lvlJc w:val="left"/>
      <w:lvlText w:val="(%1)"/>
      <w:numFmt w:val="lowerLetter"/>
      <w:start w:val="1"/>
    </w:lvl>
  </w:abstractNum>
  <w:abstractNum w:abstractNumId="49">
    <w:nsid w:val="5454945E"/>
    <w:multiLevelType w:val="hybridMultilevel"/>
    <w:lvl w:ilvl="0">
      <w:lvlJc w:val="left"/>
      <w:lvlText w:val="(%1)"/>
      <w:numFmt w:val="lowerLetter"/>
      <w:start w:val="2"/>
    </w:lvl>
  </w:abstractNum>
  <w:abstractNum w:abstractNumId="50">
    <w:nsid w:val="4DEFDFA0"/>
    <w:multiLevelType w:val="hybridMultilevel"/>
    <w:lvl w:ilvl="0">
      <w:lvlJc w:val="left"/>
      <w:lvlText w:val="(%1)"/>
      <w:numFmt w:val="lowerLetter"/>
      <w:start w:val="1"/>
    </w:lvl>
  </w:abstractNum>
  <w:abstractNum w:abstractNumId="51">
    <w:nsid w:val="2123D5F2"/>
    <w:multiLevelType w:val="hybridMultilevel"/>
    <w:lvl w:ilvl="0">
      <w:lvlJc w:val="left"/>
      <w:lvlText w:val="(%1)"/>
      <w:numFmt w:val="lowerLetter"/>
      <w:start w:val="2"/>
    </w:lvl>
  </w:abstractNum>
  <w:abstractNum w:abstractNumId="52">
    <w:nsid w:val="135B8110"/>
    <w:multiLevelType w:val="hybridMultilevel"/>
    <w:lvl w:ilvl="0">
      <w:lvlJc w:val="left"/>
      <w:lvlText w:val="(%1)"/>
      <w:numFmt w:val="lowerLetter"/>
      <w:start w:val="2"/>
    </w:lvl>
  </w:abstractNum>
  <w:abstractNum w:abstractNumId="53">
    <w:nsid w:val="94927A8"/>
    <w:multiLevelType w:val="hybridMultilevel"/>
    <w:lvl w:ilvl="0">
      <w:lvlJc w:val="left"/>
      <w:lvlText w:val="(%1)"/>
      <w:numFmt w:val="lowerLetter"/>
      <w:start w:val="3"/>
    </w:lvl>
  </w:abstractNum>
  <w:abstractNum w:abstractNumId="54">
    <w:nsid w:val="DCDF8F6"/>
    <w:multiLevelType w:val="hybridMultilevel"/>
    <w:lvl w:ilvl="0">
      <w:lvlJc w:val="left"/>
      <w:lvlText w:val="(%1)"/>
      <w:numFmt w:val="lowerLetter"/>
      <w:start w:val="2"/>
    </w:lvl>
  </w:abstractNum>
  <w:abstractNum w:abstractNumId="55">
    <w:nsid w:val="52D7B105"/>
    <w:multiLevelType w:val="hybridMultilevel"/>
    <w:lvl w:ilvl="0">
      <w:lvlJc w:val="left"/>
      <w:lvlText w:val="(%1)"/>
      <w:numFmt w:val="lowerLetter"/>
      <w:start w:val="1"/>
    </w:lvl>
  </w:abstractNum>
  <w:abstractNum w:abstractNumId="56">
    <w:nsid w:val="2E8A6394"/>
    <w:multiLevelType w:val="hybridMultilevel"/>
    <w:lvl w:ilvl="0">
      <w:lvlJc w:val="left"/>
      <w:lvlText w:val="%1"/>
      <w:numFmt w:val="upperLetter"/>
      <w:start w:val="1"/>
    </w:lvl>
    <w:lvl w:ilvl="1">
      <w:lvlJc w:val="left"/>
      <w:lvlText w:val="(%2)"/>
      <w:numFmt w:val="lowerLetter"/>
      <w:start w:val="2"/>
    </w:lvl>
  </w:abstractNum>
  <w:abstractNum w:abstractNumId="57">
    <w:nsid w:val="24E60401"/>
    <w:multiLevelType w:val="hybridMultilevel"/>
    <w:lvl w:ilvl="0">
      <w:lvlJc w:val="left"/>
      <w:lvlText w:val="(%1)"/>
      <w:numFmt w:val="upperLetter"/>
      <w:start w:val="61"/>
    </w:lvl>
    <w:lvl w:ilvl="1">
      <w:lvlJc w:val="left"/>
      <w:lvlText w:val="(%2)"/>
      <w:numFmt w:val="lowerLetter"/>
      <w:start w:val="3"/>
    </w:lvl>
  </w:abstractNum>
  <w:abstractNum w:abstractNumId="58">
    <w:nsid w:val="2A6AD9BE"/>
    <w:multiLevelType w:val="hybridMultilevel"/>
    <w:lvl w:ilvl="0">
      <w:lvlJc w:val="left"/>
      <w:lvlText w:val="(%1)"/>
      <w:numFmt w:val="lowerLetter"/>
      <w:start w:val="4"/>
    </w:lvl>
  </w:abstractNum>
  <w:abstractNum w:abstractNumId="59">
    <w:nsid w:val="BAAC1B4"/>
    <w:multiLevelType w:val="hybridMultilevel"/>
    <w:lvl w:ilvl="0">
      <w:lvlJc w:val="left"/>
      <w:lvlText w:val="%1"/>
      <w:numFmt w:val="lowerLetter"/>
      <w:start w:val="1"/>
    </w:lvl>
    <w:lvl w:ilvl="1">
      <w:lvlJc w:val="left"/>
      <w:lvlText w:val="(%2)"/>
      <w:numFmt w:val="lowerLetter"/>
      <w:start w:val="1"/>
    </w:lvl>
  </w:abstractNum>
  <w:abstractNum w:abstractNumId="60">
    <w:nsid w:val="36B2ACBC"/>
    <w:multiLevelType w:val="hybridMultilevel"/>
    <w:lvl w:ilvl="0">
      <w:lvlJc w:val="left"/>
      <w:lvlText w:val="(%1)"/>
      <w:numFmt w:val="lowerLetter"/>
      <w:start w:val="35"/>
    </w:lvl>
    <w:lvl w:ilvl="1">
      <w:lvlJc w:val="left"/>
      <w:lvlText w:val="(%2)"/>
      <w:numFmt w:val="lowerLetter"/>
      <w:start w:val="3"/>
    </w:lvl>
  </w:abstractNum>
  <w:abstractNum w:abstractNumId="61">
    <w:nsid w:val="779D8544"/>
    <w:multiLevelType w:val="hybridMultilevel"/>
    <w:lvl w:ilvl="0">
      <w:lvlJc w:val="left"/>
      <w:lvlText w:val="(%1)"/>
      <w:numFmt w:val="lowerLetter"/>
      <w:start w:val="1"/>
    </w:lvl>
  </w:abstractNum>
  <w:abstractNum w:abstractNumId="62">
    <w:nsid w:val="4AB26E78"/>
    <w:multiLevelType w:val="hybridMultilevel"/>
    <w:lvl w:ilvl="0">
      <w:lvlJc w:val="left"/>
      <w:lvlText w:val="%1"/>
      <w:numFmt w:val="decimal"/>
      <w:start w:val="1"/>
    </w:lvl>
    <w:lvl w:ilvl="1">
      <w:lvlJc w:val="left"/>
      <w:lvlText w:val="(%2)"/>
      <w:numFmt w:val="lowerLetter"/>
      <w:start w:val="2"/>
    </w:lvl>
  </w:abstractNum>
  <w:abstractNum w:abstractNumId="63">
    <w:nsid w:val="21FAA2FA"/>
    <w:multiLevelType w:val="hybridMultilevel"/>
    <w:lvl w:ilvl="0">
      <w:lvlJc w:val="left"/>
      <w:lvlText w:val="(%1)"/>
      <w:numFmt w:val="decimal"/>
      <w:start w:val="15"/>
    </w:lvl>
    <w:lvl w:ilvl="1">
      <w:lvlJc w:val="left"/>
      <w:lvlText w:val="%2"/>
      <w:numFmt w:val="lowerLetter"/>
      <w:start w:val="1"/>
    </w:lvl>
  </w:abstractNum>
  <w:abstractNum w:abstractNumId="64">
    <w:nsid w:val="5451CF49"/>
    <w:multiLevelType w:val="hybridMultilevel"/>
    <w:lvl w:ilvl="0">
      <w:lvlJc w:val="left"/>
      <w:lvlText w:val="(%1)"/>
      <w:numFmt w:val="lowerLetter"/>
      <w:start w:val="6"/>
    </w:lvl>
  </w:abstractNum>
  <w:abstractNum w:abstractNumId="65">
    <w:nsid w:val="6181EF69"/>
    <w:multiLevelType w:val="hybridMultilevel"/>
    <w:lvl w:ilvl="0">
      <w:lvlJc w:val="left"/>
      <w:lvlText w:val="(%1)"/>
      <w:numFmt w:val="lowerLetter"/>
      <w:start w:val="1"/>
    </w:lvl>
    <w:lvl w:ilvl="1">
      <w:lvlJc w:val="left"/>
      <w:lvlText w:val="(%2)"/>
      <w:numFmt w:val="lowerLetter"/>
      <w:start w:val="9"/>
    </w:lvl>
  </w:abstractNum>
  <w:abstractNum w:abstractNumId="66">
    <w:nsid w:val="3E6400E6"/>
    <w:multiLevelType w:val="hybridMultilevel"/>
    <w:lvl w:ilvl="0">
      <w:lvlJc w:val="left"/>
      <w:lvlText w:val="(%1)"/>
      <w:numFmt w:val="lowerRoman"/>
      <w:start w:val="2"/>
    </w:lvl>
    <w:lvl w:ilvl="1">
      <w:lvlJc w:val="left"/>
      <w:lvlText w:val="(%2)"/>
      <w:numFmt w:val="upperLetter"/>
      <w:start w:val="1"/>
    </w:lvl>
  </w:abstractNum>
  <w:abstractNum w:abstractNumId="67">
    <w:nsid w:val="14217E23"/>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5"/>
    </w:lvl>
  </w:abstractNum>
  <w:abstractNum w:abstractNumId="68">
    <w:nsid w:val="710757D0"/>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69">
    <w:nsid w:val="5015CD1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70">
    <w:nsid w:val="424479DA"/>
    <w:multiLevelType w:val="hybridMultilevel"/>
    <w:lvl w:ilvl="0">
      <w:lvlJc w:val="left"/>
      <w:lvlText w:val="(%1)"/>
      <w:numFmt w:val="lowerLetter"/>
      <w:start w:val="2"/>
    </w:lvl>
    <w:lvl w:ilvl="1">
      <w:lvlJc w:val="left"/>
      <w:lvlText w:val="(%2)"/>
      <w:numFmt w:val="lowerLetter"/>
      <w:start w:val="9"/>
    </w:lvl>
  </w:abstractNum>
  <w:abstractNum w:abstractNumId="71">
    <w:nsid w:val="1A9A9E69"/>
    <w:multiLevelType w:val="hybridMultilevel"/>
    <w:lvl w:ilvl="0">
      <w:lvlJc w:val="left"/>
      <w:lvlText w:val="(%1)"/>
      <w:numFmt w:val="upperLetter"/>
      <w:start w:val="2"/>
    </w:lvl>
    <w:lvl w:ilvl="1">
      <w:lvlJc w:val="left"/>
      <w:lvlText w:val="%2"/>
      <w:numFmt w:val="lowerRoman"/>
      <w:start w:val="1"/>
    </w:lvl>
  </w:abstractNum>
  <w:abstractNum w:abstractNumId="72">
    <w:nsid w:val="475E256A"/>
    <w:multiLevelType w:val="hybridMultilevel"/>
    <w:lvl w:ilvl="0">
      <w:lvlJc w:val="left"/>
      <w:lvlText w:val="(%1)"/>
      <w:numFmt w:val="upperLetter"/>
      <w:start w:val="8"/>
    </w:lvl>
    <w:lvl w:ilvl="1">
      <w:lvlJc w:val="left"/>
      <w:lvlText w:val="(%2)"/>
      <w:numFmt w:val="lowerRoman"/>
      <w:start w:val="2"/>
    </w:lvl>
  </w:abstractNum>
  <w:abstractNum w:abstractNumId="73">
    <w:nsid w:val="368DB37E"/>
    <w:multiLevelType w:val="hybridMultilevel"/>
    <w:lvl w:ilvl="0">
      <w:lvlJc w:val="left"/>
      <w:lvlText w:val="%1"/>
      <w:numFmt w:val="lowerLetter"/>
      <w:start w:val="1"/>
    </w:lvl>
    <w:lvl w:ilvl="1">
      <w:lvlJc w:val="left"/>
      <w:lvlText w:val="(%2)"/>
      <w:numFmt w:val="lowerRoman"/>
      <w:start w:val="4"/>
    </w:lvl>
  </w:abstractNum>
  <w:abstractNum w:abstractNumId="74">
    <w:nsid w:val="6A3B714C"/>
    <w:multiLevelType w:val="hybridMultilevel"/>
    <w:lvl w:ilvl="0">
      <w:lvlJc w:val="left"/>
      <w:lvlText w:val="(%1)"/>
      <w:numFmt w:val="lowerLetter"/>
      <w:start w:val="3"/>
    </w:lvl>
    <w:lvl w:ilvl="1">
      <w:lvlJc w:val="left"/>
      <w:lvlText w:val="(%2)"/>
      <w:numFmt w:val="lowerRoman"/>
      <w:start w:val="1"/>
    </w:lvl>
  </w:abstractNum>
  <w:abstractNum w:abstractNumId="75">
    <w:nsid w:val="327B517E"/>
    <w:multiLevelType w:val="hybridMultilevel"/>
    <w:lvl w:ilvl="0">
      <w:lvlJc w:val="left"/>
      <w:lvlText w:val="%1"/>
      <w:numFmt w:val="lowerLetter"/>
      <w:start w:val="1"/>
    </w:lvl>
    <w:lvl w:ilvl="1">
      <w:lvlJc w:val="left"/>
      <w:lvlText w:val="(%2)"/>
      <w:numFmt w:val="lowerLetter"/>
      <w:start w:val="61"/>
    </w:lvl>
  </w:abstractNum>
  <w:abstractNum w:abstractNumId="76">
    <w:nsid w:val="1F461B51"/>
    <w:multiLevelType w:val="hybridMultilevel"/>
    <w:lvl w:ilvl="0">
      <w:lvlJc w:val="left"/>
      <w:lvlText w:val="(%1)"/>
      <w:numFmt w:val="lowerLetter"/>
      <w:start w:val="4"/>
    </w:lvl>
    <w:lvl w:ilvl="1">
      <w:lvlJc w:val="left"/>
      <w:lvlText w:val="(%2)"/>
      <w:numFmt w:val="lowerLetter"/>
      <w:start w:val="9"/>
    </w:lvl>
  </w:abstractNum>
  <w:abstractNum w:abstractNumId="77">
    <w:nsid w:val="29BACF25"/>
    <w:multiLevelType w:val="hybridMultilevel"/>
    <w:lvl w:ilvl="0">
      <w:lvlJc w:val="left"/>
      <w:lvlText w:val="(%1)"/>
      <w:numFmt w:val="lowerRoman"/>
      <w:start w:val="2"/>
    </w:lvl>
  </w:abstractNum>
  <w:abstractNum w:abstractNumId="78">
    <w:nsid w:val="5D5BABB3"/>
    <w:multiLevelType w:val="hybridMultilevel"/>
    <w:lvl w:ilvl="0">
      <w:lvlJc w:val="left"/>
      <w:lvlText w:val="%1"/>
      <w:numFmt w:val="lowerLetter"/>
      <w:start w:val="1"/>
    </w:lvl>
    <w:lvl w:ilvl="1">
      <w:lvlJc w:val="left"/>
      <w:lvlText w:val="(%2)"/>
      <w:numFmt w:val="lowerRoman"/>
      <w:start w:val="6"/>
    </w:lvl>
  </w:abstractNum>
  <w:abstractNum w:abstractNumId="79">
    <w:nsid w:val="51BF6B48"/>
    <w:multiLevelType w:val="hybridMultilevel"/>
    <w:lvl w:ilvl="0">
      <w:lvlJc w:val="left"/>
      <w:lvlText w:val="(%1)"/>
      <w:numFmt w:val="lowerLetter"/>
      <w:start w:val="5"/>
    </w:lvl>
    <w:lvl w:ilvl="1">
      <w:lvlJc w:val="left"/>
      <w:lvlText w:val="(%2)"/>
      <w:numFmt w:val="lowerRoman"/>
      <w:start w:val="1"/>
    </w:lvl>
  </w:abstractNum>
  <w:abstractNum w:abstractNumId="80">
    <w:nsid w:val="7E0F6384"/>
    <w:multiLevelType w:val="hybridMultilevel"/>
    <w:lvl w:ilvl="0">
      <w:lvlJc w:val="left"/>
      <w:lvlText w:val="(%1)"/>
      <w:numFmt w:val="lowerLetter"/>
      <w:start w:val="6"/>
    </w:lvl>
    <w:lvl w:ilvl="1">
      <w:lvlJc w:val="left"/>
      <w:lvlText w:val="(%2)"/>
      <w:numFmt w:val="lowerRoman"/>
      <w:start w:val="1"/>
    </w:lvl>
  </w:abstractNum>
  <w:abstractNum w:abstractNumId="81">
    <w:nsid w:val="2B4B8B53"/>
    <w:multiLevelType w:val="hybridMultilevel"/>
    <w:lvl w:ilvl="0">
      <w:lvlJc w:val="left"/>
      <w:lvlText w:val="(%1)"/>
      <w:numFmt w:val="lowerRoman"/>
      <w:start w:val="8"/>
    </w:lvl>
  </w:abstractNum>
  <w:abstractNum w:abstractNumId="82">
    <w:nsid w:val="72E3413A"/>
    <w:multiLevelType w:val="hybridMultilevel"/>
    <w:lvl w:ilvl="0">
      <w:lvlJc w:val="left"/>
      <w:lvlText w:val="%1"/>
      <w:numFmt w:val="lowerLetter"/>
      <w:start w:val="1"/>
    </w:lvl>
    <w:lvl w:ilvl="1">
      <w:lvlJc w:val="left"/>
      <w:lvlText w:val="(%2)"/>
      <w:numFmt w:val="lowerLetter"/>
      <w:start w:val="7"/>
    </w:lvl>
  </w:abstractNum>
  <w:abstractNum w:abstractNumId="83">
    <w:nsid w:val="116AE494"/>
    <w:multiLevelType w:val="hybridMultilevel"/>
    <w:lvl w:ilvl="0">
      <w:lvlJc w:val="left"/>
      <w:lvlText w:val="(%1)"/>
      <w:numFmt w:val="lowerLetter"/>
      <w:start w:val="61"/>
    </w:lvl>
    <w:lvl w:ilvl="1">
      <w:lvlJc w:val="left"/>
      <w:lvlText w:val="%2"/>
      <w:numFmt w:val="lowerLetter"/>
      <w:start w:val="1"/>
    </w:lvl>
  </w:abstractNum>
  <w:abstractNum w:abstractNumId="84">
    <w:nsid w:val="3494B2FB"/>
    <w:multiLevelType w:val="hybridMultilevel"/>
    <w:lvl w:ilvl="0">
      <w:lvlJc w:val="left"/>
      <w:lvlText w:val="(%1)"/>
      <w:numFmt w:val="lowerLetter"/>
      <w:start w:val="8"/>
    </w:lvl>
  </w:abstractNum>
  <w:abstractNum w:abstractNumId="85">
    <w:nsid w:val="B13A31"/>
    <w:multiLevelType w:val="hybridMultilevel"/>
    <w:lvl w:ilvl="0">
      <w:lvlJc w:val="left"/>
      <w:lvlText w:val="(%1)"/>
      <w:numFmt w:val="lowerLetter"/>
      <w:start w:val="11"/>
    </w:lvl>
  </w:abstractNum>
  <w:abstractNum w:abstractNumId="86">
    <w:nsid w:val="64429599"/>
    <w:multiLevelType w:val="hybridMultilevel"/>
    <w:lvl w:ilvl="0">
      <w:lvlJc w:val="left"/>
      <w:lvlText w:val="(%1)"/>
      <w:numFmt w:val="lowerLetter"/>
      <w:start w:val="1"/>
    </w:lvl>
  </w:abstractNum>
  <w:abstractNum w:abstractNumId="87">
    <w:nsid w:val="631F1690"/>
    <w:multiLevelType w:val="hybridMultilevel"/>
    <w:lvl w:ilvl="0">
      <w:lvlJc w:val="left"/>
      <w:lvlText w:val="(%1)"/>
      <w:numFmt w:val="lowerLetter"/>
      <w:start w:val="3"/>
    </w:lvl>
    <w:lvl w:ilvl="1">
      <w:lvlJc w:val="left"/>
      <w:lvlText w:val="(%2)"/>
      <w:numFmt w:val="lowerRoman"/>
      <w:start w:val="1"/>
    </w:lvl>
  </w:abstractNum>
  <w:abstractNum w:abstractNumId="88">
    <w:nsid w:val="25973E32"/>
    <w:multiLevelType w:val="hybridMultilevel"/>
    <w:lvl w:ilvl="0">
      <w:lvlJc w:val="left"/>
      <w:lvlText w:val="%1"/>
      <w:numFmt w:val="lowerLetter"/>
      <w:start w:val="1"/>
    </w:lvl>
    <w:lvl w:ilvl="1">
      <w:lvlJc w:val="left"/>
      <w:lvlText w:val="(%2)"/>
      <w:numFmt w:val="lowerRoman"/>
      <w:start w:val="4"/>
    </w:lvl>
  </w:abstractNum>
  <w:abstractNum w:abstractNumId="89">
    <w:nsid w:val="EAD6F57"/>
    <w:multiLevelType w:val="hybridMultilevel"/>
    <w:lvl w:ilvl="0">
      <w:lvlJc w:val="left"/>
      <w:lvlText w:val="(%1)"/>
      <w:numFmt w:val="lowerLetter"/>
      <w:start w:val="4"/>
    </w:lvl>
    <w:lvl w:ilvl="1">
      <w:lvlJc w:val="left"/>
      <w:lvlText w:val="(%2)"/>
      <w:numFmt w:val="lowerRoman"/>
      <w:start w:val="1"/>
    </w:lvl>
  </w:abstractNum>
  <w:abstractNum w:abstractNumId="90">
    <w:nsid w:val="6EC9D844"/>
    <w:multiLevelType w:val="hybridMultilevel"/>
    <w:lvl w:ilvl="0">
      <w:lvlJc w:val="left"/>
      <w:lvlText w:val="(%1)"/>
      <w:numFmt w:val="lowerLetter"/>
      <w:start w:val="2"/>
    </w:lvl>
  </w:abstractNum>
  <w:abstractNum w:abstractNumId="91">
    <w:nsid w:val="5C49EAEE"/>
    <w:multiLevelType w:val="hybridMultilevel"/>
    <w:lvl w:ilvl="0">
      <w:lvlJc w:val="left"/>
      <w:lvlText w:val="%1"/>
      <w:numFmt w:val="lowerLetter"/>
      <w:start w:val="1"/>
    </w:lvl>
    <w:lvl w:ilvl="1">
      <w:lvlJc w:val="left"/>
      <w:lvlText w:val="(%2)"/>
      <w:numFmt w:val="lowerLetter"/>
      <w:start w:val="1"/>
    </w:lvl>
  </w:abstractNum>
  <w:abstractNum w:abstractNumId="92">
    <w:nsid w:val="64AF49B"/>
    <w:multiLevelType w:val="hybridMultilevel"/>
    <w:lvl w:ilvl="0">
      <w:lvlJc w:val="left"/>
      <w:lvlText w:val="(%1)"/>
      <w:numFmt w:val="lowerLetter"/>
      <w:start w:val="35"/>
    </w:lvl>
    <w:lvl w:ilvl="1">
      <w:lvlJc w:val="left"/>
      <w:lvlText w:val="%2"/>
      <w:numFmt w:val="lowerLetter"/>
      <w:start w:val="1"/>
    </w:lvl>
  </w:abstractNum>
  <w:abstractNum w:abstractNumId="93">
    <w:nsid w:val="397C46BC"/>
    <w:multiLevelType w:val="hybridMultilevel"/>
    <w:lvl w:ilvl="0">
      <w:lvlJc w:val="left"/>
      <w:lvlText w:val="(%1)"/>
      <w:numFmt w:val="upperLetter"/>
      <w:start w:val="2"/>
    </w:lvl>
    <w:lvl w:ilvl="1">
      <w:lvlJc w:val="left"/>
      <w:lvlText w:val="(%2)"/>
      <w:numFmt w:val="lowerLetter"/>
      <w:start w:val="2"/>
    </w:lvl>
  </w:abstractNum>
  <w:abstractNum w:abstractNumId="94">
    <w:nsid w:val="7E448DE9"/>
    <w:multiLevelType w:val="hybridMultilevel"/>
    <w:lvl w:ilvl="0">
      <w:lvlJc w:val="left"/>
      <w:lvlText w:val="(%1)"/>
      <w:numFmt w:val="lowerLetter"/>
      <w:start w:val="2"/>
    </w:lvl>
  </w:abstractNum>
  <w:abstractNum w:abstractNumId="95">
    <w:nsid w:val="5A9CC3E5"/>
    <w:multiLevelType w:val="hybridMultilevel"/>
    <w:lvl w:ilvl="0">
      <w:lvlJc w:val="left"/>
      <w:lvlText w:val="(%1)"/>
      <w:numFmt w:val="lowerLetter"/>
      <w:start w:val="2"/>
    </w:lvl>
    <w:lvl w:ilvl="1">
      <w:lvlJc w:val="left"/>
      <w:lvlText w:val="(%2)"/>
      <w:numFmt w:val="lowerRoman"/>
      <w:start w:val="2"/>
    </w:lvl>
  </w:abstractNum>
  <w:abstractNum w:abstractNumId="96">
    <w:nsid w:val="1AFE3625"/>
    <w:multiLevelType w:val="hybridMultilevel"/>
    <w:lvl w:ilvl="0">
      <w:lvlJc w:val="left"/>
      <w:lvlText w:val="(%1)"/>
      <w:numFmt w:val="lowerLetter"/>
      <w:start w:val="1"/>
    </w:lvl>
  </w:abstractNum>
  <w:abstractNum w:abstractNumId="97">
    <w:nsid w:val="3CA88ECF"/>
    <w:multiLevelType w:val="hybridMultilevel"/>
    <w:lvl w:ilvl="0">
      <w:lvlJc w:val="left"/>
      <w:lvlText w:val="%1"/>
      <w:numFmt w:val="lowerLetter"/>
      <w:start w:val="1"/>
    </w:lvl>
    <w:lvl w:ilvl="1">
      <w:lvlJc w:val="left"/>
      <w:lvlText w:val="(%2)"/>
      <w:numFmt w:val="lowerLetter"/>
      <w:start w:val="35"/>
    </w:lvl>
  </w:abstractNum>
  <w:abstractNum w:abstractNumId="98">
    <w:nsid w:val="6EBE4208"/>
    <w:multiLevelType w:val="hybridMultilevel"/>
    <w:lvl w:ilvl="0">
      <w:lvlJc w:val="left"/>
      <w:lvlText w:val="(%1)"/>
      <w:numFmt w:val="lowerLetter"/>
      <w:start w:val="2"/>
    </w:lvl>
    <w:lvl w:ilvl="1">
      <w:lvlJc w:val="left"/>
      <w:lvlText w:val="(%2)"/>
      <w:numFmt w:val="lowerLetter"/>
      <w:start w:val="35"/>
    </w:lvl>
  </w:abstractNum>
  <w:abstractNum w:abstractNumId="99">
    <w:nsid w:val="C058DF5"/>
    <w:multiLevelType w:val="hybridMultilevel"/>
    <w:lvl w:ilvl="0">
      <w:lvlJc w:val="left"/>
      <w:lvlText w:val="(%1)"/>
      <w:numFmt w:val="lowerLetter"/>
      <w:start w:val="2"/>
    </w:lvl>
  </w:abstractNum>
  <w:abstractNum w:abstractNumId="100">
    <w:nsid w:val="CBE5BE9"/>
    <w:multiLevelType w:val="hybridMultilevel"/>
    <w:lvl w:ilvl="0">
      <w:lvlJc w:val="left"/>
      <w:lvlText w:val="(%1)"/>
      <w:numFmt w:val="lowerLetter"/>
      <w:start w:val="2"/>
    </w:lvl>
  </w:abstractNum>
  <w:abstractNum w:abstractNumId="101">
    <w:nsid w:val="3102BBE2"/>
    <w:multiLevelType w:val="hybridMultilevel"/>
    <w:lvl w:ilvl="0">
      <w:lvlJc w:val="left"/>
      <w:lvlText w:val="(%1)"/>
      <w:numFmt w:val="lowerLetter"/>
      <w:start w:val="2"/>
    </w:lvl>
  </w:abstractNum>
  <w:abstractNum w:abstractNumId="102">
    <w:nsid w:val="26A02C5E"/>
    <w:multiLevelType w:val="hybridMultilevel"/>
    <w:lvl w:ilvl="0">
      <w:lvlJc w:val="left"/>
      <w:lvlText w:val="(%1)"/>
      <w:numFmt w:val="lowerRoman"/>
      <w:start w:val="2"/>
    </w:lvl>
  </w:abstractNum>
  <w:abstractNum w:abstractNumId="103">
    <w:nsid w:val="541C8153"/>
    <w:multiLevelType w:val="hybridMultilevel"/>
    <w:lvl w:ilvl="0">
      <w:lvlJc w:val="left"/>
      <w:lvlText w:val="(%1)"/>
      <w:numFmt w:val="lowerLetter"/>
      <w:start w:val="3"/>
    </w:lvl>
  </w:abstractNum>
  <w:abstractNum w:abstractNumId="104">
    <w:nsid w:val="67906F60"/>
    <w:multiLevelType w:val="hybridMultilevel"/>
    <w:lvl w:ilvl="0">
      <w:lvlJc w:val="left"/>
      <w:lvlText w:val="(%1)"/>
      <w:numFmt w:val="lowerRoman"/>
      <w:start w:val="1"/>
    </w:lvl>
  </w:abstractNum>
  <w:abstractNum w:abstractNumId="105">
    <w:nsid w:val="10DB9DAA"/>
    <w:multiLevelType w:val="hybridMultilevel"/>
    <w:lvl w:ilvl="0">
      <w:lvlJc w:val="left"/>
      <w:lvlText w:val="(%1)"/>
      <w:numFmt w:val="lowerLetter"/>
      <w:start w:val="1"/>
    </w:lvl>
  </w:abstractNum>
  <w:abstractNum w:abstractNumId="106">
    <w:nsid w:val="697D2D2"/>
    <w:multiLevelType w:val="hybridMultilevel"/>
    <w:lvl w:ilvl="0">
      <w:lvlJc w:val="left"/>
      <w:lvlText w:val="(%1)"/>
      <w:numFmt w:val="lowerLetter"/>
      <w:start w:val="2"/>
    </w:lvl>
    <w:lvl w:ilvl="1">
      <w:lvlJc w:val="left"/>
      <w:lvlText w:val="(%2)"/>
      <w:numFmt w:val="lowerLetter"/>
      <w:start w:val="9"/>
    </w:lvl>
  </w:abstractNum>
  <w:abstractNum w:abstractNumId="107">
    <w:nsid w:val="6D68AB2"/>
    <w:multiLevelType w:val="hybridMultilevel"/>
    <w:lvl w:ilvl="0">
      <w:lvlJc w:val="left"/>
      <w:lvlText w:val="%1"/>
      <w:numFmt w:val="lowerLetter"/>
      <w:start w:val="1"/>
    </w:lvl>
    <w:lvl w:ilvl="1">
      <w:lvlJc w:val="left"/>
      <w:lvlText w:val="(%2)"/>
      <w:numFmt w:val="lowerRoman"/>
      <w:start w:val="2"/>
    </w:lvl>
  </w:abstractNum>
  <w:abstractNum w:abstractNumId="108">
    <w:nsid w:val="3A966CD0"/>
    <w:multiLevelType w:val="hybridMultilevel"/>
    <w:lvl w:ilvl="0">
      <w:lvlJc w:val="left"/>
      <w:lvlText w:val="(%1)"/>
      <w:numFmt w:val="lowerLetter"/>
      <w:start w:val="4"/>
    </w:lvl>
    <w:lvl w:ilvl="1">
      <w:lvlJc w:val="left"/>
      <w:lvlText w:val="%2"/>
      <w:numFmt w:val="lowerRoman"/>
      <w:start w:val="1"/>
    </w:lvl>
  </w:abstractNum>
  <w:abstractNum w:abstractNumId="109">
    <w:nsid w:val="63F37E85"/>
    <w:multiLevelType w:val="hybridMultilevel"/>
    <w:lvl w:ilvl="0">
      <w:lvlJc w:val="left"/>
      <w:lvlText w:val="(%1)"/>
      <w:numFmt w:val="lowerLetter"/>
      <w:start w:val="5"/>
    </w:lvl>
  </w:abstractNum>
  <w:abstractNum w:abstractNumId="110">
    <w:nsid w:val="5895F5FA"/>
    <w:multiLevelType w:val="hybridMultilevel"/>
    <w:lvl w:ilvl="0">
      <w:lvlJc w:val="left"/>
      <w:lvlText w:val="(%1)"/>
      <w:numFmt w:val="lowerLetter"/>
      <w:start w:val="1"/>
    </w:lvl>
  </w:abstractNum>
  <w:abstractNum w:abstractNumId="111">
    <w:nsid w:val="38A5D054"/>
    <w:multiLevelType w:val="hybridMultilevel"/>
    <w:lvl w:ilvl="0">
      <w:lvlJc w:val="left"/>
      <w:lvlText w:val="(%1)"/>
      <w:numFmt w:val="lowerLetter"/>
      <w:start w:val="3"/>
    </w:lvl>
  </w:abstractNum>
  <w:abstractNum w:abstractNumId="112">
    <w:nsid w:val="F3F09D8"/>
    <w:multiLevelType w:val="hybridMultilevel"/>
    <w:lvl w:ilvl="0">
      <w:lvlJc w:val="left"/>
      <w:lvlText w:val="(%1)"/>
      <w:numFmt w:val="lowerLetter"/>
      <w:start w:val="6"/>
    </w:lvl>
    <w:lvl w:ilvl="1">
      <w:lvlJc w:val="left"/>
      <w:lvlText w:val="(%2)"/>
      <w:numFmt w:val="lowerRoman"/>
      <w:start w:val="1"/>
    </w:lvl>
  </w:abstractNum>
  <w:abstractNum w:abstractNumId="113">
    <w:nsid w:val="4B793735"/>
    <w:multiLevelType w:val="hybridMultilevel"/>
    <w:lvl w:ilvl="0">
      <w:lvlJc w:val="left"/>
      <w:lvlText w:val="(%1)"/>
      <w:numFmt w:val="lowerLetter"/>
      <w:start w:val="35"/>
    </w:lvl>
    <w:lvl w:ilvl="1">
      <w:lvlJc w:val="left"/>
      <w:lvlText w:val="(%2)"/>
      <w:numFmt w:val="lowerRoman"/>
      <w:start w:val="5"/>
    </w:lvl>
  </w:abstractNum>
  <w:abstractNum w:abstractNumId="114">
    <w:nsid w:val="4A10B4E8"/>
    <w:multiLevelType w:val="hybridMultilevel"/>
    <w:lvl w:ilvl="0">
      <w:lvlJc w:val="left"/>
      <w:lvlText w:val="%1"/>
      <w:numFmt w:val="lowerLetter"/>
      <w:start w:val="1"/>
    </w:lvl>
    <w:lvl w:ilvl="1">
      <w:lvlJc w:val="left"/>
      <w:lvlText w:val="(%2)"/>
      <w:numFmt w:val="lowerRoman"/>
      <w:start w:val="6"/>
    </w:lvl>
  </w:abstractNum>
  <w:abstractNum w:abstractNumId="115">
    <w:nsid w:val="43D3BCD4"/>
    <w:multiLevelType w:val="hybridMultilevel"/>
    <w:lvl w:ilvl="0">
      <w:lvlJc w:val="left"/>
      <w:lvlText w:val="(%1)"/>
      <w:numFmt w:val="lowerLetter"/>
      <w:start w:val="7"/>
    </w:lvl>
    <w:lvl w:ilvl="1">
      <w:lvlJc w:val="left"/>
      <w:lvlText w:val="%2"/>
      <w:numFmt w:val="lowerRoman"/>
      <w:start w:val="1"/>
    </w:lvl>
  </w:abstractNum>
  <w:abstractNum w:abstractNumId="116">
    <w:nsid w:val="4C2A7166"/>
    <w:multiLevelType w:val="hybridMultilevel"/>
    <w:lvl w:ilvl="0">
      <w:lvlJc w:val="left"/>
      <w:lvlText w:val="(%1)"/>
      <w:numFmt w:val="lowerLetter"/>
      <w:start w:val="1"/>
    </w:lvl>
    <w:lvl w:ilvl="1">
      <w:lvlJc w:val="left"/>
      <w:lvlText w:val="(%2)"/>
      <w:numFmt w:val="lowerLetter"/>
      <w:start w:val="35"/>
    </w:lvl>
  </w:abstractNum>
  <w:abstractNum w:abstractNumId="117">
    <w:nsid w:val="2E534A82"/>
    <w:multiLevelType w:val="hybridMultilevel"/>
    <w:lvl w:ilvl="0">
      <w:lvlJc w:val="left"/>
      <w:lvlText w:val="%1"/>
      <w:numFmt w:val="lowerLetter"/>
      <w:start w:val="1"/>
    </w:lvl>
    <w:lvl w:ilvl="1">
      <w:lvlJc w:val="left"/>
      <w:lvlText w:val="(%2)"/>
      <w:numFmt w:val="lowerLetter"/>
      <w:start w:val="61"/>
    </w:lvl>
  </w:abstractNum>
  <w:abstractNum w:abstractNumId="118">
    <w:nsid w:val="26F2D364"/>
    <w:multiLevelType w:val="hybridMultilevel"/>
    <w:lvl w:ilvl="0">
      <w:lvlJc w:val="left"/>
      <w:lvlText w:val="(%1)"/>
      <w:numFmt w:val="lowerLetter"/>
      <w:start w:val="2"/>
    </w:lvl>
    <w:lvl w:ilvl="1">
      <w:lvlJc w:val="left"/>
      <w:lvlText w:val="%2"/>
      <w:numFmt w:val="lowerLetter"/>
      <w:start w:val="1"/>
    </w:lvl>
  </w:abstractNum>
  <w:abstractNum w:abstractNumId="119">
    <w:nsid w:val="71C1AF98"/>
    <w:multiLevelType w:val="hybridMultilevel"/>
    <w:lvl w:ilvl="0">
      <w:lvlJc w:val="left"/>
      <w:lvlText w:val="(%1)"/>
      <w:numFmt w:val="lowerLetter"/>
      <w:start w:val="3"/>
    </w:lvl>
  </w:abstractNum>
  <w:abstractNum w:abstractNumId="120">
    <w:nsid w:val="3D00B9D9"/>
    <w:multiLevelType w:val="hybridMultilevel"/>
    <w:lvl w:ilvl="0">
      <w:lvlJc w:val="left"/>
      <w:lvlText w:val="(%1)"/>
      <w:numFmt w:val="lowerLetter"/>
      <w:start w:val="1"/>
    </w:lvl>
    <w:lvl w:ilvl="1">
      <w:lvlJc w:val="left"/>
      <w:lvlText w:val="(%2)"/>
      <w:numFmt w:val="lowerRoman"/>
      <w:start w:val="1"/>
    </w:lvl>
  </w:abstractNum>
  <w:abstractNum w:abstractNumId="121">
    <w:nsid w:val="15BCABA8"/>
    <w:multiLevelType w:val="hybridMultilevel"/>
    <w:lvl w:ilvl="0">
      <w:lvlJc w:val="left"/>
      <w:lvlText w:val="(%1)"/>
      <w:numFmt w:val="lowerRoman"/>
      <w:start w:val="3"/>
    </w:lvl>
    <w:lvl w:ilvl="1">
      <w:lvlJc w:val="left"/>
      <w:lvlText w:val="(%2)"/>
      <w:numFmt w:val="upperLetter"/>
      <w:start w:val="1"/>
    </w:lvl>
  </w:abstractNum>
  <w:abstractNum w:abstractNumId="122">
    <w:nsid w:val="4E0B9A8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23">
    <w:nsid w:val="434BAE7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24">
    <w:nsid w:val="4F38F26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5">
    <w:nsid w:val="4C502870"/>
    <w:multiLevelType w:val="hybridMultilevel"/>
    <w:lvl w:ilvl="0">
      <w:lvlJc w:val="left"/>
      <w:lvlText w:val="(%1)"/>
      <w:numFmt w:val="lowerLetter"/>
      <w:start w:val="3"/>
    </w:lvl>
  </w:abstractNum>
  <w:abstractNum w:abstractNumId="126">
    <w:nsid w:val="1DE8725A"/>
    <w:multiLevelType w:val="hybridMultilevel"/>
    <w:lvl w:ilvl="0">
      <w:lvlJc w:val="left"/>
      <w:lvlText w:val="(%1)"/>
      <w:numFmt w:val="lowerLetter"/>
      <w:start w:val="1"/>
    </w:lvl>
    <w:lvl w:ilvl="1">
      <w:lvlJc w:val="left"/>
      <w:lvlText w:val="(%2)"/>
      <w:numFmt w:val="lowerRoman"/>
      <w:start w:val="1"/>
    </w:lvl>
  </w:abstractNum>
  <w:abstractNum w:abstractNumId="127">
    <w:nsid w:val="6A3728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8">
    <w:nsid w:val="8F8B73F"/>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29">
    <w:nsid w:val="CA6B46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0">
    <w:nsid w:val="763CB680"/>
    <w:multiLevelType w:val="hybridMultilevel"/>
    <w:lvl w:ilvl="0">
      <w:lvlJc w:val="left"/>
      <w:lvlText w:val="(%1)"/>
      <w:numFmt w:val="lowerLetter"/>
      <w:start w:val="3"/>
    </w:lvl>
  </w:abstractNum>
  <w:abstractNum w:abstractNumId="131">
    <w:nsid w:val="15B71329"/>
    <w:multiLevelType w:val="hybridMultilevel"/>
    <w:lvl w:ilvl="0">
      <w:lvlJc w:val="left"/>
      <w:lvlText w:val="(%1)"/>
      <w:numFmt w:val="lowerLetter"/>
      <w:start w:val="1"/>
    </w:lvl>
    <w:lvl w:ilvl="1">
      <w:lvlJc w:val="left"/>
      <w:lvlText w:val="(%2)"/>
      <w:numFmt w:val="lowerRoman"/>
      <w:start w:val="1"/>
    </w:lvl>
  </w:abstractNum>
  <w:abstractNum w:abstractNumId="132">
    <w:nsid w:val="3DA9704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133">
    <w:nsid w:val="1CDCE2D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4">
    <w:nsid w:val="69D3947C"/>
    <w:multiLevelType w:val="hybridMultilevel"/>
    <w:lvl w:ilvl="0">
      <w:lvlJc w:val="left"/>
      <w:lvlText w:val="(%1)"/>
      <w:numFmt w:val="upperLetter"/>
      <w:start w:val="2"/>
    </w:lvl>
    <w:lvl w:ilvl="1">
      <w:lvlJc w:val="left"/>
      <w:lvlText w:val="(%2)"/>
      <w:numFmt w:val="upperLetter"/>
      <w:start w:val="9"/>
    </w:lvl>
  </w:abstractNum>
  <w:abstractNum w:abstractNumId="135">
    <w:nsid w:val="2539DFA5"/>
    <w:multiLevelType w:val="hybridMultilevel"/>
    <w:lvl w:ilvl="0">
      <w:lvlJc w:val="left"/>
      <w:lvlText w:val="(%1)"/>
      <w:numFmt w:val="upperLetter"/>
      <w:start w:val="35"/>
    </w:lvl>
  </w:abstractNum>
  <w:abstractNum w:abstractNumId="136">
    <w:nsid w:val="2DB88089"/>
    <w:multiLevelType w:val="hybridMultilevel"/>
    <w:lvl w:ilvl="0">
      <w:lvlJc w:val="left"/>
      <w:lvlText w:val="(%1)"/>
      <w:numFmt w:val="upperLetter"/>
      <w:start w:val="61"/>
    </w:lvl>
  </w:abstractNum>
  <w:abstractNum w:abstractNumId="137">
    <w:nsid w:val="706B674E"/>
    <w:multiLevelType w:val="hybridMultilevel"/>
    <w:lvl w:ilvl="0">
      <w:lvlJc w:val="left"/>
      <w:lvlText w:val="(%1)"/>
      <w:numFmt w:val="upperLetter"/>
      <w:start w:val="22"/>
    </w:lvl>
  </w:abstractNum>
  <w:abstractNum w:abstractNumId="138">
    <w:nsid w:val="2C106A57"/>
    <w:multiLevelType w:val="hybridMultilevel"/>
    <w:lvl w:ilvl="0">
      <w:lvlJc w:val="left"/>
      <w:lvlText w:val="%1"/>
      <w:numFmt w:val="lowerRoman"/>
      <w:start w:val="1"/>
    </w:lvl>
    <w:lvl w:ilvl="1">
      <w:lvlJc w:val="left"/>
      <w:lvlText w:val="(%2)"/>
      <w:numFmt w:val="upperLetter"/>
      <w:start w:val="3"/>
    </w:lvl>
  </w:abstractNum>
  <w:abstractNum w:abstractNumId="139">
    <w:nsid w:val="684EED59"/>
    <w:multiLevelType w:val="hybridMultilevel"/>
    <w:lvl w:ilvl="0">
      <w:lvlJc w:val="left"/>
      <w:lvlText w:val="(%1)"/>
      <w:numFmt w:val="lowerRoman"/>
      <w:start w:val="3"/>
    </w:lvl>
    <w:lvl w:ilvl="1">
      <w:lvlJc w:val="left"/>
      <w:lvlText w:val="%2"/>
      <w:numFmt w:val="upperLetter"/>
      <w:start w:val="1"/>
    </w:lvl>
  </w:abstractNum>
  <w:abstractNum w:abstractNumId="140">
    <w:nsid w:val="545EE5D3"/>
    <w:multiLevelType w:val="hybridMultilevel"/>
    <w:lvl w:ilvl="0">
      <w:lvlJc w:val="left"/>
      <w:lvlText w:val="(%1)"/>
      <w:numFmt w:val="lowerLetter"/>
      <w:start w:val="6"/>
    </w:lvl>
  </w:abstractNum>
  <w:abstractNum w:abstractNumId="141">
    <w:nsid w:val="4A66051"/>
    <w:multiLevelType w:val="hybridMultilevel"/>
    <w:lvl w:ilvl="0">
      <w:lvlJc w:val="left"/>
      <w:lvlText w:val="(%1)"/>
      <w:numFmt w:val="lowerLetter"/>
      <w:start w:val="7"/>
    </w:lvl>
  </w:abstractNum>
  <w:abstractNum w:abstractNumId="142">
    <w:nsid w:val="20F4BDAD"/>
    <w:multiLevelType w:val="hybridMultilevel"/>
    <w:lvl w:ilvl="0">
      <w:lvlJc w:val="left"/>
      <w:lvlText w:val="(%1)"/>
      <w:numFmt w:val="lowerLetter"/>
      <w:start w:val="1"/>
    </w:lvl>
  </w:abstractNum>
  <w:abstractNum w:abstractNumId="143">
    <w:nsid w:val="639DEFAC"/>
    <w:multiLevelType w:val="hybridMultilevel"/>
    <w:lvl w:ilvl="0">
      <w:lvlJc w:val="left"/>
      <w:lvlText w:val="(%1)"/>
      <w:numFmt w:val="lowerLetter"/>
      <w:start w:val="2"/>
    </w:lvl>
    <w:lvl w:ilvl="1">
      <w:lvlJc w:val="left"/>
      <w:lvlText w:val="(%2)"/>
      <w:numFmt w:val="lowerRoman"/>
      <w:start w:val="1"/>
    </w:lvl>
  </w:abstractNum>
  <w:abstractNum w:abstractNumId="144">
    <w:nsid w:val="501F9786"/>
    <w:multiLevelType w:val="hybridMultilevel"/>
    <w:lvl w:ilvl="0">
      <w:lvlJc w:val="left"/>
      <w:lvlText w:val="(%1)"/>
      <w:numFmt w:val="lowerLetter"/>
      <w:start w:val="1"/>
    </w:lvl>
    <w:lvl w:ilvl="1">
      <w:lvlJc w:val="left"/>
      <w:lvlText w:val="(%2)"/>
      <w:numFmt w:val="lowerRoman"/>
      <w:start w:val="1"/>
    </w:lvl>
  </w:abstractNum>
  <w:abstractNum w:abstractNumId="145">
    <w:nsid w:val="6B057295"/>
    <w:multiLevelType w:val="hybridMultilevel"/>
    <w:lvl w:ilvl="0">
      <w:lvlJc w:val="left"/>
      <w:lvlText w:val="(%1)"/>
      <w:numFmt w:val="lowerLetter"/>
      <w:start w:val="2"/>
    </w:lvl>
  </w:abstractNum>
  <w:abstractNum w:abstractNumId="146">
    <w:nsid w:val="2771AC80"/>
    <w:multiLevelType w:val="hybridMultilevel"/>
    <w:lvl w:ilvl="0">
      <w:lvlJc w:val="left"/>
      <w:lvlText w:val="(%1)"/>
      <w:numFmt w:val="lowerLetter"/>
      <w:start w:val="5"/>
    </w:lvl>
  </w:abstractNum>
  <w:abstractNum w:abstractNumId="147">
    <w:nsid w:val="1C4A08EC"/>
    <w:multiLevelType w:val="hybridMultilevel"/>
    <w:lvl w:ilvl="0">
      <w:lvlJc w:val="left"/>
      <w:lvlText w:val="(%1)"/>
      <w:numFmt w:val="lowerLetter"/>
      <w:start w:val="1"/>
    </w:lvl>
  </w:abstractNum>
  <w:abstractNum w:abstractNumId="148">
    <w:nsid w:val="1958BD17"/>
    <w:multiLevelType w:val="hybridMultilevel"/>
    <w:lvl w:ilvl="0">
      <w:lvlJc w:val="left"/>
      <w:lvlText w:val="(%1)"/>
      <w:numFmt w:val="lowerLetter"/>
      <w:start w:val="1"/>
    </w:lvl>
  </w:abstractNum>
  <w:abstractNum w:abstractNumId="149">
    <w:nsid w:val="4E647FE4"/>
    <w:multiLevelType w:val="hybridMultilevel"/>
    <w:lvl w:ilvl="0">
      <w:lvlJc w:val="left"/>
      <w:lvlText w:val="(%1)"/>
      <w:numFmt w:val="lowerLetter"/>
      <w:start w:val="1"/>
    </w:lvl>
  </w:abstractNum>
  <w:abstractNum w:abstractNumId="150">
    <w:nsid w:val="E0BB885"/>
    <w:multiLevelType w:val="hybridMultilevel"/>
    <w:lvl w:ilvl="0">
      <w:lvlJc w:val="left"/>
      <w:lvlText w:val="(%1)"/>
      <w:numFmt w:val="lowerRoman"/>
      <w:start w:val="1"/>
    </w:lvl>
  </w:abstractNum>
  <w:abstractNum w:abstractNumId="151">
    <w:nsid w:val="565976F1"/>
    <w:multiLevelType w:val="hybridMultilevel"/>
    <w:lvl w:ilvl="0">
      <w:lvlJc w:val="left"/>
      <w:lvlText w:val="%1"/>
      <w:numFmt w:val="lowerLetter"/>
      <w:start w:val="1"/>
    </w:lvl>
    <w:lvl w:ilvl="1">
      <w:lvlJc w:val="left"/>
      <w:lvlText w:val="(%2)"/>
      <w:numFmt w:val="lowerRoman"/>
      <w:start w:val="9"/>
    </w:lvl>
  </w:abstractNum>
  <w:abstractNum w:abstractNumId="152">
    <w:nsid w:val="64212B8C"/>
    <w:multiLevelType w:val="hybridMultilevel"/>
    <w:lvl w:ilvl="0">
      <w:lvlJc w:val="left"/>
      <w:lvlText w:val="(%1)"/>
      <w:numFmt w:val="lowerLetter"/>
      <w:start w:val="2"/>
    </w:lvl>
    <w:lvl w:ilvl="1">
      <w:lvlJc w:val="left"/>
      <w:lvlText w:val="%2"/>
      <w:numFmt w:val="lowerRoman"/>
      <w:start w:val="1"/>
    </w:lvl>
  </w:abstractNum>
  <w:abstractNum w:abstractNumId="153">
    <w:nsid w:val="5C17530C"/>
    <w:multiLevelType w:val="hybridMultilevel"/>
    <w:lvl w:ilvl="0">
      <w:lvlJc w:val="left"/>
      <w:lvlText w:val="(%1)"/>
      <w:numFmt w:val="lowerLetter"/>
      <w:start w:val="5"/>
    </w:lvl>
  </w:abstractNum>
  <w:abstractNum w:abstractNumId="154">
    <w:nsid w:val="19A52566"/>
    <w:multiLevelType w:val="hybridMultilevel"/>
    <w:lvl w:ilvl="0">
      <w:lvlJc w:val="left"/>
      <w:lvlText w:val="(%1)"/>
      <w:numFmt w:val="lowerLetter"/>
      <w:start w:val="1"/>
    </w:lvl>
  </w:abstractNum>
  <w:abstractNum w:abstractNumId="155">
    <w:nsid w:val="335A1DF1"/>
    <w:multiLevelType w:val="hybridMultilevel"/>
    <w:lvl w:ilvl="0">
      <w:lvlJc w:val="left"/>
      <w:lvlText w:val="(%1)"/>
      <w:numFmt w:val="lowerLetter"/>
      <w:start w:val="4"/>
    </w:lvl>
  </w:abstractNum>
  <w:abstractNum w:abstractNumId="156">
    <w:nsid w:val="28677B7C"/>
    <w:multiLevelType w:val="hybridMultilevel"/>
    <w:lvl w:ilvl="0">
      <w:lvlJc w:val="left"/>
      <w:lvlText w:val="(%1)"/>
      <w:numFmt w:val="lowerLetter"/>
      <w:start w:val="3"/>
    </w:lvl>
  </w:abstractNum>
  <w:abstractNum w:abstractNumId="157">
    <w:nsid w:val="378D97C0"/>
    <w:multiLevelType w:val="hybridMultilevel"/>
    <w:lvl w:ilvl="0">
      <w:lvlJc w:val="left"/>
      <w:lvlText w:val="(%1)"/>
      <w:numFmt w:val="lowerLetter"/>
      <w:start w:val="1"/>
    </w:lvl>
  </w:abstractNum>
  <w:abstractNum w:abstractNumId="158">
    <w:nsid w:val="1D91467C"/>
    <w:multiLevelType w:val="hybridMultilevel"/>
    <w:lvl w:ilvl="0">
      <w:lvlJc w:val="left"/>
      <w:lvlText w:val="(%1)"/>
      <w:numFmt w:val="lowerLetter"/>
      <w:start w:val="4"/>
    </w:lvl>
  </w:abstractNum>
  <w:abstractNum w:abstractNumId="159">
    <w:nsid w:val="316032BB"/>
    <w:multiLevelType w:val="hybridMultilevel"/>
    <w:lvl w:ilvl="0">
      <w:lvlJc w:val="left"/>
      <w:lvlText w:val="(%1)"/>
      <w:numFmt w:val="lowerLetter"/>
      <w:start w:val="1"/>
    </w:lvl>
  </w:abstractNum>
  <w:abstractNum w:abstractNumId="160">
    <w:nsid w:val="44344C22"/>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35"/>
    </w:lvl>
  </w:abstractNum>
  <w:abstractNum w:abstractNumId="161">
    <w:nsid w:val="13CDFCFC"/>
    <w:multiLevelType w:val="hybridMultilevel"/>
    <w:lvl w:ilvl="0">
      <w:lvlJc w:val="left"/>
      <w:lvlText w:val="(%1)"/>
      <w:numFmt w:val="lowerLetter"/>
      <w:start w:val="1"/>
    </w:lvl>
  </w:abstractNum>
  <w:abstractNum w:abstractNumId="162">
    <w:nsid w:val="471745E4"/>
    <w:multiLevelType w:val="hybridMultilevel"/>
    <w:lvl w:ilvl="0">
      <w:lvlJc w:val="left"/>
      <w:lvlText w:val="(%1)"/>
      <w:numFmt w:val="lowerLetter"/>
      <w:start w:val="1"/>
    </w:lvl>
  </w:abstractNum>
  <w:abstractNum w:abstractNumId="163">
    <w:nsid w:val="1DDBC66"/>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64">
    <w:nsid w:val="30AADFDA"/>
    <w:multiLevelType w:val="hybridMultilevel"/>
    <w:lvl w:ilvl="0">
      <w:lvlJc w:val="left"/>
      <w:lvlText w:val="(%1)"/>
      <w:numFmt w:val="upperLetter"/>
      <w:start w:val="2"/>
    </w:lvl>
    <w:lvl w:ilvl="1">
      <w:lvlJc w:val="left"/>
      <w:lvlText w:val="(%2)"/>
      <w:numFmt w:val="lowerLetter"/>
      <w:start w:val="5"/>
    </w:lvl>
    <w:lvl w:ilvl="2">
      <w:lvlJc w:val="left"/>
      <w:lvlText w:val="(%3)"/>
      <w:numFmt w:val="lowerRoman"/>
      <w:start w:val="1"/>
    </w:lvl>
  </w:abstractNum>
  <w:abstractNum w:abstractNumId="165">
    <w:nsid w:val="30EADA61"/>
    <w:multiLevelType w:val="hybridMultilevel"/>
    <w:lvl w:ilvl="0">
      <w:lvlJc w:val="left"/>
      <w:lvlText w:val="(%1)"/>
      <w:numFmt w:val="lowerLetter"/>
      <w:start w:val="1"/>
    </w:lvl>
  </w:abstractNum>
  <w:abstractNum w:abstractNumId="166">
    <w:nsid w:val="27179C0B"/>
    <w:multiLevelType w:val="hybridMultilevel"/>
    <w:lvl w:ilvl="0">
      <w:lvlJc w:val="left"/>
      <w:lvlText w:val="(%1)"/>
      <w:numFmt w:val="lowerLetter"/>
      <w:start w:val="1"/>
    </w:lvl>
  </w:abstractNum>
  <w:abstractNum w:abstractNumId="167">
    <w:nsid w:val="5E636063"/>
    <w:multiLevelType w:val="hybridMultilevel"/>
    <w:lvl w:ilvl="0">
      <w:lvlJc w:val="left"/>
      <w:lvlText w:val="(%1)"/>
      <w:numFmt w:val="lowerLetter"/>
      <w:start w:val="1"/>
    </w:lvl>
  </w:abstractNum>
  <w:abstractNum w:abstractNumId="168">
    <w:nsid w:val="215641AF"/>
    <w:multiLevelType w:val="hybridMultilevel"/>
    <w:lvl w:ilvl="0">
      <w:lvlJc w:val="left"/>
      <w:lvlText w:val="(%1)"/>
      <w:numFmt w:val="lowerLetter"/>
      <w:start w:val="2"/>
    </w:lvl>
  </w:abstractNum>
  <w:abstractNum w:abstractNumId="169">
    <w:nsid w:val="53280662"/>
    <w:multiLevelType w:val="hybridMultilevel"/>
    <w:lvl w:ilvl="0">
      <w:lvlJc w:val="left"/>
      <w:lvlText w:val="(%1)"/>
      <w:numFmt w:val="lowerLetter"/>
      <w:start w:val="1"/>
    </w:lvl>
  </w:abstractNum>
  <w:abstractNum w:abstractNumId="170">
    <w:nsid w:val="46B24DBC"/>
    <w:multiLevelType w:val="hybridMultilevel"/>
    <w:lvl w:ilvl="0">
      <w:lvlJc w:val="left"/>
      <w:lvlText w:val="(%1)"/>
      <w:numFmt w:val="lowerLetter"/>
      <w:start w:val="7"/>
    </w:lvl>
  </w:abstractNum>
  <w:abstractNum w:abstractNumId="171">
    <w:nsid w:val="75B52783"/>
    <w:multiLevelType w:val="hybridMultilevel"/>
    <w:lvl w:ilvl="0">
      <w:lvlJc w:val="left"/>
      <w:lvlText w:val="(%1)"/>
      <w:numFmt w:val="lowerLetter"/>
      <w:start w:val="1"/>
    </w:lvl>
  </w:abstractNum>
  <w:abstractNum w:abstractNumId="172">
    <w:nsid w:val="57CE66B4"/>
    <w:multiLevelType w:val="hybridMultilevel"/>
    <w:lvl w:ilvl="0">
      <w:lvlJc w:val="left"/>
      <w:lvlText w:val="(%1)"/>
      <w:numFmt w:val="lowerLetter"/>
      <w:start w:val="1"/>
    </w:lvl>
  </w:abstractNum>
  <w:abstractNum w:abstractNumId="173">
    <w:nsid w:val="67A70B69"/>
    <w:multiLevelType w:val="hybridMultilevel"/>
    <w:lvl w:ilvl="0">
      <w:lvlJc w:val="left"/>
      <w:lvlText w:val="(%1)"/>
      <w:numFmt w:val="lowerLetter"/>
      <w:start w:val="1"/>
    </w:lvl>
  </w:abstractNum>
  <w:abstractNum w:abstractNumId="174">
    <w:nsid w:val="5953172F"/>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175">
    <w:nsid w:val="27EDFE3A"/>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176">
    <w:nsid w:val="52AC7DFF"/>
    <w:multiLevelType w:val="hybridMultilevel"/>
    <w:lvl w:ilvl="0">
      <w:lvlJc w:val="left"/>
      <w:lvlText w:val="(%1)"/>
      <w:numFmt w:val="lowerRoman"/>
      <w:start w:val="3"/>
    </w:lvl>
  </w:abstractNum>
  <w:abstractNum w:abstractNumId="177">
    <w:nsid w:val="C4C3AF"/>
    <w:multiLevelType w:val="hybridMultilevel"/>
    <w:lvl w:ilvl="0">
      <w:lvlJc w:val="left"/>
      <w:lvlText w:val="(%1)"/>
      <w:numFmt w:val="lowerLetter"/>
      <w:start w:val="5"/>
    </w:lvl>
    <w:lvl w:ilvl="1">
      <w:lvlJc w:val="left"/>
      <w:lvlText w:val="(%2)"/>
      <w:numFmt w:val="lowerRoman"/>
      <w:start w:val="2"/>
    </w:lvl>
  </w:abstractNum>
  <w:abstractNum w:abstractNumId="178">
    <w:nsid w:val="44380727"/>
    <w:multiLevelType w:val="hybridMultilevel"/>
    <w:lvl w:ilvl="0">
      <w:lvlJc w:val="left"/>
      <w:lvlText w:val="(%1)"/>
      <w:numFmt w:val="lowerLetter"/>
      <w:start w:val="6"/>
    </w:lvl>
  </w:abstractNum>
  <w:abstractNum w:abstractNumId="179">
    <w:nsid w:val="6C053B16"/>
    <w:multiLevelType w:val="hybridMultilevel"/>
    <w:lvl w:ilvl="0">
      <w:lvlJc w:val="left"/>
      <w:lvlText w:val="%1"/>
      <w:numFmt w:val="lowerRoman"/>
      <w:start w:val="1"/>
    </w:lvl>
    <w:lvl w:ilvl="1">
      <w:lvlJc w:val="left"/>
      <w:lvlText w:val="(%2)"/>
      <w:numFmt w:val="lowerRoman"/>
      <w:start w:val="1"/>
    </w:lvl>
  </w:abstractNum>
  <w:abstractNum w:abstractNumId="180">
    <w:nsid w:val="4F294393"/>
    <w:multiLevelType w:val="hybridMultilevel"/>
    <w:lvl w:ilvl="0">
      <w:lvlJc w:val="left"/>
      <w:lvlText w:val="(%1)"/>
      <w:numFmt w:val="lowerRoman"/>
      <w:start w:val="6"/>
    </w:lvl>
    <w:lvl w:ilvl="1">
      <w:lvlJc w:val="left"/>
      <w:lvlText w:val="%2"/>
      <w:numFmt w:val="lowerRoman"/>
      <w:start w:val="1"/>
    </w:lvl>
  </w:abstractNum>
  <w:abstractNum w:abstractNumId="181">
    <w:nsid w:val="5243BFAC"/>
    <w:multiLevelType w:val="hybridMultilevel"/>
    <w:lvl w:ilvl="0">
      <w:lvlJc w:val="left"/>
      <w:lvlText w:val="(%1)"/>
      <w:numFmt w:val="lowerLetter"/>
      <w:start w:val="10"/>
    </w:lvl>
  </w:abstractNum>
  <w:abstractNum w:abstractNumId="182">
    <w:nsid w:val="425EB207"/>
    <w:multiLevelType w:val="hybridMultilevel"/>
    <w:lvl w:ilvl="0">
      <w:lvlJc w:val="left"/>
      <w:lvlText w:val="(%1)"/>
      <w:numFmt w:val="lowerLetter"/>
      <w:start w:val="1"/>
    </w:lvl>
  </w:abstractNum>
  <w:abstractNum w:abstractNumId="183">
    <w:nsid w:val="334A6F1F"/>
    <w:multiLevelType w:val="hybridMultilevel"/>
    <w:lvl w:ilvl="0">
      <w:lvlJc w:val="left"/>
      <w:lvlText w:val="(%1)"/>
      <w:numFmt w:val="lowerLetter"/>
      <w:start w:val="7"/>
    </w:lvl>
  </w:abstractNum>
  <w:abstractNum w:abstractNumId="184">
    <w:nsid w:val="2E5B12B8"/>
    <w:multiLevelType w:val="hybridMultilevel"/>
    <w:lvl w:ilvl="0">
      <w:lvlJc w:val="left"/>
      <w:lvlText w:val="(%1)"/>
      <w:numFmt w:val="lowerLetter"/>
      <w:start w:val="17"/>
    </w:lvl>
  </w:abstractNum>
  <w:abstractNum w:abstractNumId="185">
    <w:nsid w:val="5C03D76D"/>
    <w:multiLevelType w:val="hybridMultilevel"/>
    <w:lvl w:ilvl="0">
      <w:lvlJc w:val="left"/>
      <w:lvlText w:val="(%1)"/>
      <w:numFmt w:val="lowerLetter"/>
      <w:start w:val="9"/>
    </w:lvl>
    <w:lvl w:ilvl="1">
      <w:lvlJc w:val="left"/>
      <w:lvlText w:val="(%2)"/>
      <w:numFmt w:val="lowerLetter"/>
      <w:start w:val="27"/>
    </w:lvl>
  </w:abstractNum>
  <w:abstractNum w:abstractNumId="186">
    <w:nsid w:val="66A48D11"/>
    <w:multiLevelType w:val="hybridMultilevel"/>
    <w:lvl w:ilvl="0">
      <w:lvlJc w:val="left"/>
      <w:lvlText w:val="(%1)"/>
      <w:numFmt w:val="lowerLetter"/>
      <w:start w:val="1"/>
    </w:lvl>
  </w:abstractNum>
  <w:abstractNum w:abstractNumId="187">
    <w:nsid w:val="56C28E34"/>
    <w:multiLevelType w:val="hybridMultilevel"/>
    <w:lvl w:ilvl="0">
      <w:lvlJc w:val="left"/>
      <w:lvlText w:val="(%1)"/>
      <w:numFmt w:val="lowerLetter"/>
      <w:start w:val="10"/>
    </w:lvl>
  </w:abstractNum>
  <w:abstractNum w:abstractNumId="188">
    <w:nsid w:val="13916F2D"/>
    <w:multiLevelType w:val="hybridMultilevel"/>
    <w:lvl w:ilvl="0">
      <w:lvlJc w:val="left"/>
      <w:lvlText w:val="(%1)"/>
      <w:numFmt w:val="lowerLetter"/>
      <w:start w:val="1"/>
    </w:lvl>
  </w:abstractNum>
  <w:abstractNum w:abstractNumId="189">
    <w:nsid w:val="435D38D"/>
    <w:multiLevelType w:val="hybridMultilevel"/>
    <w:lvl w:ilvl="0">
      <w:lvlJc w:val="left"/>
      <w:lvlText w:val="(%1)"/>
      <w:numFmt w:val="lowerLetter"/>
      <w:start w:val="7"/>
    </w:lvl>
  </w:abstractNum>
  <w:abstractNum w:abstractNumId="190">
    <w:nsid w:val="822C0EF"/>
    <w:multiLevelType w:val="hybridMultilevel"/>
    <w:lvl w:ilvl="0">
      <w:lvlJc w:val="left"/>
      <w:lvlText w:val="(%1)"/>
      <w:numFmt w:val="lowerLetter"/>
      <w:start w:val="13"/>
    </w:lvl>
  </w:abstractNum>
  <w:abstractNum w:abstractNumId="191">
    <w:nsid w:val="57C5BB4F"/>
    <w:multiLevelType w:val="hybridMultilevel"/>
    <w:lvl w:ilvl="0">
      <w:lvlJc w:val="left"/>
      <w:lvlText w:val="(%1)"/>
      <w:numFmt w:val="lowerLetter"/>
      <w:start w:val="19"/>
    </w:lvl>
  </w:abstractNum>
  <w:abstractNum w:abstractNumId="192">
    <w:nsid w:val="1803D089"/>
    <w:multiLevelType w:val="hybridMultilevel"/>
    <w:lvl w:ilvl="0">
      <w:lvlJc w:val="left"/>
      <w:lvlText w:val="(%1)"/>
      <w:numFmt w:val="lowerLetter"/>
      <w:start w:val="1"/>
    </w:lvl>
  </w:abstractNum>
  <w:abstractNum w:abstractNumId="193">
    <w:nsid w:val="4F3A06D4"/>
    <w:multiLevelType w:val="hybridMultilevel"/>
    <w:lvl w:ilvl="0">
      <w:lvlJc w:val="left"/>
      <w:lvlText w:val="(%1)"/>
      <w:numFmt w:val="lowerLetter"/>
      <w:start w:val="4"/>
    </w:lvl>
  </w:abstractNum>
  <w:abstractNum w:abstractNumId="194">
    <w:nsid w:val="59A377B6"/>
    <w:multiLevelType w:val="hybridMultilevel"/>
    <w:lvl w:ilvl="0">
      <w:lvlJc w:val="left"/>
      <w:lvlText w:val="(%1)"/>
      <w:numFmt w:val="lowerLetter"/>
      <w:start w:val="1"/>
    </w:lvl>
  </w:abstractNum>
  <w:abstractNum w:abstractNumId="195">
    <w:nsid w:val="48AEB063"/>
    <w:multiLevelType w:val="hybridMultilevel"/>
    <w:lvl w:ilvl="0">
      <w:lvlJc w:val="left"/>
      <w:lvlText w:val="(%1)"/>
      <w:numFmt w:val="lowerLetter"/>
      <w:start w:val="8"/>
    </w:lvl>
  </w:abstractNum>
  <w:abstractNum w:abstractNumId="196">
    <w:nsid w:val="24E135"/>
    <w:multiLevelType w:val="hybridMultilevel"/>
    <w:lvl w:ilvl="0">
      <w:lvlJc w:val="left"/>
      <w:lvlText w:val="(%1)"/>
      <w:numFmt w:val="lowerLetter"/>
      <w:start w:val="1"/>
    </w:lvl>
  </w:abstractNum>
  <w:abstractNum w:abstractNumId="197">
    <w:nsid w:val="BB13C1"/>
    <w:multiLevelType w:val="hybridMultilevel"/>
    <w:lvl w:ilvl="0">
      <w:lvlJc w:val="left"/>
      <w:lvlText w:val="(%1)"/>
      <w:numFmt w:val="lowerLetter"/>
      <w:start w:val="2"/>
    </w:lvl>
  </w:abstractNum>
  <w:abstractNum w:abstractNumId="198">
    <w:nsid w:val="271210C7"/>
    <w:multiLevelType w:val="hybridMultilevel"/>
    <w:lvl w:ilvl="0">
      <w:lvlJc w:val="left"/>
      <w:lvlText w:val="(%1)"/>
      <w:numFmt w:val="lowerLetter"/>
      <w:start w:val="1"/>
    </w:lvl>
  </w:abstractNum>
  <w:abstractNum w:abstractNumId="199">
    <w:nsid w:val="217B22E4"/>
    <w:multiLevelType w:val="hybridMultilevel"/>
    <w:lvl w:ilvl="0">
      <w:lvlJc w:val="left"/>
      <w:lvlText w:val="(%1)"/>
      <w:numFmt w:val="lowerLetter"/>
      <w:start w:val="1"/>
    </w:lvl>
  </w:abstractNum>
  <w:abstractNum w:abstractNumId="200">
    <w:nsid w:val="53E31A24"/>
    <w:multiLevelType w:val="hybridMultilevel"/>
    <w:lvl w:ilvl="0">
      <w:lvlJc w:val="left"/>
      <w:lvlText w:val="(%1)"/>
      <w:numFmt w:val="lowerLetter"/>
      <w:start w:val="1"/>
    </w:lvl>
  </w:abstractNum>
  <w:abstractNum w:abstractNumId="201">
    <w:nsid w:val="6DC45E83"/>
    <w:multiLevelType w:val="hybridMultilevel"/>
    <w:lvl w:ilvl="0">
      <w:lvlJc w:val="left"/>
      <w:lvlText w:val="(%1)"/>
      <w:numFmt w:val="lowerLetter"/>
      <w:start w:val="1"/>
    </w:lvl>
  </w:abstractNum>
  <w:abstractNum w:abstractNumId="202">
    <w:nsid w:val="17304A67"/>
    <w:multiLevelType w:val="hybridMultilevel"/>
    <w:lvl w:ilvl="0">
      <w:lvlJc w:val="left"/>
      <w:lvlText w:val="(%1)"/>
      <w:numFmt w:val="lowerLetter"/>
      <w:start w:val="6"/>
    </w:lvl>
  </w:abstractNum>
  <w:abstractNum w:abstractNumId="203">
    <w:nsid w:val="2BB180D8"/>
    <w:multiLevelType w:val="hybridMultilevel"/>
    <w:lvl w:ilvl="0">
      <w:lvlJc w:val="left"/>
      <w:lvlText w:val="(%1)"/>
      <w:numFmt w:val="lowerLetter"/>
      <w:start w:val="11"/>
    </w:lvl>
  </w:abstractNum>
  <w:abstractNum w:abstractNumId="204">
    <w:nsid w:val="556B69ED"/>
    <w:multiLevelType w:val="hybridMultilevel"/>
    <w:lvl w:ilvl="0">
      <w:lvlJc w:val="left"/>
      <w:lvlText w:val="(%1)"/>
      <w:numFmt w:val="lowerLetter"/>
      <w:start w:val="1"/>
    </w:lvl>
  </w:abstractNum>
  <w:abstractNum w:abstractNumId="205">
    <w:nsid w:val="70836196"/>
    <w:multiLevelType w:val="hybridMultilevel"/>
    <w:lvl w:ilvl="0">
      <w:lvlJc w:val="left"/>
      <w:lvlText w:val="(%1)"/>
      <w:numFmt w:val="lowerLetter"/>
      <w:start w:val="1"/>
    </w:lvl>
  </w:abstractNum>
  <w:abstractNum w:abstractNumId="206">
    <w:nsid w:val="539F7F12"/>
    <w:multiLevelType w:val="hybridMultilevel"/>
    <w:lvl w:ilvl="0">
      <w:lvlJc w:val="left"/>
      <w:lvlText w:val="(%1)"/>
      <w:numFmt w:val="lowerLetter"/>
      <w:start w:val="1"/>
    </w:lvl>
  </w:abstractNum>
  <w:abstractNum w:abstractNumId="207">
    <w:nsid w:val="2817E7EC"/>
    <w:multiLevelType w:val="hybridMultilevel"/>
    <w:lvl w:ilvl="0">
      <w:lvlJc w:val="left"/>
      <w:lvlText w:val="(%1)"/>
      <w:numFmt w:val="lowerLetter"/>
      <w:start w:val="2"/>
    </w:lvl>
  </w:abstractNum>
  <w:abstractNum w:abstractNumId="208">
    <w:nsid w:val="71482545"/>
    <w:multiLevelType w:val="hybridMultilevel"/>
    <w:lvl w:ilvl="0">
      <w:lvlJc w:val="left"/>
      <w:lvlText w:val="(%1)"/>
      <w:numFmt w:val="lowerLetter"/>
      <w:start w:val="1"/>
    </w:lvl>
  </w:abstractNum>
  <w:abstractNum w:abstractNumId="209">
    <w:nsid w:val="17D78639"/>
    <w:multiLevelType w:val="hybridMultilevel"/>
    <w:lvl w:ilvl="0">
      <w:lvlJc w:val="left"/>
      <w:lvlText w:val="(%1)"/>
      <w:numFmt w:val="lowerLetter"/>
      <w:start w:val="1"/>
    </w:lvl>
  </w:abstractNum>
  <w:abstractNum w:abstractNumId="210">
    <w:nsid w:val="141D2302"/>
    <w:multiLevelType w:val="hybridMultilevel"/>
    <w:lvl w:ilvl="0">
      <w:lvlJc w:val="left"/>
      <w:lvlText w:val="(%1)"/>
      <w:numFmt w:val="lowerLetter"/>
      <w:start w:val="2"/>
    </w:lvl>
  </w:abstractNum>
  <w:abstractNum w:abstractNumId="211">
    <w:nsid w:val="407168D8"/>
    <w:multiLevelType w:val="hybridMultilevel"/>
    <w:lvl w:ilvl="0">
      <w:lvlJc w:val="left"/>
      <w:lvlText w:val="(%1)"/>
      <w:numFmt w:val="lowerLetter"/>
      <w:start w:val="1"/>
    </w:lvl>
    <w:lvl w:ilvl="1">
      <w:lvlJc w:val="left"/>
      <w:lvlText w:val="(%2)"/>
      <w:numFmt w:val="lowerRoman"/>
      <w:start w:val="1"/>
    </w:lvl>
  </w:abstractNum>
  <w:abstractNum w:abstractNumId="212">
    <w:nsid w:val="6A1B45E5"/>
    <w:multiLevelType w:val="hybridMultilevel"/>
    <w:lvl w:ilvl="0">
      <w:lvlJc w:val="left"/>
      <w:lvlText w:val="(%1)"/>
      <w:numFmt w:val="lowerLetter"/>
      <w:start w:val="1"/>
    </w:lvl>
  </w:abstractNum>
  <w:abstractNum w:abstractNumId="213">
    <w:nsid w:val="567BD50A"/>
    <w:multiLevelType w:val="hybridMultilevel"/>
    <w:lvl w:ilvl="0">
      <w:lvlJc w:val="left"/>
      <w:lvlText w:val="(%1)"/>
      <w:numFmt w:val="lowerLetter"/>
      <w:start w:val="6"/>
    </w:lvl>
  </w:abstractNum>
  <w:abstractNum w:abstractNumId="214">
    <w:nsid w:val="73BBD7F8"/>
    <w:multiLevelType w:val="hybridMultilevel"/>
    <w:lvl w:ilvl="0">
      <w:lvlJc w:val="left"/>
      <w:lvlText w:val="(%1)"/>
      <w:numFmt w:val="lowerRoman"/>
      <w:start w:val="4"/>
    </w:lvl>
  </w:abstractNum>
  <w:abstractNum w:abstractNumId="215">
    <w:nsid w:val="1876589D"/>
    <w:multiLevelType w:val="hybridMultilevel"/>
    <w:lvl w:ilvl="0">
      <w:lvlJc w:val="left"/>
      <w:lvlText w:val="(%1)"/>
      <w:numFmt w:val="lowerLetter"/>
      <w:start w:val="1"/>
    </w:lvl>
    <w:lvl w:ilvl="1">
      <w:lvlJc w:val="left"/>
      <w:lvlText w:val="(%2)"/>
      <w:numFmt w:val="lowerRoman"/>
      <w:start w:val="1"/>
    </w:lvl>
  </w:abstractNum>
  <w:abstractNum w:abstractNumId="216">
    <w:nsid w:val="327FAC77"/>
    <w:multiLevelType w:val="hybridMultilevel"/>
    <w:lvl w:ilvl="0">
      <w:lvlJc w:val="left"/>
      <w:lvlText w:val="(%1)"/>
      <w:numFmt w:val="lowerLetter"/>
      <w:start w:val="2"/>
    </w:lvl>
  </w:abstractNum>
  <w:abstractNum w:abstractNumId="217">
    <w:nsid w:val="5A606509"/>
    <w:multiLevelType w:val="hybridMultilevel"/>
    <w:lvl w:ilvl="0">
      <w:lvlJc w:val="left"/>
      <w:lvlText w:val="(%1)"/>
      <w:numFmt w:val="lowerLetter"/>
      <w:start w:val="3"/>
    </w:lvl>
  </w:abstractNum>
  <w:abstractNum w:abstractNumId="218">
    <w:nsid w:val="6F38E6D1"/>
    <w:multiLevelType w:val="hybridMultilevel"/>
    <w:lvl w:ilvl="0">
      <w:lvlJc w:val="left"/>
      <w:lvlText w:val="(%1)"/>
      <w:numFmt w:val="lowerLetter"/>
      <w:start w:val="5"/>
    </w:lvl>
  </w:abstractNum>
  <w:abstractNum w:abstractNumId="219">
    <w:nsid w:val="46111BA5"/>
    <w:multiLevelType w:val="hybridMultilevel"/>
    <w:lvl w:ilvl="0">
      <w:lvlJc w:val="left"/>
      <w:lvlText w:val="(%1)"/>
      <w:numFmt w:val="lowerLetter"/>
      <w:start w:val="3"/>
    </w:lvl>
  </w:abstractNum>
  <w:abstractNum w:abstractNumId="220">
    <w:nsid w:val="5E963896"/>
    <w:multiLevelType w:val="hybridMultilevel"/>
    <w:lvl w:ilvl="0">
      <w:lvlJc w:val="left"/>
      <w:lvlText w:val="(%1)"/>
      <w:numFmt w:val="lowerLetter"/>
      <w:start w:val="1"/>
    </w:lvl>
  </w:abstractNum>
  <w:abstractNum w:abstractNumId="221">
    <w:nsid w:val="775BA7C1"/>
    <w:multiLevelType w:val="hybridMultilevel"/>
    <w:lvl w:ilvl="0">
      <w:lvlJc w:val="left"/>
      <w:lvlText w:val="(%1)"/>
      <w:numFmt w:val="lowerLetter"/>
      <w:start w:val="3"/>
    </w:lvl>
  </w:abstractNum>
  <w:abstractNum w:abstractNumId="222">
    <w:nsid w:val="1DD6D6F4"/>
    <w:multiLevelType w:val="hybridMultilevel"/>
    <w:lvl w:ilvl="0">
      <w:lvlJc w:val="left"/>
      <w:lvlText w:val="(%1)"/>
      <w:numFmt w:val="lowerLetter"/>
      <w:start w:val="5"/>
    </w:lvl>
  </w:abstractNum>
  <w:abstractNum w:abstractNumId="223">
    <w:nsid w:val="769A091F"/>
    <w:multiLevelType w:val="hybridMultilevel"/>
    <w:lvl w:ilvl="0">
      <w:lvlJc w:val="left"/>
      <w:lvlText w:val="(%1)"/>
      <w:numFmt w:val="lowerLetter"/>
      <w:start w:val="1"/>
    </w:lvl>
  </w:abstractNum>
  <w:abstractNum w:abstractNumId="224">
    <w:nsid w:val="4695AE9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5">
    <w:nsid w:val="777A4EA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26">
    <w:nsid w:val="3F48B982"/>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27">
    <w:nsid w:val="46BA8FCA"/>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228">
    <w:nsid w:val="7835626C"/>
    <w:multiLevelType w:val="hybridMultilevel"/>
    <w:lvl w:ilvl="0">
      <w:lvlJc w:val="left"/>
      <w:lvlText w:val="%1"/>
      <w:numFmt w:val="lowerLetter"/>
      <w:start w:val="1"/>
    </w:lvl>
    <w:lvl w:ilvl="1">
      <w:lvlJc w:val="left"/>
      <w:lvlText w:val="(%2)"/>
      <w:numFmt w:val="lowerRoman"/>
      <w:start w:val="7"/>
    </w:lvl>
  </w:abstractNum>
  <w:abstractNum w:abstractNumId="229">
    <w:nsid w:val="665ACA49"/>
    <w:multiLevelType w:val="hybridMultilevel"/>
    <w:lvl w:ilvl="0">
      <w:lvlJc w:val="left"/>
      <w:lvlText w:val="(%1)"/>
      <w:numFmt w:val="lowerLetter"/>
      <w:start w:val="3"/>
    </w:lvl>
    <w:lvl w:ilvl="1">
      <w:lvlJc w:val="left"/>
      <w:lvlText w:val="%2"/>
      <w:numFmt w:val="lowerRoman"/>
      <w:start w:val="1"/>
    </w:lvl>
  </w:abstractNum>
  <w:abstractNum w:abstractNumId="230">
    <w:nsid w:val="6835B2AE"/>
    <w:multiLevelType w:val="hybridMultilevel"/>
    <w:lvl w:ilvl="0">
      <w:lvlJc w:val="left"/>
      <w:lvlText w:val="(%1)"/>
      <w:numFmt w:val="lowerLetter"/>
      <w:start w:val="5"/>
    </w:lvl>
  </w:abstractNum>
  <w:abstractNum w:abstractNumId="231">
    <w:nsid w:val="4C187C90"/>
    <w:multiLevelType w:val="hybridMultilevel"/>
    <w:lvl w:ilvl="0">
      <w:lvlJc w:val="left"/>
      <w:lvlText w:val="(%1)"/>
      <w:numFmt w:val="lowerLetter"/>
      <w:start w:val="1"/>
    </w:lvl>
  </w:abstractNum>
  <w:abstractNum w:abstractNumId="232">
    <w:nsid w:val="541F28CD"/>
    <w:multiLevelType w:val="hybridMultilevel"/>
    <w:lvl w:ilvl="0">
      <w:lvlJc w:val="left"/>
      <w:lvlText w:val="(%1)"/>
      <w:numFmt w:val="lowerLetter"/>
      <w:start w:val="1"/>
    </w:lvl>
  </w:abstractNum>
  <w:abstractNum w:abstractNumId="233">
    <w:nsid w:val="7F65FD16"/>
    <w:multiLevelType w:val="hybridMultilevel"/>
    <w:lvl w:ilvl="0">
      <w:lvlJc w:val="left"/>
      <w:lvlText w:val="(%1)"/>
      <w:numFmt w:val="lowerLetter"/>
      <w:start w:val="3"/>
    </w:lvl>
  </w:abstractNum>
  <w:abstractNum w:abstractNumId="234">
    <w:nsid w:val="77C9FD68"/>
    <w:multiLevelType w:val="hybridMultilevel"/>
    <w:lvl w:ilvl="0">
      <w:lvlJc w:val="left"/>
      <w:lvlText w:val="(%1)"/>
      <w:numFmt w:val="lowerLetter"/>
      <w:start w:val="1"/>
    </w:lvl>
    <w:lvl w:ilvl="1">
      <w:lvlJc w:val="left"/>
      <w:lvlText w:val="(%2)"/>
      <w:numFmt w:val="lowerRoman"/>
      <w:start w:val="1"/>
    </w:lvl>
  </w:abstractNum>
  <w:abstractNum w:abstractNumId="235">
    <w:nsid w:val="298A92BA"/>
    <w:multiLevelType w:val="hybridMultilevel"/>
    <w:lvl w:ilvl="0">
      <w:lvlJc w:val="left"/>
      <w:lvlText w:val="(%1)"/>
      <w:numFmt w:val="lowerLetter"/>
      <w:start w:val="1"/>
    </w:lvl>
  </w:abstractNum>
  <w:abstractNum w:abstractNumId="236">
    <w:nsid w:val="6FE95EAC"/>
    <w:multiLevelType w:val="hybridMultilevel"/>
    <w:lvl w:ilvl="0">
      <w:lvlJc w:val="left"/>
      <w:lvlText w:val="%1."/>
      <w:numFmt w:val="decimal"/>
      <w:start w:val="1"/>
    </w:lvl>
  </w:abstractNum>
  <w:abstractNum w:abstractNumId="237">
    <w:nsid w:val="4B697C7A"/>
    <w:multiLevelType w:val="hybridMultilevel"/>
    <w:lvl w:ilvl="0">
      <w:lvlJc w:val="left"/>
      <w:lvlText w:val="%1."/>
      <w:numFmt w:val="decimal"/>
      <w:start w:val="8"/>
    </w:lvl>
  </w:abstractNum>
  <w:abstractNum w:abstractNumId="238">
    <w:nsid w:val="51A27AA6"/>
    <w:multiLevelType w:val="hybridMultilevel"/>
    <w:lvl w:ilvl="0">
      <w:lvlJc w:val="left"/>
      <w:lvlText w:val="%1."/>
      <w:numFmt w:val="decimal"/>
      <w:start w:val="13"/>
    </w:lvl>
  </w:abstractNum>
  <w:abstractNum w:abstractNumId="239">
    <w:nsid w:val="613183F2"/>
    <w:multiLevelType w:val="hybridMultilevel"/>
    <w:lvl w:ilvl="0">
      <w:lvlJc w:val="left"/>
      <w:lvlText w:val="%1."/>
      <w:numFmt w:val="decimal"/>
      <w:start w:val="20"/>
    </w:lvl>
  </w:abstractNum>
  <w:abstractNum w:abstractNumId="240">
    <w:nsid w:val="634102B4"/>
    <w:multiLevelType w:val="hybridMultilevel"/>
    <w:lvl w:ilvl="0">
      <w:lvlJc w:val="left"/>
      <w:lvlText w:val="%1."/>
      <w:numFmt w:val="decimal"/>
      <w:start w:val="1"/>
    </w:lvl>
    <w:lvl w:ilvl="1">
      <w:lvlJc w:val="left"/>
      <w:lvlText w:val="%2."/>
      <w:numFmt w:val="lowerLetter"/>
      <w:start w:val="1"/>
    </w:lvl>
  </w:abstractNum>
  <w:abstractNum w:abstractNumId="241">
    <w:nsid w:val="65BF9DA8"/>
    <w:multiLevelType w:val="hybridMultilevel"/>
    <w:lvl w:ilvl="0">
      <w:lvlJc w:val="left"/>
      <w:lvlText w:val="%1."/>
      <w:numFmt w:val="decimal"/>
      <w:start w:val="1"/>
    </w:lvl>
  </w:abstractNum>
  <w:abstractNum w:abstractNumId="242">
    <w:nsid w:val="21A2ECCA"/>
    <w:multiLevelType w:val="hybridMultilevel"/>
    <w:lvl w:ilvl="0">
      <w:lvlJc w:val="left"/>
      <w:lvlText w:val="%1."/>
      <w:numFmt w:val="decimal"/>
      <w:start w:val="2"/>
    </w:lvl>
  </w:abstractNum>
  <w:abstractNum w:abstractNumId="243">
    <w:nsid w:val="4D5C4899"/>
    <w:multiLevelType w:val="hybridMultilevel"/>
    <w:lvl w:ilvl="0">
      <w:lvlJc w:val="left"/>
      <w:lvlText w:val="%1."/>
      <w:numFmt w:val="decimal"/>
      <w:start w:val="1"/>
    </w:lvl>
  </w:abstractNum>
  <w:abstractNum w:abstractNumId="244">
    <w:nsid w:val="3C3B72B2"/>
    <w:multiLevelType w:val="hybridMultilevel"/>
    <w:lvl w:ilvl="0">
      <w:lvlJc w:val="left"/>
      <w:lvlText w:val="%1."/>
      <w:numFmt w:val="decimal"/>
      <w:start w:val="11"/>
    </w:lvl>
  </w:abstractNum>
  <w:abstractNum w:abstractNumId="245">
    <w:nsid w:val="155EC4C2"/>
    <w:multiLevelType w:val="hybridMultilevel"/>
    <w:lvl w:ilvl="0">
      <w:lvlJc w:val="left"/>
      <w:lvlText w:val="%1."/>
      <w:numFmt w:val="decimal"/>
      <w:start w:val="27"/>
    </w:lvl>
  </w:abstractNum>
  <w:abstractNum w:abstractNumId="246">
    <w:nsid w:val="65D2A137"/>
    <w:multiLevelType w:val="hybridMultilevel"/>
    <w:lvl w:ilvl="0">
      <w:lvlJc w:val="left"/>
      <w:lvlText w:val="%1."/>
      <w:numFmt w:val="decimal"/>
      <w:start w:val="1"/>
    </w:lvl>
  </w:abstractNum>
  <w:abstractNum w:abstractNumId="247">
    <w:nsid w:val="6EBB1F2A"/>
    <w:multiLevelType w:val="hybridMultilevel"/>
    <w:lvl w:ilvl="0">
      <w:lvlJc w:val="left"/>
      <w:lvlText w:val="%1."/>
      <w:numFmt w:val="decimal"/>
      <w:start w:val="1"/>
    </w:lvl>
  </w:abstractNum>
  <w:abstractNum w:abstractNumId="248">
    <w:nsid w:val="6FBF29CB"/>
    <w:multiLevelType w:val="hybridMultilevel"/>
    <w:lvl w:ilvl="0">
      <w:lvlJc w:val="left"/>
      <w:lvlText w:val="☐"/>
      <w:numFmt w:val="bullet"/>
      <w:start w:val="1"/>
    </w:lvl>
  </w:abstractNum>
  <w:abstractNum w:abstractNumId="249">
    <w:nsid w:val="550B8808"/>
    <w:multiLevelType w:val="hybridMultilevel"/>
    <w:lvl w:ilvl="0">
      <w:lvlJc w:val="left"/>
      <w:lvlText w:val="%1."/>
      <w:numFmt w:val="decimal"/>
      <w:start w:val="1"/>
    </w:lvl>
  </w:abstractNum>
  <w:abstractNum w:abstractNumId="250">
    <w:nsid w:val="34CC3ACF"/>
    <w:multiLevelType w:val="hybridMultilevel"/>
    <w:lvl w:ilvl="0">
      <w:lvlJc w:val="left"/>
      <w:lvlText w:val="%1."/>
      <w:numFmt w:val="decimal"/>
      <w:start w:val="4"/>
    </w:lvl>
  </w:abstractNum>
  <w:abstractNum w:abstractNumId="251">
    <w:nsid w:val="4E556261"/>
    <w:multiLevelType w:val="hybridMultilevel"/>
    <w:lvl w:ilvl="0">
      <w:lvlJc w:val="left"/>
      <w:lvlText w:val="1"/>
      <w:numFmt w:val="bullet"/>
      <w:start w:val="1"/>
    </w:lvl>
  </w:abstractNum>
  <w:abstractNum w:abstractNumId="252">
    <w:nsid w:val="4C672FC9"/>
    <w:multiLevelType w:val="hybridMultilevel"/>
    <w:lvl w:ilvl="0">
      <w:lvlJc w:val="left"/>
      <w:lvlText w:val="%1."/>
      <w:numFmt w:val="decimal"/>
      <w:start w:val="1"/>
    </w:lvl>
  </w:abstractNum>
  <w:abstractNum w:abstractNumId="253">
    <w:nsid w:val="52A311C3"/>
    <w:multiLevelType w:val="hybridMultilevel"/>
    <w:lvl w:ilvl="0">
      <w:lvlJc w:val="left"/>
      <w:lvlText w:val="%1."/>
      <w:numFmt w:val="decimal"/>
      <w:start w:val="1"/>
    </w:lvl>
  </w:abstractNum>
  <w:abstractNum w:abstractNumId="254">
    <w:nsid w:val="44EF6B80"/>
    <w:multiLevelType w:val="hybridMultilevel"/>
    <w:lvl w:ilvl="0">
      <w:lvlJc w:val="left"/>
      <w:lvlText w:val="%1."/>
      <w:numFmt w:val="decimal"/>
      <w:start w:val="1"/>
    </w:lvl>
  </w:abstractNum>
  <w:abstractNum w:abstractNumId="255">
    <w:nsid w:val="12FCDE5E"/>
    <w:multiLevelType w:val="hybridMultilevel"/>
    <w:lvl w:ilvl="0">
      <w:lvlJc w:val="left"/>
      <w:lvlText w:val="%1."/>
      <w:numFmt w:val="decimal"/>
      <w:start w:val="3"/>
    </w:lvl>
  </w:abstractNum>
  <w:abstractNum w:abstractNumId="256">
    <w:nsid w:val="4A1D606E"/>
    <w:multiLevelType w:val="hybridMultilevel"/>
    <w:lvl w:ilvl="0">
      <w:lvlJc w:val="left"/>
      <w:lvlText w:val="%1"/>
      <w:numFmt w:val="lowerLetter"/>
      <w:start w:val="1"/>
    </w:lvl>
    <w:lvl w:ilvl="1">
      <w:lvlJc w:val="left"/>
      <w:lvlText w:val="%2."/>
      <w:numFmt w:val="decimal"/>
      <w:start w:val="4"/>
    </w:lvl>
  </w:abstractNum>
  <w:abstractNum w:abstractNumId="257">
    <w:nsid w:val="4382503"/>
    <w:multiLevelType w:val="hybridMultilevel"/>
    <w:lvl w:ilvl="0">
      <w:lvlJc w:val="left"/>
      <w:lvlText w:val="(%1)"/>
      <w:numFmt w:val="lowerLetter"/>
      <w:start w:val="1"/>
    </w:lvl>
    <w:lvl w:ilvl="1">
      <w:lvlJc w:val="left"/>
      <w:lvlText w:val="%2."/>
      <w:numFmt w:val="decimal"/>
      <w:start w:val="5"/>
    </w:lvl>
  </w:abstractNum>
  <w:abstractNum w:abstractNumId="258">
    <w:nsid w:val="59B76E28"/>
    <w:multiLevelType w:val="hybridMultilevel"/>
    <w:lvl w:ilvl="0">
      <w:lvlJc w:val="left"/>
      <w:lvlText w:val="%1."/>
      <w:numFmt w:val="upperLetter"/>
      <w:start w:val="9"/>
    </w:lvl>
    <w:lvl w:ilvl="1">
      <w:lvlJc w:val="left"/>
      <w:lvlText w:val="%2."/>
      <w:numFmt w:val="decimal"/>
      <w:start w:val="1"/>
    </w:lvl>
  </w:abstractNum>
  <w:abstractNum w:abstractNumId="259">
    <w:nsid w:val="4252C2DA"/>
    <w:multiLevelType w:val="hybridMultilevel"/>
    <w:lvl w:ilvl="0">
      <w:lvlJc w:val="left"/>
      <w:lvlText w:val="%1."/>
      <w:numFmt w:val="decimal"/>
      <w:start w:val="2"/>
    </w:lvl>
  </w:abstractNum>
  <w:abstractNum w:abstractNumId="260">
    <w:nsid w:val="6A92EF4C"/>
    <w:multiLevelType w:val="hybridMultilevel"/>
    <w:lvl w:ilvl="0">
      <w:lvlJc w:val="left"/>
      <w:lvlText w:val="%1."/>
      <w:numFmt w:val="decimal"/>
      <w:start w:val="14"/>
    </w:lvl>
  </w:abstractNum>
  <w:abstractNum w:abstractNumId="261">
    <w:nsid w:val="41ED20D7"/>
    <w:multiLevelType w:val="hybridMultilevel"/>
    <w:lvl w:ilvl="0">
      <w:lvlJc w:val="left"/>
      <w:lvlText w:val="%1."/>
      <w:numFmt w:val="decimal"/>
      <w:start w:val="20"/>
    </w:lvl>
  </w:abstractNum>
  <w:abstractNum w:abstractNumId="262">
    <w:nsid w:val="E6B3F6A"/>
    <w:multiLevelType w:val="hybridMultilevel"/>
    <w:lvl w:ilvl="0">
      <w:lvlJc w:val="left"/>
      <w:lvlText w:val="3"/>
      <w:numFmt w:val="bullet"/>
      <w:start w:val="1"/>
    </w:lvl>
  </w:abstractNum>
  <w:abstractNum w:abstractNumId="263">
    <w:nsid w:val="3EB21819"/>
    <w:multiLevelType w:val="hybridMultilevel"/>
    <w:lvl w:ilvl="0">
      <w:lvlJc w:val="left"/>
      <w:lvlText w:val="%1."/>
      <w:numFmt w:val="decimal"/>
      <w:start w:val="21"/>
    </w:lvl>
  </w:abstractNum>
  <w:abstractNum w:abstractNumId="264">
    <w:nsid w:val="41531DED"/>
    <w:multiLevelType w:val="hybridMultilevel"/>
    <w:lvl w:ilvl="0">
      <w:lvlJc w:val="left"/>
      <w:lvlText w:val="%1."/>
      <w:numFmt w:val="upperLetter"/>
      <w:start w:val="34"/>
    </w:lvl>
    <w:lvl w:ilvl="1">
      <w:lvlJc w:val="left"/>
      <w:lvlText w:val="+"/>
      <w:numFmt w:val="bullet"/>
      <w:start w:val="1"/>
    </w:lvl>
  </w:abstractNum>
  <w:abstractNum w:abstractNumId="265">
    <w:nsid w:val="6353CD2"/>
    <w:multiLevelType w:val="hybridMultilevel"/>
    <w:lvl w:ilvl="0">
      <w:lvlJc w:val="left"/>
      <w:lvlText w:val="4"/>
      <w:numFmt w:val="bullet"/>
      <w:start w:val="1"/>
    </w:lvl>
  </w:abstractNum>
  <w:abstractNum w:abstractNumId="266">
    <w:nsid w:val="683CAAD3"/>
    <w:multiLevelType w:val="hybridMultilevel"/>
    <w:lvl w:ilvl="0">
      <w:lvlJc w:val="left"/>
      <w:lvlText w:val="+"/>
      <w:numFmt w:val="bullet"/>
      <w:start w:val="1"/>
    </w:lvl>
  </w:abstractNum>
  <w:abstractNum w:abstractNumId="267">
    <w:nsid w:val="313C7C99"/>
    <w:multiLevelType w:val="hybridMultilevel"/>
    <w:lvl w:ilvl="0">
      <w:lvlJc w:val="left"/>
      <w:lvlText w:val="+"/>
      <w:numFmt w:val="bullet"/>
      <w:start w:val="1"/>
    </w:lvl>
  </w:abstractNum>
  <w:abstractNum w:abstractNumId="268">
    <w:nsid w:val="519EB94C"/>
    <w:multiLevelType w:val="hybridMultilevel"/>
    <w:lvl w:ilvl="0">
      <w:lvlJc w:val="left"/>
      <w:lvlText w:val="-"/>
      <w:numFmt w:val="bullet"/>
      <w:start w:val="1"/>
    </w:lvl>
  </w:abstractNum>
  <w:abstractNum w:abstractNumId="269">
    <w:nsid w:val="39DF2579"/>
    <w:multiLevelType w:val="hybridMultilevel"/>
    <w:lvl w:ilvl="0">
      <w:lvlJc w:val="left"/>
      <w:lvlText w:val="6"/>
      <w:numFmt w:val="bullet"/>
      <w:start w:val="1"/>
    </w:lvl>
  </w:abstractNum>
  <w:abstractNum w:abstractNumId="270">
    <w:nsid w:val="126E008B"/>
    <w:multiLevelType w:val="hybridMultilevel"/>
    <w:lvl w:ilvl="0">
      <w:lvlJc w:val="left"/>
      <w:lvlText w:val="%1."/>
      <w:numFmt w:val="decimal"/>
      <w:start w:val="1"/>
    </w:lvl>
  </w:abstractNum>
  <w:abstractNum w:abstractNumId="271">
    <w:nsid w:val="34DFBC00"/>
    <w:multiLevelType w:val="hybridMultilevel"/>
    <w:lvl w:ilvl="0">
      <w:lvlJc w:val="left"/>
      <w:lvlText w:val="%1."/>
      <w:numFmt w:val="decimal"/>
      <w:start w:val="2"/>
    </w:lvl>
  </w:abstractNum>
  <w:abstractNum w:abstractNumId="272">
    <w:nsid w:val="1F9EC322"/>
    <w:multiLevelType w:val="hybridMultilevel"/>
    <w:lvl w:ilvl="0">
      <w:lvlJc w:val="left"/>
      <w:lvlText w:val="%1."/>
      <w:numFmt w:val="decimal"/>
      <w:start w:val="3"/>
    </w:lvl>
  </w:abstractNum>
  <w:abstractNum w:abstractNumId="273">
    <w:nsid w:val="3410ED56"/>
    <w:multiLevelType w:val="hybridMultilevel"/>
    <w:lvl w:ilvl="0">
      <w:lvlJc w:val="left"/>
      <w:lvlText w:val="%1"/>
      <w:numFmt w:val="decimal"/>
      <w:start w:val="18"/>
    </w:lvl>
  </w:abstractNum>
  <w:abstractNum w:abstractNumId="274">
    <w:nsid w:val="23C049A"/>
    <w:multiLevelType w:val="hybridMultilevel"/>
    <w:lvl w:ilvl="0">
      <w:lvlJc w:val="left"/>
      <w:lvlText w:val="%1."/>
      <w:numFmt w:val="decimal"/>
      <w:start w:val="1"/>
    </w:lvl>
  </w:abstractNum>
  <w:abstractNum w:abstractNumId="275">
    <w:nsid w:val="5BDA35D4"/>
    <w:multiLevelType w:val="hybridMultilevel"/>
    <w:lvl w:ilvl="0">
      <w:lvlJc w:val="left"/>
      <w:lvlText w:val="%1."/>
      <w:numFmt w:val="decimal"/>
      <w:start w:val="2"/>
    </w:lvl>
  </w:abstractNum>
  <w:abstractNum w:abstractNumId="276">
    <w:nsid w:val="496FB218"/>
    <w:multiLevelType w:val="hybridMultilevel"/>
    <w:lvl w:ilvl="0">
      <w:lvlJc w:val="left"/>
      <w:lvlText w:val="(%1)"/>
      <w:numFmt w:val="lowerRoman"/>
      <w:start w:val="2"/>
    </w:lvl>
  </w:abstractNum>
  <w:abstractNum w:abstractNumId="277">
    <w:nsid w:val="680EA5D1"/>
    <w:multiLevelType w:val="hybridMultilevel"/>
    <w:lvl w:ilvl="0">
      <w:lvlJc w:val="left"/>
      <w:lvlText w:val="☐"/>
      <w:numFmt w:val="bullet"/>
      <w:start w:val="1"/>
    </w:lvl>
  </w:abstractNum>
  <w:abstractNum w:abstractNumId="278">
    <w:nsid w:val="4A9554FE"/>
    <w:multiLevelType w:val="hybridMultilevel"/>
    <w:lvl w:ilvl="0">
      <w:lvlJc w:val="left"/>
      <w:lvlText w:val="☐"/>
      <w:numFmt w:val="bullet"/>
      <w:start w:val="1"/>
    </w:lvl>
  </w:abstractNum>
  <w:abstractNum w:abstractNumId="279">
    <w:nsid w:val="392EDBE4"/>
    <w:multiLevelType w:val="hybridMultilevel"/>
    <w:lvl w:ilvl="0">
      <w:lvlJc w:val="left"/>
      <w:lvlText w:val="%1"/>
      <w:numFmt w:val="decimal"/>
      <w:start w:val="21"/>
    </w:lvl>
  </w:abstractNum>
  <w:abstractNum w:abstractNumId="280">
    <w:nsid w:val="3D1A2DD9"/>
    <w:multiLevelType w:val="hybridMultilevel"/>
    <w:lvl w:ilvl="0">
      <w:lvlJc w:val="left"/>
      <w:lvlText w:val="☐"/>
      <w:numFmt w:val="bullet"/>
      <w:start w:val="1"/>
    </w:lvl>
  </w:abstractNum>
  <w:abstractNum w:abstractNumId="281">
    <w:nsid w:val="7F618FCD"/>
    <w:multiLevelType w:val="hybridMultilevel"/>
    <w:lvl w:ilvl="0">
      <w:lvlJc w:val="left"/>
      <w:lvlText w:val="%1"/>
      <w:numFmt w:val="decimal"/>
      <w:start w:val="24"/>
    </w:lvl>
  </w:abstractNum>
  <w:abstractNum w:abstractNumId="282">
    <w:nsid w:val="7843E45"/>
    <w:multiLevelType w:val="hybridMultilevel"/>
    <w:lvl w:ilvl="0">
      <w:lvlJc w:val="left"/>
      <w:lvlText w:val="%1)"/>
      <w:numFmt w:val="lowerLetter"/>
      <w:start w:val="1"/>
    </w:lvl>
  </w:abstractNum>
  <w:abstractNum w:abstractNumId="283">
    <w:nsid w:val="9815DA3"/>
    <w:multiLevelType w:val="hybridMultilevel"/>
    <w:lvl w:ilvl="0">
      <w:lvlJc w:val="left"/>
      <w:lvlText w:val="%1)"/>
      <w:numFmt w:val="lowerLetter"/>
      <w:start w:val="1"/>
    </w:lvl>
  </w:abstractNum>
  <w:abstractNum w:abstractNumId="284">
    <w:nsid w:val="5204A191"/>
    <w:multiLevelType w:val="hybridMultilevel"/>
    <w:lvl w:ilvl="0">
      <w:lvlJc w:val="left"/>
      <w:lvlText w:val="%1)"/>
      <w:numFmt w:val="lowerLetter"/>
      <w:start w:val="1"/>
    </w:lvl>
  </w:abstractNum>
  <w:abstractNum w:abstractNumId="285">
    <w:nsid w:val="4C73A9C6"/>
    <w:multiLevelType w:val="hybridMultilevel"/>
    <w:lvl w:ilvl="0">
      <w:lvlJc w:val="left"/>
      <w:lvlText w:val="%1)"/>
      <w:numFmt w:val="lowerLetter"/>
      <w:start w:val="1"/>
    </w:lvl>
  </w:abstractNum>
  <w:abstractNum w:abstractNumId="286">
    <w:nsid w:val="1C7E3C01"/>
    <w:multiLevelType w:val="hybridMultilevel"/>
    <w:lvl w:ilvl="0">
      <w:lvlJc w:val="left"/>
      <w:lvlText w:val="(%1)"/>
      <w:numFmt w:val="decimal"/>
      <w:start w:val="1"/>
    </w:lvl>
  </w:abstractNum>
  <w:abstractNum w:abstractNumId="287">
    <w:nsid w:val="1C2201F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2019-12-28T04:08:14Z</dcterms:created>
  <dcterms:modified xsi:type="dcterms:W3CDTF">2019-12-28T04:08:14Z</dcterms:modified>
</cp:coreProperties>
</file>