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80"/>
        <w:jc w:val="both"/>
        <w:rPr/>
      </w:pPr>
      <w:r>
        <w:rPr>
          <w:color w:val="000000"/>
        </w:rPr>
        <w:t>☑     </w:t>
      </w:r>
      <w:r>
        <w:rPr>
          <w:rFonts w:ascii="Times New Roman;serif" w:hAnsi="Times New Roman;serif"/>
          <w:b/>
          <w:color w:val="000000"/>
          <w:sz w:val="27"/>
        </w:rPr>
        <w:t>QUARTERLY REPORT PURSUANT TO SECTION 13 OR 15(d) OF THE SECURITIES EXCHANGE ACT OF 1934</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For the quarterly period ended March 31, 2026</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88" w:before="0" w:after="80"/>
        <w:jc w:val="both"/>
        <w:rPr/>
      </w:pPr>
      <w:r>
        <w:rPr>
          <w:color w:val="000000"/>
        </w:rPr>
        <w:t>☐     </w:t>
      </w:r>
      <w:r>
        <w:rPr>
          <w:rFonts w:ascii="Times New Roman;serif" w:hAnsi="Times New Roman;serif"/>
          <w:b/>
          <w:color w:val="000000"/>
          <w:sz w:val="27"/>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transition period from __ to __</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Commission File Number 001-08106</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w:t>
      </w:r>
    </w:p>
    <w:p>
      <w:pPr>
        <w:pStyle w:val="TextBody"/>
        <w:bidi w:val="0"/>
        <w:spacing w:before="80" w:after="283"/>
        <w:jc w:val="center"/>
        <w:rPr/>
      </w:pPr>
      <w:r>
        <w:rPr/>
        <w:drawing>
          <wp:inline distT="0" distB="0" distL="0" distR="0">
            <wp:extent cx="108585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85850" cy="2095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MasTec, Inc.</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tbl>
      <w:tblPr>
        <w:tblW w:w="6415" w:type="dxa"/>
        <w:jc w:val="center"/>
        <w:tblInd w:w="0" w:type="dxa"/>
        <w:tblLayout w:type="fixed"/>
        <w:tblCellMar>
          <w:top w:w="28" w:type="dxa"/>
          <w:left w:w="28" w:type="dxa"/>
          <w:bottom w:w="28" w:type="dxa"/>
          <w:right w:w="28" w:type="dxa"/>
        </w:tblCellMar>
      </w:tblPr>
      <w:tblGrid>
        <w:gridCol w:w="734"/>
        <w:gridCol w:w="645"/>
        <w:gridCol w:w="645"/>
        <w:gridCol w:w="645"/>
        <w:gridCol w:w="645"/>
        <w:gridCol w:w="657"/>
        <w:gridCol w:w="714"/>
        <w:gridCol w:w="714"/>
        <w:gridCol w:w="1016"/>
      </w:tblGrid>
      <w:tr>
        <w:trPr/>
        <w:tc>
          <w:tcPr>
            <w:tcW w:w="7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65-0829355</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(State or other jurisdiction of incorporation or organization)</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(I.R.S. Employer Identification No.)</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800 S. Douglas Road, 12th Floor</w:t>
            </w:r>
          </w:p>
        </w:tc>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Coral Gables,</w:t>
            </w:r>
          </w:p>
        </w:tc>
        <w:tc>
          <w:tcPr>
            <w:tcW w:w="19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Florida</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33134</w:t>
            </w:r>
          </w:p>
        </w:tc>
      </w:tr>
      <w:tr>
        <w:trPr/>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(Address of principal executive offices)</w:t>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5"/>
              </w:rPr>
            </w:pPr>
            <w:r>
              <w:rPr>
                <w:rFonts w:ascii="Times New Roman;serif" w:hAnsi="Times New Roman;serif"/>
                <w:b/>
                <w:i/>
                <w:color w:val="000000"/>
                <w:sz w:val="15"/>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(305) 599-1800</w:t>
      </w:r>
    </w:p>
    <w:p>
      <w:pPr>
        <w:pStyle w:val="TextBody"/>
        <w:bidi w:val="0"/>
        <w:spacing w:lineRule="auto" w:line="288" w:before="0" w:after="10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6868" w:type="dxa"/>
        <w:jc w:val="center"/>
        <w:tblInd w:w="0" w:type="dxa"/>
        <w:tblLayout w:type="fixed"/>
        <w:tblCellMar>
          <w:top w:w="28" w:type="dxa"/>
          <w:left w:w="28" w:type="dxa"/>
          <w:bottom w:w="28" w:type="dxa"/>
          <w:right w:w="28" w:type="dxa"/>
        </w:tblCellMar>
      </w:tblPr>
      <w:tblGrid>
        <w:gridCol w:w="948"/>
        <w:gridCol w:w="835"/>
        <w:gridCol w:w="841"/>
        <w:gridCol w:w="434"/>
        <w:gridCol w:w="434"/>
        <w:gridCol w:w="436"/>
        <w:gridCol w:w="860"/>
        <w:gridCol w:w="860"/>
        <w:gridCol w:w="1220"/>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Title of each class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u w:val="single"/>
              </w:rPr>
            </w:pPr>
            <w:r>
              <w:rPr>
                <w:rFonts w:ascii="Times New Roman;serif" w:hAnsi="Times New Roman;serif"/>
                <w:b/>
                <w:color w:val="000000"/>
                <w:sz w:val="15"/>
                <w:u w:val="single"/>
              </w:rPr>
              <w:t>Trading symbol(s)</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u w:val="single"/>
              </w:rPr>
            </w:pPr>
            <w:r>
              <w:rPr>
                <w:rFonts w:ascii="Times New Roman;serif" w:hAnsi="Times New Roman;serif"/>
                <w:b/>
                <w:color w:val="000000"/>
                <w:sz w:val="15"/>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$0.10 Par Value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MTZ</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60" w:after="283"/>
        <w:jc w:val="both"/>
        <w:rPr/>
      </w:pPr>
      <w:r>
        <w:rPr>
          <w:color w:val="000000"/>
        </w:rPr>
        <w:t>    </w:t>
      </w: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pPr>
      <w:r>
        <w:rPr>
          <w:color w:val="000000"/>
        </w:rPr>
        <w:t>    </w:t>
      </w: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center"/>
              <w:rPr>
                <w:color w:val="000000"/>
              </w:rPr>
            </w:pPr>
            <w:r>
              <w:rPr>
                <w:color w:val="000000"/>
              </w:rPr>
              <w:t>☐</w:t>
            </w:r>
          </w:p>
        </w:tc>
      </w:tr>
    </w:tbl>
    <w:p>
      <w:pPr>
        <w:pStyle w:val="TextBody"/>
        <w:bidi w:val="0"/>
        <w:spacing w:lineRule="auto" w:line="288" w:before="120" w:after="283"/>
        <w:jc w:val="left"/>
        <w:rPr/>
      </w:pPr>
      <w:r>
        <w:rPr>
          <w:color w:val="000000"/>
        </w:rPr>
        <w:t>    </w:t>
      </w: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color w:val="000000"/>
        </w:rPr>
        <w:t>    </w:t>
      </w:r>
      <w:r>
        <w:rPr>
          <w:rFonts w:ascii="Times New Roman;serif" w:hAnsi="Times New Roman;serif"/>
          <w:b w:val="false"/>
          <w:color w:val="000000"/>
          <w:sz w:val="18"/>
        </w:rPr>
        <w:t>Indicate by check mark whether the registrant is a shell company (as defined in Rule 12b-2 of the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18"/>
        </w:rPr>
        <w:t>As of April 27, 2026, MasTec, Inc. had 79,018,556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QUARTER ENDED MARCH 31, 2026</w:t>
      </w:r>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9017" w:type="dxa"/>
        <w:jc w:val="center"/>
        <w:tblInd w:w="0" w:type="dxa"/>
        <w:tblLayout w:type="fixed"/>
        <w:tblCellMar>
          <w:top w:w="28" w:type="dxa"/>
          <w:left w:w="28" w:type="dxa"/>
          <w:bottom w:w="28" w:type="dxa"/>
          <w:right w:w="28" w:type="dxa"/>
        </w:tblCellMar>
      </w:tblPr>
      <w:tblGrid>
        <w:gridCol w:w="362"/>
        <w:gridCol w:w="319"/>
        <w:gridCol w:w="319"/>
        <w:gridCol w:w="677"/>
        <w:gridCol w:w="677"/>
        <w:gridCol w:w="677"/>
        <w:gridCol w:w="1816"/>
        <w:gridCol w:w="1816"/>
        <w:gridCol w:w="1858"/>
        <w:gridCol w:w="145"/>
        <w:gridCol w:w="145"/>
        <w:gridCol w:w="206"/>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85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852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0">
              <w:r>
                <w:rPr>
                  <w:rStyle w:val="InternetLink"/>
                  <w:rFonts w:ascii="Times New Roman;serif" w:hAnsi="Times New Roman;serif"/>
                  <w:b w:val="false"/>
                  <w:color w:val="0000FF"/>
                  <w:sz w:val="18"/>
                  <w:u w:val="single"/>
                </w:rPr>
                <w:t>Part I. FINANCIAL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0">
              <w:r>
                <w:rPr>
                  <w:rStyle w:val="InternetLink"/>
                  <w:rFonts w:ascii="Times New Roman;serif" w:hAnsi="Times New Roman;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
              <w:r>
                <w:rPr>
                  <w:rStyle w:val="InternetLink"/>
                  <w:rFonts w:ascii="Times New Roman;serif" w:hAnsi="Times New Roman;serif"/>
                  <w:b w:val="false"/>
                  <w:color w:val="0000FF"/>
                  <w:sz w:val="18"/>
                  <w:u w:val="single"/>
                </w:rPr>
                <w:t>Item 1</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
              <w:r>
                <w:rPr>
                  <w:rStyle w:val="InternetLink"/>
                  <w:rFonts w:ascii="Times New Roman;serif" w:hAnsi="Times New Roman;serif"/>
                  <w:b w:val="false"/>
                  <w:color w:val="0000FF"/>
                  <w:sz w:val="18"/>
                  <w:u w:val="single"/>
                </w:rPr>
                <w:t>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3">
              <w:r>
                <w:rPr>
                  <w:rStyle w:val="InternetLink"/>
                  <w:rFonts w:ascii="Times New Roman;serif" w:hAnsi="Times New Roman;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6">
              <w:r>
                <w:rPr>
                  <w:rStyle w:val="InternetLink"/>
                  <w:rFonts w:ascii="Times New Roman;serif" w:hAnsi="Times New Roman;serif"/>
                  <w:b w:val="false"/>
                  <w:color w:val="0000FF"/>
                  <w:sz w:val="18"/>
                  <w:u w:val="single"/>
                </w:rPr>
                <w:t>Consolidated Statements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6">
              <w:r>
                <w:rPr>
                  <w:rStyle w:val="InternetLink"/>
                  <w:rFonts w:ascii="Times New Roman;serif" w:hAnsi="Times New Roman;serif"/>
                  <w:b w:val="false"/>
                  <w:color w:val="0000FF"/>
                  <w:sz w:val="18"/>
                  <w:u w:val="single"/>
                </w:rPr>
                <w:t>3</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9">
              <w:r>
                <w:rPr>
                  <w:rStyle w:val="InternetLink"/>
                  <w:rFonts w:ascii="Times New Roman;serif" w:hAnsi="Times New Roman;serif"/>
                  <w:b w:val="false"/>
                  <w:color w:val="0000FF"/>
                  <w:sz w:val="18"/>
                  <w:u w:val="single"/>
                </w:rPr>
                <w:t>Consolidated Statements of Comprehensive Income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9">
              <w:r>
                <w:rPr>
                  <w:rStyle w:val="InternetLink"/>
                  <w:rFonts w:ascii="Times New Roman;serif" w:hAnsi="Times New Roman;serif"/>
                  <w:b w:val="false"/>
                  <w:color w:val="0000FF"/>
                  <w:sz w:val="18"/>
                  <w:u w:val="single"/>
                </w:rPr>
                <w:t>4</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22">
              <w:r>
                <w:rPr>
                  <w:rStyle w:val="InternetLink"/>
                  <w:rFonts w:ascii="Times New Roman;serif" w:hAnsi="Times New Roman;serif"/>
                  <w:b w:val="false"/>
                  <w:color w:val="0000FF"/>
                  <w:sz w:val="18"/>
                  <w:u w:val="single"/>
                </w:rPr>
                <w:t>Consolidated Balance Sheets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22">
              <w:r>
                <w:rPr>
                  <w:rStyle w:val="InternetLink"/>
                  <w:rFonts w:ascii="Times New Roman;serif" w:hAnsi="Times New Roman;serif"/>
                  <w:b w:val="false"/>
                  <w:color w:val="0000FF"/>
                  <w:sz w:val="18"/>
                  <w:u w:val="single"/>
                </w:rPr>
                <w:t>5</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25">
              <w:r>
                <w:rPr>
                  <w:rStyle w:val="InternetLink"/>
                  <w:rFonts w:ascii="Times New Roman;serif" w:hAnsi="Times New Roman;serif"/>
                  <w:b w:val="false"/>
                  <w:color w:val="0000FF"/>
                  <w:sz w:val="18"/>
                  <w:u w:val="single"/>
                </w:rPr>
                <w:t>Consolidated Statements of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25">
              <w:r>
                <w:rPr>
                  <w:rStyle w:val="InternetLink"/>
                  <w:rFonts w:ascii="Times New Roman;serif" w:hAnsi="Times New Roman;serif"/>
                  <w:b w:val="false"/>
                  <w:color w:val="0000FF"/>
                  <w:sz w:val="18"/>
                  <w:u w:val="single"/>
                </w:rPr>
                <w:t>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31">
              <w:r>
                <w:rPr>
                  <w:rStyle w:val="InternetLink"/>
                  <w:rFonts w:ascii="Times New Roman;serif" w:hAnsi="Times New Roman;serif"/>
                  <w:b w:val="false"/>
                  <w:color w:val="0000FF"/>
                  <w:sz w:val="18"/>
                  <w:u w:val="single"/>
                </w:rPr>
                <w:t>Consolidated Statements of Cash Flows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31">
              <w:r>
                <w:rPr>
                  <w:rStyle w:val="InternetLink"/>
                  <w:rFonts w:ascii="Times New Roman;serif" w:hAnsi="Times New Roman;serif"/>
                  <w:b w:val="false"/>
                  <w:color w:val="0000FF"/>
                  <w:sz w:val="18"/>
                  <w:u w:val="single"/>
                </w:rPr>
                <w:t>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34">
              <w:r>
                <w:rPr>
                  <w:rStyle w:val="InternetLink"/>
                  <w:rFonts w:ascii="Times New Roman;serif" w:hAnsi="Times New Roman;serif"/>
                  <w:b w:val="false"/>
                  <w:color w:val="0000FF"/>
                  <w:sz w:val="18"/>
                  <w:u w:val="single"/>
                </w:rPr>
                <w:t>Notes to Consolidated Financial Statements (Unaudited)</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34">
              <w:r>
                <w:rPr>
                  <w:rStyle w:val="InternetLink"/>
                  <w:rFonts w:ascii="Times New Roman;serif" w:hAnsi="Times New Roman;serif"/>
                  <w:b w:val="false"/>
                  <w:color w:val="0000FF"/>
                  <w:sz w:val="18"/>
                  <w:u w:val="single"/>
                </w:rPr>
                <w:t>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37">
              <w:r>
                <w:rPr>
                  <w:rStyle w:val="InternetLink"/>
                  <w:rFonts w:ascii="Times New Roman;serif" w:hAnsi="Times New Roman;serif"/>
                  <w:b w:val="false"/>
                  <w:color w:val="0000FF"/>
                  <w:sz w:val="18"/>
                  <w:u w:val="single"/>
                </w:rPr>
                <w:t>Business, Basis of Presentation and Significant Accounting Policies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37">
              <w:r>
                <w:rPr>
                  <w:rStyle w:val="InternetLink"/>
                  <w:rFonts w:ascii="Times New Roman;serif" w:hAnsi="Times New Roman;serif"/>
                  <w:b w:val="false"/>
                  <w:color w:val="0000FF"/>
                  <w:sz w:val="18"/>
                  <w:u w:val="single"/>
                </w:rPr>
                <w:t>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2.</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43">
              <w:r>
                <w:rPr>
                  <w:rStyle w:val="InternetLink"/>
                  <w:rFonts w:ascii="Times New Roman;serif" w:hAnsi="Times New Roman;serif"/>
                  <w:b w:val="false"/>
                  <w:color w:val="0000FF"/>
                  <w:sz w:val="18"/>
                  <w:u w:val="single"/>
                </w:rPr>
                <w:t>Earnings Per Share</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43">
              <w:r>
                <w:rPr>
                  <w:rStyle w:val="InternetLink"/>
                  <w:rFonts w:ascii="Times New Roman;serif" w:hAnsi="Times New Roman;serif"/>
                  <w:b w:val="false"/>
                  <w:color w:val="0000FF"/>
                  <w:sz w:val="18"/>
                  <w:u w:val="single"/>
                </w:rPr>
                <w:t>10</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3.</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46">
              <w:r>
                <w:rPr>
                  <w:rStyle w:val="InternetLink"/>
                  <w:rFonts w:ascii="Times New Roman;serif" w:hAnsi="Times New Roman;serif"/>
                  <w:b w:val="false"/>
                  <w:color w:val="0000FF"/>
                  <w:sz w:val="18"/>
                  <w:u w:val="single"/>
                </w:rPr>
                <w:t>Acquisitions, Goodwill and Other Intangible Assets, Net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46">
              <w:r>
                <w:rPr>
                  <w:rStyle w:val="InternetLink"/>
                  <w:rFonts w:ascii="Times New Roman;serif" w:hAnsi="Times New Roman;serif"/>
                  <w:b w:val="false"/>
                  <w:color w:val="0000FF"/>
                  <w:sz w:val="18"/>
                  <w:u w:val="single"/>
                </w:rPr>
                <w:t>11</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4.</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49">
              <w:r>
                <w:rPr>
                  <w:rStyle w:val="InternetLink"/>
                  <w:rFonts w:ascii="Times New Roman;serif" w:hAnsi="Times New Roman;serif"/>
                  <w:b w:val="false"/>
                  <w:color w:val="0000FF"/>
                  <w:sz w:val="18"/>
                  <w:u w:val="single"/>
                </w:rPr>
                <w:t>Fair Value of Financial Instruments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49">
              <w:r>
                <w:rPr>
                  <w:rStyle w:val="InternetLink"/>
                  <w:rFonts w:ascii="Times New Roman;serif" w:hAnsi="Times New Roman;serif"/>
                  <w:b w:val="false"/>
                  <w:color w:val="0000FF"/>
                  <w:sz w:val="18"/>
                  <w:u w:val="single"/>
                </w:rPr>
                <w:t>14</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5.</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52">
              <w:r>
                <w:rPr>
                  <w:rStyle w:val="InternetLink"/>
                  <w:rFonts w:ascii="Times New Roman;serif" w:hAnsi="Times New Roman;serif"/>
                  <w:b w:val="false"/>
                  <w:color w:val="0000FF"/>
                  <w:sz w:val="18"/>
                  <w:u w:val="single"/>
                </w:rPr>
                <w:t>Accounts Receivable, Net of Allowance, and Contract Assets and Liabilities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52">
              <w:r>
                <w:rPr>
                  <w:rStyle w:val="InternetLink"/>
                  <w:rFonts w:ascii="Times New Roman;serif" w:hAnsi="Times New Roman;serif"/>
                  <w:b w:val="false"/>
                  <w:color w:val="0000FF"/>
                  <w:sz w:val="18"/>
                  <w:u w:val="single"/>
                </w:rPr>
                <w:t>15</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6.</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55">
              <w:r>
                <w:rPr>
                  <w:rStyle w:val="InternetLink"/>
                  <w:rFonts w:ascii="Times New Roman;serif" w:hAnsi="Times New Roman;serif"/>
                  <w:b w:val="false"/>
                  <w:color w:val="0000FF"/>
                  <w:sz w:val="18"/>
                  <w:u w:val="single"/>
                </w:rPr>
                <w:t>Property and Equipment, Net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55">
              <w:r>
                <w:rPr>
                  <w:rStyle w:val="InternetLink"/>
                  <w:rFonts w:ascii="Times New Roman;serif" w:hAnsi="Times New Roman;serif"/>
                  <w:b w:val="false"/>
                  <w:color w:val="0000FF"/>
                  <w:sz w:val="18"/>
                  <w:u w:val="single"/>
                </w:rPr>
                <w:t>16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7.</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222">
              <w:r>
                <w:rPr>
                  <w:rStyle w:val="InternetLink"/>
                  <w:rFonts w:ascii="Times New Roman;serif" w:hAnsi="Times New Roman;serif"/>
                  <w:b w:val="false"/>
                  <w:color w:val="0000FF"/>
                  <w:sz w:val="18"/>
                  <w:u w:val="single"/>
                </w:rPr>
                <w:t>Other Accrued Expenses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222">
              <w:r>
                <w:rPr>
                  <w:rStyle w:val="InternetLink"/>
                  <w:rFonts w:ascii="Times New Roman;serif" w:hAnsi="Times New Roman;serif"/>
                  <w:b w:val="false"/>
                  <w:color w:val="0000FF"/>
                  <w:sz w:val="18"/>
                  <w:u w:val="single"/>
                </w:rPr>
                <w:t>16</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8.</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58">
              <w:r>
                <w:rPr>
                  <w:rStyle w:val="InternetLink"/>
                  <w:rFonts w:ascii="Times New Roman;serif" w:hAnsi="Times New Roman;serif"/>
                  <w:b w:val="false"/>
                  <w:color w:val="0000FF"/>
                  <w:sz w:val="18"/>
                  <w:u w:val="single"/>
                </w:rPr>
                <w:t>Debt</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58">
              <w:r>
                <w:rPr>
                  <w:rStyle w:val="InternetLink"/>
                  <w:rFonts w:ascii="Times New Roman;serif" w:hAnsi="Times New Roman;serif"/>
                  <w:b w:val="false"/>
                  <w:color w:val="0000FF"/>
                  <w:sz w:val="18"/>
                  <w:u w:val="single"/>
                </w:rPr>
                <w:t>17</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9.</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61">
              <w:r>
                <w:rPr>
                  <w:rStyle w:val="InternetLink"/>
                  <w:rFonts w:ascii="Times New Roman;serif" w:hAnsi="Times New Roman;serif"/>
                  <w:b w:val="false"/>
                  <w:color w:val="0000FF"/>
                  <w:sz w:val="18"/>
                  <w:u w:val="single"/>
                </w:rPr>
                <w:t>Lease Obligations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61">
              <w:r>
                <w:rPr>
                  <w:rStyle w:val="InternetLink"/>
                  <w:rFonts w:ascii="Times New Roman;serif" w:hAnsi="Times New Roman;serif"/>
                  <w:b w:val="false"/>
                  <w:color w:val="0000FF"/>
                  <w:sz w:val="18"/>
                  <w:u w:val="single"/>
                </w:rPr>
                <w:t>18</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10.</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64">
              <w:r>
                <w:rPr>
                  <w:rStyle w:val="InternetLink"/>
                  <w:rFonts w:ascii="Times New Roman;serif" w:hAnsi="Times New Roman;serif"/>
                  <w:b w:val="false"/>
                  <w:color w:val="0000FF"/>
                  <w:sz w:val="18"/>
                  <w:u w:val="single"/>
                </w:rPr>
                <w:t>Stockholders' Equity</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64">
              <w:r>
                <w:rPr>
                  <w:rStyle w:val="InternetLink"/>
                  <w:rFonts w:ascii="Times New Roman;serif" w:hAnsi="Times New Roman;serif"/>
                  <w:b w:val="false"/>
                  <w:color w:val="0000FF"/>
                  <w:sz w:val="18"/>
                  <w:u w:val="single"/>
                </w:rPr>
                <w:t>19</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11.</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70">
              <w:r>
                <w:rPr>
                  <w:rStyle w:val="InternetLink"/>
                  <w:rFonts w:ascii="Times New Roman;serif" w:hAnsi="Times New Roman;serif"/>
                  <w:b w:val="false"/>
                  <w:color w:val="0000FF"/>
                  <w:sz w:val="18"/>
                  <w:u w:val="single"/>
                </w:rPr>
                <w:t>Income Taxes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70">
              <w:r>
                <w:rPr>
                  <w:rStyle w:val="InternetLink"/>
                  <w:rFonts w:ascii="Times New Roman;serif" w:hAnsi="Times New Roman;serif"/>
                  <w:b w:val="false"/>
                  <w:color w:val="0000FF"/>
                  <w:sz w:val="18"/>
                  <w:u w:val="single"/>
                </w:rPr>
                <w:t>19</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12.</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73">
              <w:r>
                <w:rPr>
                  <w:rStyle w:val="InternetLink"/>
                  <w:rFonts w:ascii="Times New Roman;serif" w:hAnsi="Times New Roman;serif"/>
                  <w:b w:val="false"/>
                  <w:color w:val="0000FF"/>
                  <w:sz w:val="18"/>
                  <w:u w:val="single"/>
                </w:rPr>
                <w:t>Segments and Related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73">
              <w:r>
                <w:rPr>
                  <w:rStyle w:val="InternetLink"/>
                  <w:rFonts w:ascii="Times New Roman;serif" w:hAnsi="Times New Roman;serif"/>
                  <w:b w:val="false"/>
                  <w:color w:val="0000FF"/>
                  <w:sz w:val="18"/>
                  <w:u w:val="single"/>
                </w:rPr>
                <w:t>20</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13.</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76">
              <w:r>
                <w:rPr>
                  <w:rStyle w:val="InternetLink"/>
                  <w:rFonts w:ascii="Times New Roman;serif" w:hAnsi="Times New Roman;serif"/>
                  <w:b w:val="false"/>
                  <w:color w:val="0000FF"/>
                  <w:sz w:val="18"/>
                  <w:u w:val="single"/>
                </w:rPr>
                <w:t>Commitments and Contingencies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76">
              <w:r>
                <w:rPr>
                  <w:rStyle w:val="InternetLink"/>
                  <w:rFonts w:ascii="Times New Roman;serif" w:hAnsi="Times New Roman;serif"/>
                  <w:b w:val="false"/>
                  <w:color w:val="0000FF"/>
                  <w:sz w:val="18"/>
                  <w:u w:val="single"/>
                </w:rPr>
                <w:t>22</w:t>
              </w:r>
            </w:hyperlink>
          </w:p>
        </w:tc>
      </w:tr>
      <w:tr>
        <w:trPr/>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E32E1"/>
                <w:sz w:val="18"/>
              </w:rPr>
            </w:pPr>
            <w:r>
              <w:rPr>
                <w:rFonts w:ascii="Times New Roman;serif" w:hAnsi="Times New Roman;serif"/>
                <w:b w:val="false"/>
                <w:color w:val="0E32E1"/>
                <w:sz w:val="18"/>
              </w:rPr>
              <w:t>14.</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79">
              <w:r>
                <w:rPr>
                  <w:rStyle w:val="InternetLink"/>
                  <w:rFonts w:ascii="Times New Roman;serif" w:hAnsi="Times New Roman;serif"/>
                  <w:b w:val="false"/>
                  <w:color w:val="0000FF"/>
                  <w:sz w:val="18"/>
                  <w:u w:val="single"/>
                </w:rPr>
                <w:t>Related Party Transactions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79">
              <w:r>
                <w:rPr>
                  <w:rStyle w:val="InternetLink"/>
                  <w:rFonts w:ascii="Times New Roman;serif" w:hAnsi="Times New Roman;serif"/>
                  <w:b w:val="false"/>
                  <w:color w:val="0000FF"/>
                  <w:sz w:val="18"/>
                  <w:u w:val="single"/>
                </w:rPr>
                <w:t>24</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85">
              <w:r>
                <w:rPr>
                  <w:rStyle w:val="InternetLink"/>
                  <w:rFonts w:ascii="Times New Roman;serif" w:hAnsi="Times New Roman;serif"/>
                  <w:b w:val="false"/>
                  <w:color w:val="0000FF"/>
                  <w:sz w:val="18"/>
                  <w:u w:val="single"/>
                </w:rPr>
                <w:t>Item 2</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85">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85">
              <w:r>
                <w:rPr>
                  <w:rStyle w:val="InternetLink"/>
                  <w:rFonts w:ascii="Times New Roman;serif" w:hAnsi="Times New Roman;serif"/>
                  <w:b w:val="false"/>
                  <w:color w:val="0000FF"/>
                  <w:sz w:val="18"/>
                  <w:u w:val="single"/>
                </w:rPr>
                <w:t>25</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21">
              <w:r>
                <w:rPr>
                  <w:rStyle w:val="InternetLink"/>
                  <w:rFonts w:ascii="Times New Roman;serif" w:hAnsi="Times New Roman;serif"/>
                  <w:b w:val="false"/>
                  <w:color w:val="0000FF"/>
                  <w:sz w:val="18"/>
                  <w:u w:val="single"/>
                </w:rPr>
                <w:t>Item 3</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21">
              <w:r>
                <w:rPr>
                  <w:rStyle w:val="InternetLink"/>
                  <w:rFonts w:ascii="Times New Roman;serif" w:hAnsi="Times New Roman;serif"/>
                  <w:b w:val="false"/>
                  <w:color w:val="0000FF"/>
                  <w:sz w:val="18"/>
                  <w:u w:val="single"/>
                </w:rPr>
                <w:t>Quantitative and Qualitative Disclosures About Market Risk</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21">
              <w:r>
                <w:rPr>
                  <w:rStyle w:val="InternetLink"/>
                  <w:rFonts w:ascii="Times New Roman;serif" w:hAnsi="Times New Roman;serif"/>
                  <w:b w:val="false"/>
                  <w:color w:val="0000FF"/>
                  <w:sz w:val="18"/>
                  <w:u w:val="single"/>
                </w:rPr>
                <w:t>35</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24">
              <w:r>
                <w:rPr>
                  <w:rStyle w:val="InternetLink"/>
                  <w:rFonts w:ascii="Times New Roman;serif" w:hAnsi="Times New Roman;serif"/>
                  <w:b w:val="false"/>
                  <w:color w:val="0000FF"/>
                  <w:sz w:val="18"/>
                  <w:u w:val="single"/>
                </w:rPr>
                <w:t>Item 4</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24">
              <w:r>
                <w:rPr>
                  <w:rStyle w:val="InternetLink"/>
                  <w:rFonts w:ascii="Times New Roman;serif" w:hAnsi="Times New Roman;serif"/>
                  <w:b w:val="false"/>
                  <w:color w:val="0000FF"/>
                  <w:sz w:val="18"/>
                  <w:u w:val="single"/>
                </w:rPr>
                <w:t>Controls and Procedures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24">
              <w:r>
                <w:rPr>
                  <w:rStyle w:val="InternetLink"/>
                  <w:rFonts w:ascii="Times New Roman;serif" w:hAnsi="Times New Roman;serif"/>
                  <w:b w:val="false"/>
                  <w:color w:val="0000FF"/>
                  <w:sz w:val="18"/>
                  <w:u w:val="single"/>
                </w:rPr>
                <w:t>35</w:t>
              </w:r>
            </w:hyperlink>
          </w:p>
        </w:tc>
      </w:tr>
      <w:tr>
        <w:trPr/>
        <w:tc>
          <w:tcPr>
            <w:tcW w:w="852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27">
              <w:r>
                <w:rPr>
                  <w:rStyle w:val="InternetLink"/>
                  <w:rFonts w:ascii="Times New Roman;serif" w:hAnsi="Times New Roman;serif"/>
                  <w:b w:val="false"/>
                  <w:color w:val="0000FF"/>
                  <w:sz w:val="18"/>
                  <w:u w:val="single"/>
                </w:rPr>
                <w:t>Part II. 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27">
              <w:r>
                <w:rPr>
                  <w:rStyle w:val="InternetLink"/>
                  <w:rFonts w:ascii="Times New Roman;serif" w:hAnsi="Times New Roman;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0">
              <w:r>
                <w:rPr>
                  <w:rStyle w:val="InternetLink"/>
                  <w:rFonts w:ascii="Times New Roman;serif" w:hAnsi="Times New Roman;serif"/>
                  <w:b w:val="false"/>
                  <w:color w:val="0000FF"/>
                  <w:sz w:val="18"/>
                  <w:u w:val="single"/>
                </w:rPr>
                <w:t>Item 1</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0">
              <w:r>
                <w:rPr>
                  <w:rStyle w:val="InternetLink"/>
                  <w:rFonts w:ascii="Times New Roman;serif" w:hAnsi="Times New Roman;serif"/>
                  <w:b w:val="false"/>
                  <w:color w:val="0000FF"/>
                  <w:sz w:val="18"/>
                  <w:u w:val="single"/>
                </w:rPr>
                <w:t>Legal Proceedings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30">
              <w:r>
                <w:rPr>
                  <w:rStyle w:val="InternetLink"/>
                  <w:rFonts w:ascii="Times New Roman;serif" w:hAnsi="Times New Roman;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3">
              <w:r>
                <w:rPr>
                  <w:rStyle w:val="InternetLink"/>
                  <w:rFonts w:ascii="Times New Roman;serif" w:hAnsi="Times New Roman;serif"/>
                  <w:b w:val="false"/>
                  <w:color w:val="0000FF"/>
                  <w:sz w:val="18"/>
                  <w:u w:val="single"/>
                </w:rPr>
                <w:t>Item 1A</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3">
              <w:r>
                <w:rPr>
                  <w:rStyle w:val="InternetLink"/>
                  <w:rFonts w:ascii="Times New Roman;serif" w:hAnsi="Times New Roman;serif"/>
                  <w:b w:val="false"/>
                  <w:color w:val="0000FF"/>
                  <w:sz w:val="18"/>
                  <w:u w:val="single"/>
                </w:rPr>
                <w:t>Risk Factors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33">
              <w:r>
                <w:rPr>
                  <w:rStyle w:val="InternetLink"/>
                  <w:rFonts w:ascii="Times New Roman;serif" w:hAnsi="Times New Roman;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6">
              <w:r>
                <w:rPr>
                  <w:rStyle w:val="InternetLink"/>
                  <w:rFonts w:ascii="Times New Roman;serif" w:hAnsi="Times New Roman;serif"/>
                  <w:b w:val="false"/>
                  <w:color w:val="0000FF"/>
                  <w:sz w:val="18"/>
                  <w:u w:val="single"/>
                </w:rPr>
                <w:t>Item 2</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6">
              <w:r>
                <w:rPr>
                  <w:rStyle w:val="InternetLink"/>
                  <w:rFonts w:ascii="Times New Roman;serif" w:hAnsi="Times New Roman;serif"/>
                  <w:b w:val="false"/>
                  <w:color w:val="0000FF"/>
                  <w:sz w:val="18"/>
                  <w:u w:val="single"/>
                </w:rPr>
                <w:t>Unregistered Sales of Equity Securities and Use of Proceeds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36">
              <w:r>
                <w:rPr>
                  <w:rStyle w:val="InternetLink"/>
                  <w:rFonts w:ascii="Times New Roman;serif" w:hAnsi="Times New Roman;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9">
              <w:r>
                <w:rPr>
                  <w:rStyle w:val="InternetLink"/>
                  <w:rFonts w:ascii="Times New Roman;serif" w:hAnsi="Times New Roman;serif"/>
                  <w:b w:val="false"/>
                  <w:color w:val="0000FF"/>
                  <w:sz w:val="18"/>
                  <w:u w:val="single"/>
                </w:rPr>
                <w:t>Item 4</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39">
              <w:r>
                <w:rPr>
                  <w:rStyle w:val="InternetLink"/>
                  <w:rFonts w:ascii="Times New Roman;serif" w:hAnsi="Times New Roman;serif"/>
                  <w:b w:val="false"/>
                  <w:color w:val="0000FF"/>
                  <w:sz w:val="18"/>
                  <w:u w:val="single"/>
                </w:rPr>
                <w:t>Mine Safety Disclosures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39">
              <w:r>
                <w:rPr>
                  <w:rStyle w:val="InternetLink"/>
                  <w:rFonts w:ascii="Times New Roman;serif" w:hAnsi="Times New Roman;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42">
              <w:r>
                <w:rPr>
                  <w:rStyle w:val="InternetLink"/>
                  <w:rFonts w:ascii="Times New Roman;serif" w:hAnsi="Times New Roman;serif"/>
                  <w:b w:val="false"/>
                  <w:color w:val="0000FF"/>
                  <w:sz w:val="18"/>
                  <w:u w:val="single"/>
                </w:rPr>
                <w:t>Item 5</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42">
              <w:r>
                <w:rPr>
                  <w:rStyle w:val="InternetLink"/>
                  <w:rFonts w:ascii="Times New Roman;serif" w:hAnsi="Times New Roman;serif"/>
                  <w:b w:val="false"/>
                  <w:color w:val="0000FF"/>
                  <w:sz w:val="18"/>
                  <w:u w:val="single"/>
                </w:rPr>
                <w:t>Other Information</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42">
              <w:r>
                <w:rPr>
                  <w:rStyle w:val="InternetLink"/>
                  <w:rFonts w:ascii="Times New Roman;serif" w:hAnsi="Times New Roman;serif"/>
                  <w:b w:val="false"/>
                  <w:color w:val="0000FF"/>
                  <w:sz w:val="18"/>
                  <w:u w:val="single"/>
                </w:rPr>
                <w:t>36</w:t>
              </w:r>
            </w:hyperlink>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48">
              <w:r>
                <w:rPr>
                  <w:rStyle w:val="InternetLink"/>
                  <w:rFonts w:ascii="Times New Roman;serif" w:hAnsi="Times New Roman;serif"/>
                  <w:b w:val="false"/>
                  <w:color w:val="0000FF"/>
                  <w:sz w:val="18"/>
                  <w:u w:val="single"/>
                </w:rPr>
                <w:t>Item 6</w:t>
              </w:r>
            </w:hyperlink>
          </w:p>
        </w:tc>
        <w:tc>
          <w:tcPr>
            <w:tcW w:w="752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48">
              <w:r>
                <w:rPr>
                  <w:rStyle w:val="InternetLink"/>
                  <w:rFonts w:ascii="Times New Roman;serif" w:hAnsi="Times New Roman;serif"/>
                  <w:b w:val="false"/>
                  <w:color w:val="0000FF"/>
                  <w:sz w:val="18"/>
                  <w:u w:val="single"/>
                </w:rPr>
                <w:t>Exhibits</w:t>
              </w:r>
            </w:hyperlink>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48">
              <w:r>
                <w:rPr>
                  <w:rStyle w:val="InternetLink"/>
                  <w:rFonts w:ascii="Times New Roman;serif" w:hAnsi="Times New Roman;serif"/>
                  <w:b w:val="false"/>
                  <w:color w:val="0000FF"/>
                  <w:sz w:val="18"/>
                  <w:u w:val="single"/>
                </w:rPr>
                <w:t>37</w:t>
              </w:r>
            </w:hyperlink>
          </w:p>
        </w:tc>
      </w:tr>
      <w:tr>
        <w:trPr/>
        <w:tc>
          <w:tcPr>
            <w:tcW w:w="852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5c0f10934cb4744bf46db70c48b3a8a_151">
              <w:r>
                <w:rPr>
                  <w:rStyle w:val="InternetLink"/>
                  <w:rFonts w:ascii="Times New Roman;serif" w:hAnsi="Times New Roman;serif"/>
                  <w:b w:val="false"/>
                  <w:color w:val="0000FF"/>
                  <w:sz w:val="18"/>
                  <w:u w:val="single"/>
                </w:rPr>
                <w:t>SIGNATURES</w:t>
              </w:r>
            </w:hyperlink>
            <w:r>
              <w:rPr>
                <w:color w:val="000000"/>
              </w:rPr>
              <w:t xml:space="preserve">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c0f10934cb4744bf46db70c48b3a8a_151">
              <w:r>
                <w:rPr>
                  <w:rStyle w:val="InternetLink"/>
                  <w:rFonts w:ascii="Times New Roman;serif" w:hAnsi="Times New Roman;serif"/>
                  <w:b w:val="false"/>
                  <w:color w:val="0000FF"/>
                  <w:sz w:val="18"/>
                  <w:u w:val="single"/>
                </w:rPr>
                <w:t>38</w:t>
              </w:r>
            </w:hyperlink>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1.     FINANCIAL STATEMENTS</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 except per share amounts)</w:t>
      </w:r>
    </w:p>
    <w:tbl>
      <w:tblPr>
        <w:tblW w:w="7419" w:type="dxa"/>
        <w:jc w:val="left"/>
        <w:tblInd w:w="0" w:type="dxa"/>
        <w:tblLayout w:type="fixed"/>
        <w:tblCellMar>
          <w:top w:w="28" w:type="dxa"/>
          <w:left w:w="28" w:type="dxa"/>
          <w:bottom w:w="28" w:type="dxa"/>
          <w:right w:w="28" w:type="dxa"/>
        </w:tblCellMar>
      </w:tblPr>
      <w:tblGrid>
        <w:gridCol w:w="1539"/>
        <w:gridCol w:w="1354"/>
        <w:gridCol w:w="1366"/>
        <w:gridCol w:w="196"/>
        <w:gridCol w:w="871"/>
        <w:gridCol w:w="109"/>
        <w:gridCol w:w="109"/>
        <w:gridCol w:w="109"/>
        <w:gridCol w:w="109"/>
        <w:gridCol w:w="196"/>
        <w:gridCol w:w="871"/>
        <w:gridCol w:w="109"/>
        <w:gridCol w:w="109"/>
        <w:gridCol w:w="109"/>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(earnings) of unconsolidated affiliates,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(Note 2):</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w:t>
      </w:r>
    </w:p>
    <w:tbl>
      <w:tblPr>
        <w:tblW w:w="8080" w:type="dxa"/>
        <w:jc w:val="left"/>
        <w:tblInd w:w="0" w:type="dxa"/>
        <w:tblLayout w:type="fixed"/>
        <w:tblCellMar>
          <w:top w:w="28" w:type="dxa"/>
          <w:left w:w="28" w:type="dxa"/>
          <w:bottom w:w="28" w:type="dxa"/>
          <w:right w:w="28" w:type="dxa"/>
        </w:tblCellMar>
      </w:tblPr>
      <w:tblGrid>
        <w:gridCol w:w="1939"/>
        <w:gridCol w:w="1706"/>
        <w:gridCol w:w="1725"/>
        <w:gridCol w:w="196"/>
        <w:gridCol w:w="646"/>
        <w:gridCol w:w="109"/>
        <w:gridCol w:w="109"/>
        <w:gridCol w:w="109"/>
        <w:gridCol w:w="109"/>
        <w:gridCol w:w="196"/>
        <w:gridCol w:w="646"/>
        <w:gridCol w:w="109"/>
        <w:gridCol w:w="109"/>
        <w:gridCol w:w="109"/>
        <w:gridCol w:w="109"/>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(losses) gains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investment activity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losses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60,058 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pPr>
      <w:r>
        <w:rPr>
          <w:color w:val="000000"/>
        </w:rPr>
        <w:t> </w:t>
      </w:r>
      <w:r>
        <w:rPr>
          <w:rFonts w:ascii="Times New Roman;serif" w:hAnsi="Times New Roman;serif"/>
          <w:b/>
          <w:color w:val="000000"/>
          <w:sz w:val="18"/>
        </w:rPr>
        <w:t>(unaudited - in thousands, except share information)</w:t>
      </w:r>
    </w:p>
    <w:tbl>
      <w:tblPr>
        <w:tblW w:w="10205" w:type="dxa"/>
        <w:jc w:val="left"/>
        <w:tblInd w:w="0" w:type="dxa"/>
        <w:tblLayout w:type="fixed"/>
        <w:tblCellMar>
          <w:top w:w="28" w:type="dxa"/>
          <w:left w:w="28" w:type="dxa"/>
          <w:bottom w:w="28" w:type="dxa"/>
          <w:right w:w="28" w:type="dxa"/>
        </w:tblCellMar>
      </w:tblPr>
      <w:tblGrid>
        <w:gridCol w:w="2848"/>
        <w:gridCol w:w="2278"/>
        <w:gridCol w:w="2264"/>
        <w:gridCol w:w="196"/>
        <w:gridCol w:w="961"/>
        <w:gridCol w:w="109"/>
        <w:gridCol w:w="109"/>
        <w:gridCol w:w="109"/>
        <w:gridCol w:w="109"/>
        <w:gridCol w:w="196"/>
        <w:gridCol w:w="871"/>
        <w:gridCol w:w="155"/>
      </w:tblGrid>
      <w:tr>
        <w:trPr/>
        <w:tc>
          <w:tcPr>
            <w:tcW w:w="284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4,517,005 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4,329,079 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1,728,470 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equity</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including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salaries and wages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3,271,045 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including finance leases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7,011,581 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6,589,021 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$1.00 par value: authorized shares - 5,000,000; issued and outstanding shares – none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$0.10 par value: authorized shares - 145,000,000; issued shares - 99,435,573 and 99,319,916 (including 1,024,003 and 1,038,778 of unvested stock awards) as of March 31, 2026 and December 31, 2025,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2,707,623 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20,422,329 shares as of both March 31, 2026 and December 31, 2025</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MasTec, Inc. shareholders’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3,259,309 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3,334,521 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10,441,515 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9,923,542 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EQUITY</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 except shares)</w:t>
      </w:r>
    </w:p>
    <w:tbl>
      <w:tblPr>
        <w:tblW w:w="15926" w:type="dxa"/>
        <w:jc w:val="left"/>
        <w:tblInd w:w="0" w:type="dxa"/>
        <w:tblLayout w:type="fixed"/>
        <w:tblCellMar>
          <w:top w:w="28" w:type="dxa"/>
          <w:left w:w="28" w:type="dxa"/>
          <w:bottom w:w="28" w:type="dxa"/>
          <w:right w:w="28" w:type="dxa"/>
        </w:tblCellMar>
      </w:tblPr>
      <w:tblGrid>
        <w:gridCol w:w="801"/>
        <w:gridCol w:w="229"/>
        <w:gridCol w:w="231"/>
        <w:gridCol w:w="480"/>
        <w:gridCol w:w="481"/>
        <w:gridCol w:w="211"/>
        <w:gridCol w:w="109"/>
        <w:gridCol w:w="109"/>
        <w:gridCol w:w="109"/>
        <w:gridCol w:w="196"/>
        <w:gridCol w:w="556"/>
        <w:gridCol w:w="109"/>
        <w:gridCol w:w="109"/>
        <w:gridCol w:w="109"/>
        <w:gridCol w:w="109"/>
        <w:gridCol w:w="488"/>
        <w:gridCol w:w="488"/>
        <w:gridCol w:w="211"/>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64"/>
        <w:gridCol w:w="893"/>
        <w:gridCol w:w="149"/>
        <w:gridCol w:w="109"/>
        <w:gridCol w:w="109"/>
        <w:gridCol w:w="109"/>
        <w:gridCol w:w="197"/>
        <w:gridCol w:w="878"/>
        <w:gridCol w:w="111"/>
        <w:gridCol w:w="109"/>
        <w:gridCol w:w="109"/>
        <w:gridCol w:w="109"/>
        <w:gridCol w:w="260"/>
        <w:gridCol w:w="976"/>
        <w:gridCol w:w="145"/>
        <w:gridCol w:w="109"/>
        <w:gridCol w:w="109"/>
        <w:gridCol w:w="109"/>
        <w:gridCol w:w="196"/>
        <w:gridCol w:w="871"/>
        <w:gridCol w:w="154"/>
      </w:tblGrid>
      <w:tr>
        <w:trPr/>
        <w:tc>
          <w:tcPr>
            <w:tcW w:w="8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MasTec, Inc.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Equity </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99,319,916 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(20,422,329)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3,259,309 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net of other stock issuances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assumed related to acquisitions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99,435,573 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(20,422,329)</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3,309,363 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120,571 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3,429,934 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99,029,011 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(19,719,796)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2,911,857 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net of other stock issuances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 at cost</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net</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99,325,262 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(20,052,361)</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(693,880)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2,318,484 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(43,903)</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2,884,341 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70,918 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2,955,259 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 - in thousands)</w:t>
      </w:r>
    </w:p>
    <w:tbl>
      <w:tblPr>
        <w:tblW w:w="9043" w:type="dxa"/>
        <w:jc w:val="center"/>
        <w:tblInd w:w="0" w:type="dxa"/>
        <w:tblLayout w:type="fixed"/>
        <w:tblCellMar>
          <w:top w:w="28" w:type="dxa"/>
          <w:left w:w="28" w:type="dxa"/>
          <w:bottom w:w="28" w:type="dxa"/>
          <w:right w:w="28" w:type="dxa"/>
        </w:tblCellMar>
      </w:tblPr>
      <w:tblGrid>
        <w:gridCol w:w="2309"/>
        <w:gridCol w:w="2025"/>
        <w:gridCol w:w="2040"/>
        <w:gridCol w:w="207"/>
        <w:gridCol w:w="856"/>
        <w:gridCol w:w="115"/>
        <w:gridCol w:w="115"/>
        <w:gridCol w:w="115"/>
        <w:gridCol w:w="115"/>
        <w:gridCol w:w="207"/>
        <w:gridCol w:w="777"/>
        <w:gridCol w:w="162"/>
      </w:tblGrid>
      <w:tr>
        <w:trPr/>
        <w:tc>
          <w:tcPr>
            <w:tcW w:w="23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March 31, </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deferred income taxes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sales and impairments of assets, net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net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 net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current and long-term portion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(114,224)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current and long-term portion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78,365 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(266,852)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(96,768)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other investments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(336,001)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1" w:name="ieb43438758dc46bbb591439452538d3a_32-0-1"/>
            <w:bookmarkEnd w:id="1"/>
            <w:r>
              <w:rPr>
                <w:rFonts w:ascii="Times New Roman;serif" w:hAnsi="Times New Roman;serif"/>
                <w:b w:val="false"/>
                <w:color w:val="000000"/>
                <w:sz w:val="18"/>
              </w:rPr>
              <w:t>Cash flows from financing activities:</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facilities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1,354,258 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credit facilities and term loans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(1,167,666)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finance lease obligations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acquisition-related contingent consideration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non-controlling interests, including acquisition of interests and distributions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stock-based awards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114,850 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(97,694)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currency translation on cash</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396,030 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399,903 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273,672 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345,749 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88" w:type="dxa"/>
        <w:jc w:val="center"/>
        <w:tblInd w:w="0" w:type="dxa"/>
        <w:tblLayout w:type="fixed"/>
        <w:tblCellMar>
          <w:top w:w="28" w:type="dxa"/>
          <w:left w:w="28" w:type="dxa"/>
          <w:bottom w:w="28" w:type="dxa"/>
          <w:right w:w="28" w:type="dxa"/>
        </w:tblCellMar>
      </w:tblPr>
      <w:tblGrid>
        <w:gridCol w:w="2369"/>
        <w:gridCol w:w="2076"/>
        <w:gridCol w:w="2094"/>
        <w:gridCol w:w="196"/>
        <w:gridCol w:w="721"/>
        <w:gridCol w:w="109"/>
        <w:gridCol w:w="109"/>
        <w:gridCol w:w="109"/>
        <w:gridCol w:w="109"/>
        <w:gridCol w:w="196"/>
        <w:gridCol w:w="646"/>
        <w:gridCol w:w="154"/>
      </w:tblGrid>
      <w:tr>
        <w:trPr/>
        <w:tc>
          <w:tcPr>
            <w:tcW w:w="2369"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refunds, net of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ind w:left="0" w:right="0" w:hanging="225"/>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25"/>
              <w:jc w:val="left"/>
              <w:rPr>
                <w:sz w:val="4"/>
                <w:szCs w:val="4"/>
              </w:rPr>
            </w:pPr>
            <w:r>
              <w:rPr>
                <w:sz w:val="4"/>
                <w:szCs w:val="4"/>
              </w:rPr>
            </w:r>
          </w:p>
        </w:tc>
      </w:tr>
      <w:tr>
        <w:trPr/>
        <w:tc>
          <w:tcPr>
            <w:tcW w:w="6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 from finance leases and other 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MASTEC,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 – Business, Basis of Presentation and Significant Accounting Policies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Nature of the Business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Inc. (collectively with its subsidiaries, “MasTec,” or the “Company”) is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MasTec’s customers are primarily in these industries. MasTec reports its results under five reportable segments: (1) Communications; (2) Clean Energy and Infrastructure; (3) Power Delivery; (4) Pipeline Infrastructure and (5) Other.</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Basis of Presentation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2025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2025 contained in the Company’s 2025 Annual Report on Form 10-K (the “2025 Form 10-K”). In management’s opinion, all normal and recurring adjustments considered necessary for a fair statement of the financial position, results of operations and cash flows for the periods presented have been included.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When appropriate, prior year amounts are reclassified to conform with the current period presentation. Beginning in 2026, certain reclassifications were made to the consolidated statements of operations. The Company now presents a separate “Operating income” subtotal on the consolidated statements of operations, which is common practice within the Company’s industry and enhances comparability with the Company’s peers. Additionally, changes in fair value of acquisition-related contingent items, which are composed of earn-outs and additional payments in connection with prior year acquisitions, have been reclassified from Other expense (income), net to General and administrative expenses. Previously reported periods have been reclassified to conform to the current period presentation. These changes in presentation did not impact previously reported Income before income taxes or Net income, and did not change how the Company evaluates its performance.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“Net income attributable to non-controlling interests” in the consolidated statements of operations.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Translation of Foreign Currencies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these consolidated financial statements, “$” means U.S. dollars unless otherwise noted.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Significant Accounting Policies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Revenue Recognition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pStyle w:val="TextBody"/>
        <w:bidi w:val="0"/>
        <w:spacing w:lineRule="auto" w:line="288" w:before="0" w:after="0"/>
        <w:ind w:left="0" w:right="0" w:firstLine="720"/>
        <w:jc w:val="both"/>
        <w:rPr/>
      </w:pPr>
      <w:r>
        <w:rPr>
          <w:rFonts w:ascii="Times New Roman;serif" w:hAnsi="Times New Roman;serif"/>
          <w:b/>
          <w:i/>
          <w:color w:val="000000"/>
          <w:sz w:val="18"/>
        </w:rPr>
        <w:t>Contracts.</w:t>
      </w:r>
      <w:r>
        <w:rPr>
          <w:color w:val="000000"/>
        </w:rPr>
        <w:t xml:space="preserve"> </w:t>
      </w:r>
      <w:r>
        <w:rPr>
          <w:rFonts w:ascii="Times New Roman;serif" w:hAnsi="Times New Roman;serif"/>
          <w:b w:val="false"/>
          <w:color w:val="000000"/>
          <w:sz w:val="18"/>
        </w:rPr>
        <w:t xml:space="preserve">The Company derives revenue primarily from construction projects performed under: (i) master service and other service agreements, which generally 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40% and 48% of consolidated revenue for the three months ended March 31, 2026 and 2025, respectively.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2% of consolidated revenue for both the three months ended March 31, 2026 and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total transaction price and cost estimation processes used for recognizing revenue over time under the cost-to-cost method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For both the three months ended March 31, 2026 and 2025, project profit was affected by less than 5% as a result of changes in contract estimates included in projects that were in process as of December 31, 2025 and 2024, respectively.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0.6% and 1.8% for the three months ended March 31, 2026 and 2025, respectively.</w:t>
      </w:r>
    </w:p>
    <w:p>
      <w:pPr>
        <w:pStyle w:val="TextBody"/>
        <w:bidi w:val="0"/>
        <w:spacing w:lineRule="auto" w:line="288" w:before="120" w:after="120"/>
        <w:ind w:left="0" w:right="0" w:firstLine="720"/>
        <w:jc w:val="both"/>
        <w:rPr/>
      </w:pPr>
      <w:r>
        <w:rPr>
          <w:rFonts w:ascii="Times New Roman;serif" w:hAnsi="Times New Roman;serif"/>
          <w:b/>
          <w:i/>
          <w:color w:val="000000"/>
          <w:sz w:val="18"/>
        </w:rPr>
        <w:t>Performance Obligations.</w:t>
      </w:r>
      <w:r>
        <w:rPr>
          <w:color w:val="000000"/>
        </w:rPr>
        <w:t xml:space="preserve"> </w:t>
      </w:r>
      <w:r>
        <w:rPr>
          <w:rFonts w:ascii="Times New Roman;serif" w:hAnsi="Times New Roman;serif"/>
          <w:b w:val="false"/>
          <w:color w:val="000000"/>
          <w:sz w:val="18"/>
        </w:rPr>
        <w:t xml:space="preserve">A performance obligation is a contractual promise to transfer a distinct good or service to a customer. The transaction price of a 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March 31, 2026, the amount of the Company’s remaining performance obligations was $16.2 billion. Based on current expectations, the Company anticipates it will recognize approximately $8.5 billion, or 52.5%, of its remaining performance obligations as revenue during 2026, with the majority of the remaining balance expected to be recognized over the subsequent two year period.</w:t>
      </w:r>
    </w:p>
    <w:p>
      <w:pPr>
        <w:pStyle w:val="TextBody"/>
        <w:bidi w:val="0"/>
        <w:spacing w:lineRule="auto" w:line="288" w:before="120" w:after="120"/>
        <w:ind w:left="0" w:right="0" w:firstLine="720"/>
        <w:jc w:val="both"/>
        <w:rPr/>
      </w:pPr>
      <w:r>
        <w:rPr>
          <w:rFonts w:ascii="Times New Roman;serif" w:hAnsi="Times New Roman;serif"/>
          <w:b/>
          <w:i/>
          <w:color w:val="000000"/>
          <w:sz w:val="18"/>
        </w:rPr>
        <w:t>Variable Consideration.</w:t>
      </w:r>
      <w:r>
        <w:rPr>
          <w:color w:val="000000"/>
        </w:rPr>
        <w:t xml:space="preserve"> </w:t>
      </w:r>
      <w:r>
        <w:rPr>
          <w:rFonts w:ascii="Times New Roman;serif" w:hAnsi="Times New Roman;serif"/>
          <w:b w:val="false"/>
          <w:color w:val="000000"/>
          <w:sz w:val="18"/>
        </w:rPr>
        <w:t>Transaction prices for the Company’s contracts may include variable consideration, which comprises items such as change orders, claims 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the Company’s contract transaction prices included approximately $244 million and $229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March 31, 2026 and December 31, 2025,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Supplier Financing Program</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provided certain of its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As of March 31, 2026 and December 31, 2025, the outstanding payment obligations under the Company’s supplier finance program totaled approximately $138.6 million and $125.6 million, respectively, which amounts are recorded within accounts payable in the consolidated balance sheets. The associated payments are included within operating activities in the consolidated statements of cash flows.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discussion below describes the effects of recent accounting pronouncements, as updated from the discussion in the Company’s 2025 Form 10-K.</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Accounting Pronouncements Adopted in 2026</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July 2025, the Financial Accounting Standards Board (“FASB”) issued Accounting Standards Update (“ASU”) 2025-05, </w:t>
      </w:r>
      <w:r>
        <w:rPr>
          <w:rFonts w:ascii="Times New Roman;serif" w:hAnsi="Times New Roman;serif"/>
          <w:b w:val="false"/>
          <w:i/>
          <w:color w:val="000000"/>
          <w:sz w:val="18"/>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18"/>
        </w:rPr>
        <w:t>(“ASU 2025-05”). ASU 2025-05 provides a practical expedient that permits an entity to assume that conditions at the balance sheet date remain unchanged over the life of the asset when estimating expected credit losses for current accounts receivable and current contract assets. ASU 2025-05 is effective for fiscal years beginning after December 15, 2025, including interim periods within those fiscal years, with early adoption permitted. The amendments in ASU 2025-05 should be applied prospectively. The Company adopted this ASU prospectively in the first quarter of 2026, and its adoption did not have a material effect on the Company’s consolidated financial statements.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Recently Issued Accounting Pronouncements Not Yet Adopted</w:t>
      </w:r>
    </w:p>
    <w:p>
      <w:pPr>
        <w:pStyle w:val="TextBody"/>
        <w:bidi w:val="0"/>
        <w:spacing w:lineRule="auto" w:line="288" w:before="0" w:after="0"/>
        <w:ind w:left="0" w:right="0" w:firstLine="720"/>
        <w:jc w:val="both"/>
        <w:rPr/>
      </w:pPr>
      <w:r>
        <w:rPr>
          <w:rFonts w:ascii="Times New Roman;serif" w:hAnsi="Times New Roman;serif"/>
          <w:b w:val="false"/>
          <w:color w:val="000000"/>
          <w:sz w:val="18"/>
        </w:rPr>
        <w:t xml:space="preserve">In November 2024, the FASB issued ASU 2024-03, </w:t>
      </w:r>
      <w:r>
        <w:rPr>
          <w:rFonts w:ascii="Times New Roman;serif" w:hAnsi="Times New Roman;serif"/>
          <w:b w:val="false"/>
          <w:i/>
          <w:color w:val="000000"/>
          <w:sz w:val="18"/>
        </w:rPr>
        <w:t>Income Statement—Reporting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18"/>
        </w:rPr>
        <w:t xml:space="preserve">(“ASU 2024-03”) to enhance the transparency and clarity of the components of specific expense categories in the income statement. ASU 2024-03 requires disclosure of additional information about specific expense categories underlying certain income statement expense line items. In January 2025, the FASB issued ASU 2025-01, </w:t>
      </w:r>
      <w:r>
        <w:rPr>
          <w:rFonts w:ascii="Times New Roman;serif" w:hAnsi="Times New Roman;serif"/>
          <w:b w:val="false"/>
          <w:i/>
          <w:color w:val="000000"/>
          <w:sz w:val="18"/>
        </w:rPr>
        <w:t>Income Statement—Reporting Comprehensive Income—Expense Disaggregation Disclosures (Subtopic 220-40): Disaggregation of Income Statement Expenses: Clarifying the Effective Date</w:t>
      </w:r>
      <w:r>
        <w:rPr>
          <w:color w:val="000000"/>
        </w:rPr>
        <w:t xml:space="preserve"> </w:t>
      </w:r>
      <w:r>
        <w:rPr>
          <w:rFonts w:ascii="Times New Roman;serif" w:hAnsi="Times New Roman;serif"/>
          <w:b w:val="false"/>
          <w:color w:val="000000"/>
          <w:sz w:val="18"/>
        </w:rPr>
        <w:t>to clarify that all public business entities are required to adopt the guidance in annual periods beginning after December 15, 2026, and interim periods within annual periods beginning after December 15, 2027. Early adoption is permitted. The amendments in ASU 2024-03, and its related clarifying ASU, should be applied prospectively, with retrospective application permitted. The Company is currently evaluating the impact this ASU will have on its disclosures.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May 2025, the FASB issued ASU 2025-03, </w:t>
      </w:r>
      <w:r>
        <w:rPr>
          <w:rFonts w:ascii="Times New Roman;serif" w:hAnsi="Times New Roman;serif"/>
          <w:b w:val="false"/>
          <w:i/>
          <w:color w:val="000000"/>
          <w:sz w:val="18"/>
        </w:rPr>
        <w:t>Business Combinations (Topic 805) and Consolidation (Topic 810): Determining the Accounting Acquirer in the Acquisition of a Variable Interest Entity</w:t>
      </w:r>
      <w:r>
        <w:rPr>
          <w:color w:val="000000"/>
        </w:rPr>
        <w:t xml:space="preserve"> </w:t>
      </w:r>
      <w:r>
        <w:rPr>
          <w:rFonts w:ascii="Times New Roman;serif" w:hAnsi="Times New Roman;serif"/>
          <w:b w:val="false"/>
          <w:color w:val="000000"/>
          <w:sz w:val="18"/>
        </w:rPr>
        <w:t>(“ASU 2025-03”). ASU 2025-03 clarifies the guidance in determining the accounting acquirer in a business combination effected primarily by exchanging equity interests when the acquiree is a variable interest entity that meets the definition of a business. ASU 2025-03 is effective for fiscal years beginning after December 15, 2026, including interim periods within those fiscal years, with early adoption permitted. ASU 2025-03 is required to be applied prospectively to any acquisition transaction that occurs after the initial application date. The Company does not expect that this ASU will have a material effect on its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September 2025, the FASB issued ASU 2025-06, </w:t>
      </w:r>
      <w:r>
        <w:rPr>
          <w:rFonts w:ascii="Times New Roman;serif" w:hAnsi="Times New Roman;serif"/>
          <w:b w:val="false"/>
          <w:i/>
          <w:color w:val="000000"/>
          <w:sz w:val="18"/>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18"/>
        </w:rPr>
        <w:t>(“ASU 2025-06”). ASU 2025-06 modernizes the accounting for internal-use software by eliminating the previous stage-based capitalization model so that the guidance is neutral to different software development methods. ASU 2025-06 is effective for fiscal years beginning after December 15, 2027, including interim periods within those fiscal years, with early adoption permitted. The amendments in ASU 2025-06 should be applied prospectively, with retrospective application or a modified transition approach permitted. The Company is currently evaluating the impact this ASU will have on its consolidated financial statements.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In December 2025, the FASB issued ASU 2025-11, </w:t>
      </w:r>
      <w:r>
        <w:rPr>
          <w:rFonts w:ascii="Times New Roman;serif" w:hAnsi="Times New Roman;serif"/>
          <w:b w:val="false"/>
          <w:i/>
          <w:color w:val="000000"/>
          <w:sz w:val="18"/>
        </w:rPr>
        <w:t xml:space="preserve">Interim Reporting (Topic 270): Narrow-Scope Improvements </w:t>
      </w:r>
      <w:r>
        <w:rPr>
          <w:rFonts w:ascii="Times New Roman;serif" w:hAnsi="Times New Roman;serif"/>
          <w:b w:val="false"/>
          <w:color w:val="000000"/>
          <w:sz w:val="18"/>
        </w:rPr>
        <w:t>(“ASU 2025-11”). ASU 2025-11 improves existing guidance within Accounting Standards Codification (“ASC”) Topic 270 by clarifying the scope and applicability of the standard and by providing a comprehensive list of interim disclosure requirements. ASU 2025-11 also establishes a principle to disclose events since the end of the last annual reporting period that have a material impact on the entity. ASU 2025-11 is effective for interim reporting periods within annual reporting periods beginning after December 15, 2027, with early adoption permitted. The Company is currently evaluating the impact this ASU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2 – Earnings Per Share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Basic earnings per share is computed by dividing net income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underlying the Company’s earnings per share calculations for the periods indicated (in thousands):</w:t>
      </w:r>
    </w:p>
    <w:tbl>
      <w:tblPr>
        <w:tblW w:w="5994" w:type="dxa"/>
        <w:jc w:val="left"/>
        <w:tblInd w:w="0" w:type="dxa"/>
        <w:tblLayout w:type="fixed"/>
        <w:tblCellMar>
          <w:top w:w="28" w:type="dxa"/>
          <w:left w:w="28" w:type="dxa"/>
          <w:bottom w:w="28" w:type="dxa"/>
          <w:right w:w="28" w:type="dxa"/>
        </w:tblCellMar>
      </w:tblPr>
      <w:tblGrid>
        <w:gridCol w:w="1222"/>
        <w:gridCol w:w="1074"/>
        <w:gridCol w:w="1078"/>
        <w:gridCol w:w="196"/>
        <w:gridCol w:w="646"/>
        <w:gridCol w:w="109"/>
        <w:gridCol w:w="109"/>
        <w:gridCol w:w="109"/>
        <w:gridCol w:w="109"/>
        <w:gridCol w:w="196"/>
        <w:gridCol w:w="556"/>
        <w:gridCol w:w="109"/>
        <w:gridCol w:w="109"/>
        <w:gridCol w:w="109"/>
        <w:gridCol w:w="109"/>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 basic and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Dilutive common stock equivalents </w:t>
            </w:r>
            <w:r>
              <w:rPr>
                <w:rFonts w:ascii="Times New Roman;serif" w:hAnsi="Times New Roman;serif"/>
                <w:b w:val="false"/>
                <w:color w:val="000000"/>
                <w:sz w:val="12"/>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diluted</w:t>
            </w:r>
          </w:p>
        </w:tc>
        <w:tc>
          <w:tcPr>
            <w:tcW w:w="84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For the three months ended March 31, 2026 and 2025, anti-dilutive common stock equivalents totaled approximately 31,000 and 55,000, respectively.</w:t>
      </w:r>
    </w:p>
    <w:p>
      <w:pPr>
        <w:pStyle w:val="TextBody"/>
        <w:bidi w:val="0"/>
        <w:spacing w:lineRule="auto" w:line="288" w:before="180" w:after="120"/>
        <w:ind w:left="0" w:right="0" w:firstLine="720"/>
        <w:jc w:val="both"/>
        <w:rPr/>
      </w:pPr>
      <w:r>
        <w:rPr>
          <w:rFonts w:ascii="Times New Roman;serif" w:hAnsi="Times New Roman;serif"/>
          <w:b/>
          <w:i/>
          <w:color w:val="000000"/>
          <w:sz w:val="18"/>
        </w:rPr>
        <w:t>Share Repurchases.</w:t>
      </w:r>
      <w:r>
        <w:rPr>
          <w:color w:val="000000"/>
        </w:rPr>
        <w:t xml:space="preserve"> </w:t>
      </w:r>
      <w:r>
        <w:rPr>
          <w:rFonts w:ascii="Times New Roman;serif" w:hAnsi="Times New Roman;serif"/>
          <w:b w:val="false"/>
          <w:color w:val="000000"/>
          <w:sz w:val="18"/>
        </w:rPr>
        <w:t xml:space="preserve">There were no share repurchases under the Company’s share repurchase program for the three months ended March 31, 2026. For the three months ended March 31, 2025, the Company repurchased 332,565 shares of its common stock, the effect of which on the Company’s weighted average shares outstanding for the related period was minimal. See Note 10 – Stockholders' Equity for details of the Company’s share repurchase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3 – Acquisitions, Goodwill and Other Intangible Assets,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changes in goodwill by reportable segment for the period indicated (in millions):</w:t>
      </w:r>
    </w:p>
    <w:tbl>
      <w:tblPr>
        <w:tblW w:w="10205" w:type="dxa"/>
        <w:jc w:val="left"/>
        <w:tblInd w:w="0" w:type="dxa"/>
        <w:tblLayout w:type="fixed"/>
        <w:tblCellMar>
          <w:top w:w="28" w:type="dxa"/>
          <w:left w:w="28" w:type="dxa"/>
          <w:bottom w:w="28" w:type="dxa"/>
          <w:right w:w="28" w:type="dxa"/>
        </w:tblCellMar>
      </w:tblPr>
      <w:tblGrid>
        <w:gridCol w:w="720"/>
        <w:gridCol w:w="634"/>
        <w:gridCol w:w="636"/>
        <w:gridCol w:w="324"/>
        <w:gridCol w:w="920"/>
        <w:gridCol w:w="182"/>
        <w:gridCol w:w="109"/>
        <w:gridCol w:w="109"/>
        <w:gridCol w:w="109"/>
        <w:gridCol w:w="412"/>
        <w:gridCol w:w="1174"/>
        <w:gridCol w:w="231"/>
        <w:gridCol w:w="109"/>
        <w:gridCol w:w="109"/>
        <w:gridCol w:w="109"/>
        <w:gridCol w:w="234"/>
        <w:gridCol w:w="664"/>
        <w:gridCol w:w="129"/>
        <w:gridCol w:w="109"/>
        <w:gridCol w:w="109"/>
        <w:gridCol w:w="109"/>
        <w:gridCol w:w="337"/>
        <w:gridCol w:w="959"/>
        <w:gridCol w:w="189"/>
        <w:gridCol w:w="109"/>
        <w:gridCol w:w="109"/>
        <w:gridCol w:w="109"/>
        <w:gridCol w:w="215"/>
        <w:gridCol w:w="760"/>
        <w:gridCol w:w="177"/>
      </w:tblGrid>
      <w:tr>
        <w:trPr/>
        <w:tc>
          <w:tcPr>
            <w:tcW w:w="72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Goodwill</w:t>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gross, as of December 31, 2025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Accumulated impairment loss </w:t>
            </w:r>
            <w:r>
              <w:rPr>
                <w:rFonts w:ascii="Times New Roman;serif" w:hAnsi="Times New Roman;serif"/>
                <w:b w:val="false"/>
                <w:color w:val="000000"/>
                <w:sz w:val="12"/>
              </w:rPr>
              <w:t>(a)</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2025</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Measurement period adjustments </w:t>
            </w:r>
            <w:r>
              <w:rPr>
                <w:rFonts w:ascii="Times New Roman;serif" w:hAnsi="Times New Roman;serif"/>
                <w:b w:val="false"/>
                <w:color w:val="000000"/>
                <w:sz w:val="12"/>
              </w:rPr>
              <w:t>(b)</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March 31, 2026</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872.4 </w:t>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526.4 </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2,351.6 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Accumulated impairment loss includes the effects of currency translation gains and/or losses.</w:t>
      </w:r>
    </w:p>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    Measurement period adjustments represent adjustments, net, to preliminary estimates of fair value within the measurement period of up to one year from the date of acquisition. Measurement period adjustments, net, for the three months ended March 31, 2026 were primarily the result of net working capital and valuation adjustments. </w:t>
      </w:r>
    </w:p>
    <w:p>
      <w:pPr>
        <w:pStyle w:val="TextBody"/>
        <w:bidi w:val="0"/>
        <w:spacing w:lineRule="auto" w:line="288" w:before="18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changes in other intangible assets, net, for the period indicated (in millions):</w:t>
      </w:r>
    </w:p>
    <w:tbl>
      <w:tblPr>
        <w:tblW w:w="10205" w:type="dxa"/>
        <w:jc w:val="left"/>
        <w:tblInd w:w="0" w:type="dxa"/>
        <w:tblLayout w:type="fixed"/>
        <w:tblCellMar>
          <w:top w:w="28" w:type="dxa"/>
          <w:left w:w="28" w:type="dxa"/>
          <w:bottom w:w="28" w:type="dxa"/>
          <w:right w:w="28" w:type="dxa"/>
        </w:tblCellMar>
      </w:tblPr>
      <w:tblGrid>
        <w:gridCol w:w="1311"/>
        <w:gridCol w:w="1154"/>
        <w:gridCol w:w="1158"/>
        <w:gridCol w:w="528"/>
        <w:gridCol w:w="1867"/>
        <w:gridCol w:w="295"/>
        <w:gridCol w:w="109"/>
        <w:gridCol w:w="109"/>
        <w:gridCol w:w="109"/>
        <w:gridCol w:w="249"/>
        <w:gridCol w:w="708"/>
        <w:gridCol w:w="138"/>
        <w:gridCol w:w="109"/>
        <w:gridCol w:w="109"/>
        <w:gridCol w:w="109"/>
        <w:gridCol w:w="196"/>
        <w:gridCol w:w="466"/>
        <w:gridCol w:w="109"/>
        <w:gridCol w:w="109"/>
        <w:gridCol w:w="109"/>
        <w:gridCol w:w="109"/>
        <w:gridCol w:w="196"/>
        <w:gridCol w:w="691"/>
        <w:gridCol w:w="158"/>
      </w:tblGrid>
      <w:tr>
        <w:trPr/>
        <w:tc>
          <w:tcPr>
            <w:tcW w:w="131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Intangible Assets, Net</w:t>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Relationships and Backlog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Trade Names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Other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gross, as of December 31, 2025</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1,113.2 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2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as of December 31, 2025</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from new business combinations</w:t>
            </w:r>
          </w:p>
        </w:tc>
        <w:tc>
          <w:tcPr>
            <w:tcW w:w="2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Measurement period adjustments </w:t>
            </w:r>
            <w:r>
              <w:rPr>
                <w:rFonts w:ascii="Times New Roman;serif" w:hAnsi="Times New Roman;serif"/>
                <w:b w:val="false"/>
                <w:color w:val="000000"/>
                <w:sz w:val="12"/>
              </w:rPr>
              <w:t>(b)</w:t>
            </w:r>
          </w:p>
        </w:tc>
        <w:tc>
          <w:tcPr>
            <w:tcW w:w="2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adjustments</w:t>
            </w:r>
          </w:p>
        </w:tc>
        <w:tc>
          <w:tcPr>
            <w:tcW w:w="2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2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intangible assets, net, as of March 31, 2026</w:t>
            </w:r>
          </w:p>
        </w:tc>
        <w:tc>
          <w:tcPr>
            <w:tcW w:w="5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589.2 </w:t>
            </w:r>
          </w:p>
        </w:tc>
        <w:tc>
          <w:tcPr>
            <w:tcW w:w="2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761.2 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(a)Consists principally of pre-qualifications, intellectual property and non-compete agreements. Additions for the three months ended March 31, 2026 related to the asset acquisition included within the Company’s Pipeline Infrastructure segment.</w:t>
      </w:r>
    </w:p>
    <w:p>
      <w:pPr>
        <w:pStyle w:val="TextBody"/>
        <w:bidi w:val="0"/>
        <w:spacing w:lineRule="auto" w:line="288" w:before="60" w:after="40"/>
        <w:ind w:left="0" w:right="0" w:hanging="360"/>
        <w:jc w:val="both"/>
        <w:rPr/>
      </w:pPr>
      <w:r>
        <w:rPr>
          <w:rFonts w:ascii="Times New Roman;serif" w:hAnsi="Times New Roman;serif"/>
          <w:b w:val="false"/>
          <w:color w:val="26282A"/>
          <w:sz w:val="16"/>
        </w:rPr>
        <w:t>(b)</w:t>
      </w:r>
      <w:r>
        <w:rPr>
          <w:rFonts w:ascii="Times New Roman;serif" w:hAnsi="Times New Roman;serif"/>
          <w:b w:val="false"/>
          <w:color w:val="000000"/>
          <w:sz w:val="16"/>
        </w:rPr>
        <w:t xml:space="preserve">Represents adjustments, net, to preliminary estimates of fair value within the measurement period of up to one year from the date of acquisition. Measurement period adjustments, net, for the three months ended March 31, 2026 relate primarily to decreases in amortizing intangible assets resulting from valuation adjustments.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months ended March 31, 2026, no events occurred that would indicate it was more likely than not that a goodwill impairment exists.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left"/>
        <w:rPr>
          <w:rFonts w:ascii="Times New Roman;serif" w:hAnsi="Times New Roman;serif"/>
          <w:b/>
          <w:i/>
          <w:color w:val="000000"/>
          <w:sz w:val="18"/>
        </w:rPr>
      </w:pPr>
      <w:r>
        <w:rPr>
          <w:rFonts w:ascii="Times New Roman;serif" w:hAnsi="Times New Roman;serif"/>
          <w:b/>
          <w:i/>
          <w:color w:val="000000"/>
          <w:sz w:val="18"/>
        </w:rPr>
        <w:t>Recent Acquisitions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2026 Acquisitions. </w:t>
      </w:r>
      <w:r>
        <w:rPr>
          <w:rFonts w:ascii="Times New Roman;serif" w:hAnsi="Times New Roman;serif"/>
          <w:b w:val="false"/>
          <w:color w:val="000000"/>
          <w:sz w:val="18"/>
        </w:rPr>
        <w:t>Effective in January 2026, MasTec acquired 86% of the equity interests of McKee Utility Contractors, LLC, an infrastructure services company that specializes in water and wastewater distribution networks in the south central region of the United States, which is included within the Company’s Clean Energy and Infrastructure segment. MasTec has the option to acquire the remaining noncontrolling interest in the entity following the third anniversary of the consummation date. The aggregate purchase price consisted of $262 million in cash, subject to certain working capital and other contractually agreed-upon adjustments. Determination of the estimated fair values of net assets acquired and consideration transferred for the acquisition, which has been accounted for as a business combination under ASC 805, was preliminary as of March 31, 2026; as a result, further adjustments to these estimates may occur. The Company expects to finalize the valuation and complete the purchase price consideration allocation no later than one year from the acquisition date. Acquisition costs for the three months ended March 31, 2026 were immaterial.</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as of March 31, 2026, the estimated fair values of the consideration paid, net assets acquired, and non-controlling interest assumed for the Company’s 2026 acquisition (in millions):</w:t>
      </w:r>
    </w:p>
    <w:tbl>
      <w:tblPr>
        <w:tblW w:w="6846" w:type="dxa"/>
        <w:jc w:val="left"/>
        <w:tblInd w:w="0" w:type="dxa"/>
        <w:tblLayout w:type="fixed"/>
        <w:tblCellMar>
          <w:top w:w="28" w:type="dxa"/>
          <w:left w:w="28" w:type="dxa"/>
          <w:bottom w:w="28" w:type="dxa"/>
          <w:right w:w="28" w:type="dxa"/>
        </w:tblCellMar>
      </w:tblPr>
      <w:tblGrid>
        <w:gridCol w:w="2153"/>
        <w:gridCol w:w="1891"/>
        <w:gridCol w:w="1896"/>
        <w:gridCol w:w="196"/>
        <w:gridCol w:w="556"/>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Acquisition consideration:</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consideration paid,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acquired and liabilities assumed:</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contract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primarily operating lease 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 primarily operating lease liabilities and 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identifiable net assets, excluding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assets, excluding 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assets acquired</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Amortizing intangible assets related to the acquisition are primarily composed of customer relationships, and to a lesser extent, backlog and trade names. Customer relationships and backlog intangible assets, in the aggregate, totaled approximately $139 million and each had a weighted average life of approximately 13 years and 2 years, respectively. Customer relationships are based on the operational history and the nature of its customers, which are primarily municipalities and utility customers, and backlog is based on estimated cash flows expected to be derived from future work on acquired contracts with customers. The fair values of the customer relationships and acquired backlog intangible assets were determined using the multi-period excess earnings method under the income approach. This method reflects the present value of the projected operating cash flows generated by the intangible asset after considering the cost to realize revenue, and an appropriate discount rate to reflect the time value and risk associated with the invested capital. The significant assumptions used by the Company in determining the fair value of customer relationships intangible assets include future revenues, margins, discount rates, and customer attrition rates. The weighted average life of amortizing intangible assets in the aggregate for the acquisition was 10 years. Amortizing intangible assets are amortized in a manner consistent with the pattern in which the related benefits are expected to be consumed. The preliminary fair value of the noncontrolling interest is estimated based on the price MasTec paid for its 86% controlling interest. As of March 31, 2026, none of the goodwill balance related to the 2026 acquisition is expected to be tax deductible.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effective in March 2026, MasTec acquired certain of the assets of an equipment company for an aggregate purchase price of approximately $20 million, which is accounted for as an asset acquisition under ASC 805 and included within the Company’s Pipeline Infrastructure segment.</w:t>
      </w:r>
    </w:p>
    <w:p>
      <w:pPr>
        <w:pStyle w:val="TextBody"/>
        <w:bidi w:val="0"/>
        <w:spacing w:lineRule="auto" w:line="288" w:before="120" w:after="120"/>
        <w:ind w:left="0" w:right="0" w:firstLine="720"/>
        <w:jc w:val="both"/>
        <w:rPr/>
      </w:pPr>
      <w:r>
        <w:rPr>
          <w:rFonts w:ascii="Times New Roman;serif" w:hAnsi="Times New Roman;serif"/>
          <w:b/>
          <w:i/>
          <w:color w:val="26282A"/>
          <w:sz w:val="18"/>
        </w:rPr>
        <w:t xml:space="preserve">2025 Acquisitions. </w:t>
      </w:r>
      <w:r>
        <w:rPr>
          <w:rFonts w:ascii="Times New Roman;serif" w:hAnsi="Times New Roman;serif"/>
          <w:b w:val="false"/>
          <w:color w:val="000000"/>
          <w:sz w:val="18"/>
        </w:rPr>
        <w:t>During 2025, MasTec acquired all of the equity interests of the following: (i) within the Company’s Communications segment: a telecommunications construction company, effective in July; (ii) within the Company’s Pipeline Infrastructure segment: a construction company specializing in roadway infrastructure, effective in August; and (iii) within the Company’s Clean Energy and Infrastructure segment: a construction company specializing in construction management and design-build services, effective in December. Additionally, MasTec acquired certain operations and assets of a business specializing in install-to-the-home services included within the Company’s Communications segment, effective in November.</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effective in July, MasTec acquired certain of the assets of an equipment company, which is accounted for as an asset acquisition under ASC 805 and included within the Company’s Pipeline Infrastructure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aggregate purchase price of the Company’s 2025 acquisitions was composed of approximately $87 million in cash, net of cash acquired, and a five year earn-out liability valued at approximately $13 million with respect to one of such acquisitions. Determination of the estimated fair values of net assets acquired and consideration transferred for these acquisitions, which have been accounted for as business combinations under ASC 805, was preliminary as of March 31, 2026; as a result, further adjustments to these estimates may occur. The Company expects to finalize the valuation and complete the purchase price consideration allocation no later than one year from the acquisition date. As of March 31, 2026, the remaining potential undiscounted earn-out liabilities for the 2025 acquisitions was estimated to be up to $20 million; however, there is no maximum payment amount. See Note 4 – Fair Value of Financial Instruments for fair value estimates and other details related to the Company’s earn-out arrangements. Approximately $35 million of the goodwill balance related to the 2025 acquisitions is expected to be tax deductible as of March 31, 2026.</w:t>
      </w:r>
    </w:p>
    <w:p>
      <w:pPr>
        <w:pStyle w:val="TextBody"/>
        <w:bidi w:val="0"/>
        <w:spacing w:lineRule="auto" w:line="288" w:before="120" w:after="120"/>
        <w:ind w:left="0" w:right="0" w:firstLine="720"/>
        <w:jc w:val="both"/>
        <w:rPr/>
      </w:pPr>
      <w:r>
        <w:rPr>
          <w:rFonts w:ascii="Times New Roman;serif" w:hAnsi="Times New Roman;serif"/>
          <w:b/>
          <w:i/>
          <w:color w:val="000000"/>
          <w:sz w:val="18"/>
        </w:rPr>
        <w:t>HMG Additional Payments</w:t>
      </w:r>
      <w:r>
        <w:rPr>
          <w:rFonts w:ascii="Times New Roman;serif" w:hAnsi="Times New Roman;serif"/>
          <w:b w:val="false"/>
          <w:color w:val="000000"/>
          <w:sz w:val="18"/>
        </w:rPr>
        <w:t>. The purchase agreement in connection with the 2021 acquisition of Henkels &amp; McCoy Holdings, Inc. (“HMG”) provides for certain additional payments to be made to the sellers if certain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as unrealized gains or losses within general and administrative expenses. As of March 31, 2026 and December 31, 2025, the estimated fair value of remaining Additional Payments totaled approximately $31 million and $18 million, respectively, which amounts are included within other current liabilities in the consolidated balance sheets.</w:t>
      </w:r>
      <w:r>
        <w:rPr>
          <w:color w:val="EE2724"/>
        </w:rPr>
        <w:t xml:space="preserve"> </w:t>
      </w:r>
      <w:r>
        <w:rPr>
          <w:rFonts w:ascii="Times New Roman;serif" w:hAnsi="Times New Roman;serif"/>
          <w:b w:val="false"/>
          <w:color w:val="000000"/>
          <w:sz w:val="18"/>
        </w:rPr>
        <w:t xml:space="preserve">For the three months ended March 31, 2026, the Company collected additional receivables of $4 million and recorded fair value adjustments related to the contingent shares totaling losses of approximately $9 million, and for the three months ended March 31, 2025, such adjustments totaled gains of approximately $1 million. </w:t>
      </w:r>
    </w:p>
    <w:p>
      <w:pPr>
        <w:pStyle w:val="TextBody"/>
        <w:bidi w:val="0"/>
        <w:spacing w:lineRule="auto" w:line="288" w:before="120" w:after="120"/>
        <w:ind w:left="0" w:right="0" w:firstLine="720"/>
        <w:jc w:val="both"/>
        <w:rPr/>
      </w:pPr>
      <w:r>
        <w:rPr>
          <w:rFonts w:ascii="Times New Roman;serif" w:hAnsi="Times New Roman;serif"/>
          <w:b/>
          <w:i/>
          <w:color w:val="000000"/>
          <w:sz w:val="18"/>
        </w:rPr>
        <w:t>Pro forma results</w:t>
      </w:r>
      <w:r>
        <w:rPr>
          <w:rFonts w:ascii="Times New Roman;serif" w:hAnsi="Times New Roman;serif"/>
          <w:b w:val="false"/>
          <w:color w:val="000000"/>
          <w:sz w:val="18"/>
        </w:rPr>
        <w:t xml:space="preserve">. The Company’s unaudited pro forma financial results include the results of operations of acquired companies as if those companies had been 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unaudited supplemental pro forma results for the periods indicated (in millions):</w:t>
      </w:r>
    </w:p>
    <w:tbl>
      <w:tblPr>
        <w:tblW w:w="3729" w:type="dxa"/>
        <w:jc w:val="left"/>
        <w:tblInd w:w="0" w:type="dxa"/>
        <w:tblLayout w:type="fixed"/>
        <w:tblCellMar>
          <w:top w:w="28" w:type="dxa"/>
          <w:left w:w="28" w:type="dxa"/>
          <w:bottom w:w="28" w:type="dxa"/>
          <w:right w:w="28" w:type="dxa"/>
        </w:tblCellMar>
      </w:tblPr>
      <w:tblGrid>
        <w:gridCol w:w="336"/>
        <w:gridCol w:w="295"/>
        <w:gridCol w:w="298"/>
        <w:gridCol w:w="196"/>
        <w:gridCol w:w="691"/>
        <w:gridCol w:w="109"/>
        <w:gridCol w:w="109"/>
        <w:gridCol w:w="109"/>
        <w:gridCol w:w="109"/>
        <w:gridCol w:w="196"/>
        <w:gridCol w:w="691"/>
        <w:gridCol w:w="109"/>
        <w:gridCol w:w="109"/>
        <w:gridCol w:w="109"/>
        <w:gridCol w:w="109"/>
        <w:gridCol w:w="15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i/>
          <w:color w:val="000000"/>
          <w:sz w:val="18"/>
        </w:rPr>
        <w:t>Acquisition-related results</w:t>
      </w:r>
      <w:r>
        <w:rPr>
          <w:rFonts w:ascii="Times New Roman;serif" w:hAnsi="Times New Roman;serif"/>
          <w:b w:val="false"/>
          <w:color w:val="000000"/>
          <w:sz w:val="18"/>
        </w:rPr>
        <w:t>. The Company defines “acquisition-related” results as results from acquired businesses for the first twelve months following the dates of the respective acquisitions. For the three months ended March 31, 2026, the Company’s consolidated results of operations included acquisition-related revenue of approximately $168.5 million. Acquisition-related net income for the three months ended March 31, 2026 totaled approximately $4.5 million, based on the Company’s consolidated effective tax rate. These acquisition-related results include amortization of acquired intangible assets and certain acquisition integration costs.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Revenue and net income from the Company’s 2026 acquisitions included within the Company’s consolidated results of operations for the three months ended March 31, 2026 were $61.1 million and $2.6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4 – Fair Value of Financial Instruments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Acquisition-Related Contingent Consideration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10.5% as of March 31, 2026, and probability-weighted projections of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March 31, 2026, the range of potential undiscounted Earn-out liabilities was estimated to be between $23 million and $88 million; however, there is no maximum payment amount.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Earn-out activity consists primarily of additions from new business combinations; changes in the expected fair value of future payment obligations; and payments. The following table, which may contain slight summation differences due to rounding, provides a reconciliation of changes in Earn-out liabilities measured at fair value for the periods indicated (in millions):</w:t>
      </w:r>
    </w:p>
    <w:tbl>
      <w:tblPr>
        <w:tblW w:w="4704" w:type="dxa"/>
        <w:jc w:val="left"/>
        <w:tblInd w:w="0" w:type="dxa"/>
        <w:tblLayout w:type="fixed"/>
        <w:tblCellMar>
          <w:top w:w="28" w:type="dxa"/>
          <w:left w:w="28" w:type="dxa"/>
          <w:bottom w:w="28" w:type="dxa"/>
          <w:right w:w="28" w:type="dxa"/>
        </w:tblCellMar>
      </w:tblPr>
      <w:tblGrid>
        <w:gridCol w:w="977"/>
        <w:gridCol w:w="860"/>
        <w:gridCol w:w="863"/>
        <w:gridCol w:w="196"/>
        <w:gridCol w:w="466"/>
        <w:gridCol w:w="109"/>
        <w:gridCol w:w="109"/>
        <w:gridCol w:w="109"/>
        <w:gridCol w:w="109"/>
        <w:gridCol w:w="196"/>
        <w:gridCol w:w="55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beginning of period </w:t>
            </w:r>
            <w:r>
              <w:rPr>
                <w:rFonts w:ascii="Times New Roman;serif" w:hAnsi="Times New Roman;serif"/>
                <w:b w:val="false"/>
                <w:color w:val="000000"/>
                <w:sz w:val="12"/>
              </w:rPr>
              <w:t>(a)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Fair value adjustments</w:t>
            </w:r>
            <w:r>
              <w:rPr>
                <w:color w:val="000000"/>
              </w:rPr>
              <w:t xml:space="preserve"> </w:t>
            </w:r>
            <w:r>
              <w:rPr>
                <w:rFonts w:ascii="Times New Roman;serif" w:hAnsi="Times New Roman;serif"/>
                <w:b w:val="false"/>
                <w:color w:val="000000"/>
                <w:sz w:val="12"/>
              </w:rPr>
              <w:t>(b)</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Balance as of end of period </w:t>
            </w:r>
            <w:r>
              <w:rPr>
                <w:rFonts w:ascii="Times New Roman;serif" w:hAnsi="Times New Roman;serif"/>
                <w:b w:val="false"/>
                <w:color w:val="000000"/>
                <w:sz w:val="12"/>
              </w:rPr>
              <w:t>(a)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pPr>
      <w:r>
        <w:rPr>
          <w:rFonts w:ascii="Times New Roman;serif" w:hAnsi="Times New Roman;serif"/>
          <w:b w:val="false"/>
          <w:color w:val="26282A"/>
          <w:sz w:val="16"/>
        </w:rPr>
        <w:t>(a)</w:t>
      </w:r>
      <w:r>
        <w:rPr>
          <w:rFonts w:ascii="Times New Roman;serif" w:hAnsi="Times New Roman;serif"/>
          <w:b w:val="false"/>
          <w:color w:val="000000"/>
          <w:sz w:val="16"/>
        </w:rPr>
        <w:t>Earn-out liabilities included within other current liabilities totaled approximately $23.8 million and $28.2 million as of March 31, 2026 and December 31, 2025, respectively.</w:t>
      </w:r>
    </w:p>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(b)For the three months ended March 31, 2026, fair value adjustments related primarily to increases within the Company’s Pipeline Infrastructure segment. For the three months ended March 31, 2025, fair value adjustments related primarily to increases within the Company’s Clean Energy and Infrastructure and Pipeline Infrastructure segments, which were partially offset by decreases related to acquisitions within the Company’s Power Delivery segment.</w:t>
      </w:r>
    </w:p>
    <w:p>
      <w:pPr>
        <w:pStyle w:val="TextBody"/>
        <w:bidi w:val="0"/>
        <w:spacing w:lineRule="auto" w:line="288" w:before="18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Equity Investments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equity investments as of March 31, 2026 include the Company’s: (i) 33% equity interests in Trans-Pecos Pipeline, LLC and Comanche Trail Pipeline, LLC, collectively “Waha JVs”; (ii) interests in certain proportionately consolidated non-controlled joint ventures; and (iii) certain other equity investments. As of March 31, 2026 and December 31, 2025, the aggregate carrying value of the Company’s equity investments, which are recorded within other long-term assets in the consolidated balance sheets, totaled approximately $355 million and $377 million, respectively. During the first quarter of 2026, the Company sold its 15% equity interest in Cross Country Infrastructure Services, Inc. (“CCI”) for approximately $17 million, resulting in an immaterial gain.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Except for an investment for which the Company recorded an other-than-temporary impairment loss of $7.9 million, included within equity in earnings of unconsolidated affiliates, net, in the first quarter of 2026, there were no impairments related to these investments in either of the three months ended March 31,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The Waha JVs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The Waha JVs own and operate certain pipeline infrastructure in the U.S. that transports natural gas to the Mexico border for export. The Company’s investments in the Waha JVs are accounted for as equity method investments. Cumulative undistributed earnings from the Waha JVs, which represents cumulative equity in earnings for the Waha JVs less distributions of earnings, totaled $147.9 million as of March 31, 2026. The Company’s net investment in the Waha JVs, which differs from its proportionate share of the net assets of the Waha JVs due primarily to equity method goodwill associated with capitalized investment costs, totaled approximately $291 million and $290 million as of March 31, 2026 and December 31, 2025, respectively. The table below reflects the investment activity of the Waha JVs for the periods indicated (in millions):</w:t>
      </w:r>
    </w:p>
    <w:tbl>
      <w:tblPr>
        <w:tblW w:w="4317" w:type="dxa"/>
        <w:jc w:val="left"/>
        <w:tblInd w:w="0" w:type="dxa"/>
        <w:tblLayout w:type="fixed"/>
        <w:tblCellMar>
          <w:top w:w="28" w:type="dxa"/>
          <w:left w:w="28" w:type="dxa"/>
          <w:bottom w:w="28" w:type="dxa"/>
          <w:right w:w="28" w:type="dxa"/>
        </w:tblCellMar>
      </w:tblPr>
      <w:tblGrid>
        <w:gridCol w:w="755"/>
        <w:gridCol w:w="662"/>
        <w:gridCol w:w="668"/>
        <w:gridCol w:w="203"/>
        <w:gridCol w:w="390"/>
        <w:gridCol w:w="113"/>
        <w:gridCol w:w="113"/>
        <w:gridCol w:w="113"/>
        <w:gridCol w:w="113"/>
        <w:gridCol w:w="203"/>
        <w:gridCol w:w="390"/>
        <w:gridCol w:w="113"/>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Equity in earnings </w:t>
            </w:r>
            <w:r>
              <w:rPr>
                <w:rFonts w:ascii="Times New Roman;serif" w:hAnsi="Times New Roman;serif"/>
                <w:b w:val="false"/>
                <w:color w:val="000000"/>
                <w:sz w:val="12"/>
              </w:rPr>
              <w:t>(a)</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Distributions of earnings </w:t>
            </w:r>
            <w:r>
              <w:rPr>
                <w:rFonts w:ascii="Times New Roman;serif" w:hAnsi="Times New Roman;serif"/>
                <w:b w:val="false"/>
                <w:color w:val="000000"/>
                <w:sz w:val="12"/>
              </w:rPr>
              <w:t>(b)</w:t>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(a)Equity in earnings related to the Company’s proportionate share of income from the Waha JVs is included within the Company’s Other segment.</w:t>
      </w:r>
    </w:p>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(b)Distributions of earnings from the Waha JVs are included within operating cash flows.</w:t>
      </w:r>
    </w:p>
    <w:p>
      <w:pPr>
        <w:pStyle w:val="TextBody"/>
        <w:bidi w:val="0"/>
        <w:spacing w:lineRule="auto" w:line="288" w:before="180" w:after="120"/>
        <w:ind w:left="0" w:right="0" w:firstLine="720"/>
        <w:jc w:val="both"/>
        <w:rPr/>
      </w:pPr>
      <w:r>
        <w:rPr>
          <w:rFonts w:ascii="Times New Roman;serif" w:hAnsi="Times New Roman;serif"/>
          <w:b/>
          <w:i/>
          <w:color w:val="000000"/>
          <w:sz w:val="18"/>
        </w:rPr>
        <w:t>Other Investments.</w:t>
      </w:r>
      <w:r>
        <w:rPr>
          <w:color w:val="000000"/>
        </w:rPr>
        <w:t xml:space="preserve"> </w:t>
      </w:r>
      <w:r>
        <w:rPr>
          <w:rFonts w:ascii="Times New Roman;serif" w:hAnsi="Times New Roman;serif"/>
          <w:b w:val="false"/>
          <w:color w:val="000000"/>
          <w:sz w:val="18"/>
        </w:rPr>
        <w:t>The Company has equity interests in certain other entities that are accounted for as equity method investments. The Company made no equity contributions to, nor received any distributions from, these other entities for the three months ended March 31, 2026 or 2025. The Company has subcontracting arrangements with certain of these entities for the performance of construction services, and expenses recognized in connection with these arrangements totaled approximately $0.5 million and $1.3 million for the three months ended March 31, 2026 and 2025, respectively. As of March 31, 2026, there were no related amounts payable to these entities and as of December 31, 2025, related amounts payable totaled approximately $0.3 million. As of March 31, 2026 and December 31, 2025, receivables related to these arrangements totaled approximately $0.6 million and $4.0 million, respectively.</w:t>
      </w:r>
    </w:p>
    <w:p>
      <w:pPr>
        <w:pStyle w:val="TextBody"/>
        <w:bidi w:val="0"/>
        <w:spacing w:lineRule="auto" w:line="288" w:before="120" w:after="120"/>
        <w:ind w:left="0" w:right="0" w:firstLine="720"/>
        <w:jc w:val="both"/>
        <w:rPr/>
      </w:pPr>
      <w:r>
        <w:rPr>
          <w:rFonts w:ascii="Times New Roman;serif" w:hAnsi="Times New Roman;serif"/>
          <w:b/>
          <w:i/>
          <w:color w:val="000000"/>
          <w:sz w:val="18"/>
        </w:rPr>
        <w:t>Variable Interest Entities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The Company has determined that certain of its investment arrangements are variable interest entities (“VIEs”). Management assesses its VIEs on an ongoing basis to determine if the Company is the primary beneficiary and if consolidation is required. As of March 31, 2026, management determined that the Company is the primary beneficiary of two of its VIEs, which include an electric utility contractor. Accordingly, these entities have been consolidated within the Company’s financial statements, with the other parties’ interests accounted for as non-controlling interests. As of March 31, 2026 and December 31, 2025, the carrying values of assets associated with the Company’s consolidated VIEs totaled approximately $180.6 million and $187.3 million, respectively, which amounts consisted primarily of accounts receivable, net of allowance and contract assets. The carrying values of liabilities associated with the Company’s consolidated VIEs totaled approximately $177.9 million and $184.6 million as of March 31, 2026 and December 31, 2025, respectively, which amounts consisted primarily of accounts payable. The Company has not provided, nor is it obligated to provide, any financial support to any of its consolidated VIEs.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carrying values of the Company’s VIEs that are not consolidated totaled approximately $10 million and $20 million as of March 31, 2026 and December 31, 2025, respectively, and are recorded within other long-term assets in the consolidated balance sheets, with the decrease primarily attributable to an other-than-temporary impairment loss of $7.9 million, as described above. Management believes that the Company’s maximum exposure to loss for its non-consolidated VIEs, inclusive of additional financing commitments, approximated $12 million and $28 million as of March 31,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5 – Accounts Receivable, Net of Allowance, and Contract Assets and Liabilities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accounts receivable, net of allowance, and contract assets (together, “accounts receivable, net”) as of the dates indicated (in millions):</w:t>
      </w:r>
    </w:p>
    <w:tbl>
      <w:tblPr>
        <w:tblW w:w="5298" w:type="dxa"/>
        <w:jc w:val="left"/>
        <w:tblInd w:w="0" w:type="dxa"/>
        <w:tblLayout w:type="fixed"/>
        <w:tblCellMar>
          <w:top w:w="28" w:type="dxa"/>
          <w:left w:w="28" w:type="dxa"/>
          <w:bottom w:w="28" w:type="dxa"/>
          <w:right w:w="28" w:type="dxa"/>
        </w:tblCellMar>
      </w:tblPr>
      <w:tblGrid>
        <w:gridCol w:w="1010"/>
        <w:gridCol w:w="887"/>
        <w:gridCol w:w="893"/>
        <w:gridCol w:w="196"/>
        <w:gridCol w:w="691"/>
        <w:gridCol w:w="109"/>
        <w:gridCol w:w="109"/>
        <w:gridCol w:w="109"/>
        <w:gridCol w:w="109"/>
        <w:gridCol w:w="223"/>
        <w:gridCol w:w="787"/>
        <w:gridCol w:w="175"/>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billings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receivables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2,001.9 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Contract billings represent the amount of performance obligations that have been billed but not yet collected, whereas contract assets consist of unbilled receivables and retainage. Unbilled receivables, which are included in contract assets, represent the estimated value of unbilled work for projects with performance obligations recognized over time. Unbilled receivables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As of March 31, 2026, the increase in contract assets was driven primarily by ordinary course project activity within the Company’s Clean Energy and Infrastructure segment, including the impact of a first quarter acquisition and the timing of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and 2025, provisions for credit losses totaled recoveries of approximately $0.2 million and $0.7 million, respectively, both of which included certain project-specific reserves. Impairment losses on contract assets were not material in either period.</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Contract liabilities, which are generally classified within current liabilities on the Company’s consolidated balance sheets, consist primarily of deferred revenue and also include the amount of any accrued project losses.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Total contract liabilities, including accrued project losses, totaled approximately $800.3 million and $747.7 million as of March 31, 2026 and December 31, 2025, respectively, of which deferred revenue comprised approximately $792.3 million and $741.0 million, respectively. The increase in contract liabilities as of March 31, 2026 was driven primarily by ordinary course project activity, including in connection with new project starts within the Company’s Clean Energy and Infrastructure segment, as well as the impact of a first quarter acquisition.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2026 and 2025, the Company recognized revenue of approximately $571.3 million and $493.8 million, respectively, related to amounts that were included in deferred revenue as of December 31, 2025 and December 31, 2024, respectively, resulting primarily from the advancement of physical progress on the related projects during the respective periods.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three months ended March 31, 2026 and 2025, the Company sold approximately $172 million and $104 million, respectively, of receivables under financing arrangements for which it continues to manage collections for the transferred receivable, and, as of March 31, 2026 and December 31, 2025, outstanding sold receivables related thereto totaled approximately $171 million and $172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w:t>
      </w:r>
      <w:r>
        <w:rPr>
          <w:rFonts w:ascii="Times New Roman;serif" w:hAnsi="Times New Roman;serif"/>
          <w:b w:val="false"/>
          <w:i/>
          <w:color w:val="000000"/>
          <w:sz w:val="18"/>
        </w:rPr>
        <w:t>Transfers and Servicing</w:t>
      </w:r>
      <w:r>
        <w:rPr>
          <w:rFonts w:ascii="Times New Roman;serif" w:hAnsi="Times New Roman;serif"/>
          <w:b w:val="false"/>
          <w:color w:val="000000"/>
          <w:sz w:val="18"/>
        </w:rPr>
        <w:t>.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$5.7 million and $5.3 million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6 – Property and Equipment, Net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property and equipment, net, including property and equipment held under finance leases, as of the dates indicated (in millions):</w:t>
      </w:r>
    </w:p>
    <w:tbl>
      <w:tblPr>
        <w:tblW w:w="6828" w:type="dxa"/>
        <w:jc w:val="left"/>
        <w:tblInd w:w="0" w:type="dxa"/>
        <w:tblLayout w:type="fixed"/>
        <w:tblCellMar>
          <w:top w:w="28" w:type="dxa"/>
          <w:left w:w="28" w:type="dxa"/>
          <w:bottom w:w="28" w:type="dxa"/>
          <w:right w:w="28" w:type="dxa"/>
        </w:tblCellMar>
      </w:tblPr>
      <w:tblGrid>
        <w:gridCol w:w="1405"/>
        <w:gridCol w:w="1236"/>
        <w:gridCol w:w="1244"/>
        <w:gridCol w:w="196"/>
        <w:gridCol w:w="691"/>
        <w:gridCol w:w="109"/>
        <w:gridCol w:w="109"/>
        <w:gridCol w:w="109"/>
        <w:gridCol w:w="109"/>
        <w:gridCol w:w="224"/>
        <w:gridCol w:w="791"/>
        <w:gridCol w:w="124"/>
        <w:gridCol w:w="109"/>
        <w:gridCol w:w="109"/>
        <w:gridCol w:w="109"/>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equipment and vehicles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equipment, furniture and internal-use software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1,728.5 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the gross amount of capitalized internal-use software totaled $247.0 million and $247.2 million, respectively, and, net of accumulated amortization, totaled $49.5 million and $54.0 million, respectively. Accrued capital expenditures, the effects of which are excluded from capital expenditures in the Company’s consolidated statements of cash flows given their non-cash nature, totaled $22.0 million and $10.6 million as of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7 – Other Accrued Expenses</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other accrued expenses as of the dates indicated (in millions):</w:t>
      </w:r>
    </w:p>
    <w:tbl>
      <w:tblPr>
        <w:tblW w:w="5216" w:type="dxa"/>
        <w:jc w:val="left"/>
        <w:tblInd w:w="0" w:type="dxa"/>
        <w:tblLayout w:type="fixed"/>
        <w:tblCellMar>
          <w:top w:w="28" w:type="dxa"/>
          <w:left w:w="28" w:type="dxa"/>
          <w:bottom w:w="28" w:type="dxa"/>
          <w:right w:w="28" w:type="dxa"/>
        </w:tblCellMar>
      </w:tblPr>
      <w:tblGrid>
        <w:gridCol w:w="1021"/>
        <w:gridCol w:w="896"/>
        <w:gridCol w:w="903"/>
        <w:gridCol w:w="201"/>
        <w:gridCol w:w="572"/>
        <w:gridCol w:w="112"/>
        <w:gridCol w:w="109"/>
        <w:gridCol w:w="109"/>
        <w:gridCol w:w="109"/>
        <w:gridCol w:w="256"/>
        <w:gridCol w:w="727"/>
        <w:gridCol w:w="201"/>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project costs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Self-insurance and related liabilities </w:t>
            </w:r>
            <w:r>
              <w:rPr>
                <w:rFonts w:ascii="Times New Roman;serif" w:hAnsi="Times New Roman;serif"/>
                <w:b w:val="false"/>
                <w:color w:val="000000"/>
                <w:sz w:val="12"/>
              </w:rPr>
              <w:t>(a)</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20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sales and other taxes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See Note 13 – Commitments and Contingencies for additional information on insurance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8 – Debt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details of the carrying values of debt as of the dates indicated (in millions):</w:t>
      </w:r>
    </w:p>
    <w:tbl>
      <w:tblPr>
        <w:tblW w:w="6340"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434"/>
        <w:gridCol w:w="434"/>
        <w:gridCol w:w="436"/>
        <w:gridCol w:w="109"/>
        <w:gridCol w:w="109"/>
        <w:gridCol w:w="109"/>
        <w:gridCol w:w="196"/>
        <w:gridCol w:w="691"/>
        <w:gridCol w:w="109"/>
        <w:gridCol w:w="109"/>
        <w:gridCol w:w="109"/>
        <w:gridCol w:w="109"/>
        <w:gridCol w:w="223"/>
        <w:gridCol w:w="787"/>
        <w:gridCol w:w="175"/>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4.500%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5.900%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6.625%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15,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26,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2,176.4 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Senior Credit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maintains a $1.9 billion senior unsecured credit facility (the “Credit Facility”), which is composed of revolving commitments and matures on June 26, 2030. As of both March 31, 2026 and December 31, 2025, the fair value of the Credit Facility, as estimated based on an income approach utilizing significant unobservable Level 3 inputs including discount rate assumptions, approximated its carrying value.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outstanding revolving loans, which included $53.9 million and $43.0 million, respectively, of borrowings denominated in Canadian dollars, accrued interest at weighted average rates of approximately 4.73% and 4.56% per annum, respectively. Letters of credit of approximately $59.1 million and $57.1 million were issued as of March 31, 2026 and December 31, 2025, respectively. As of both March 31, 2026 and December 31, 2025, letter of credit fees accrued at 0.4375% per annum for performance standby letters of credit, and for financial standby letters of credit, accrued at 1.250% per annum. Outstanding letters of credit mature at various dates and most have automatic renewal provisions, subject to prior notice of cancellation.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availability for revolving loans totaled $1,537.0 million and $1,724.9 million, respectively, or up to $690.9 million and $692.9 million, respectively, for new letters of credit. Revolving loan borrowing capacity included $246.1 million and $257.0 million of availability in either Canadian dollars or Mexican pesos as of March 31, 2026 and December 31, 2025, respectively. The unused facility fee as of both March 31, 2026 and December 31, 2025 accrued at rates of 0.175% per annum.</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Credit Facilities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a separate credit facility, under which it may issue up to $50.0 million of performance standby letters of credit.  As of both March 31, 2026 and December 31, 2025, letters of credit issued under this facility totaled $33.4 million, which accrued fees at 0.50% per annum.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both March 31, 2026 and December 31, 2025, the gross carrying amount of the Company’s 4.500% senior notes due August 15, 2028 (the “4.500% Senior Notes”) totaled $600.0 million, and their estimated fair value totaled approximately $593.0 million and $595.7 million, respectively. As of both March 31, 2026 and December 31, 2025, the gross carrying amount of the Company’s 5.900% senior notes due June 15, 2029 (the “5.900% Senior Notes”) totaled $550.0 million, and their estimated fair value totaled approximately $567.9 million and $574.1 million, respectively. As of March 31, 2026 and December 31, 2025, the gross carrying amount of the Company’s 6.625% senior notes due August 15, 2029 (the “6.625% Senior Notes”) totaled $72.5 million and $72.3 million, respectively, and their estimated fair value approximated their carrying value for both respective periods. As of March 31, 2026 and December 31, 2025, the estimated fair values of the Company’s senior notes were determined based on an exit price approach using Level 2 inputs.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2025 Term Loan Facility</w:t>
      </w:r>
    </w:p>
    <w:p>
      <w:pPr>
        <w:pStyle w:val="TextBody"/>
        <w:bidi w:val="0"/>
        <w:spacing w:lineRule="auto" w:line="288" w:before="120" w:after="12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maintains a $600 million senior unsecured term loan facility (the “2025 Term Loan Facility”) that matures on June 26, 2028. Borrowings under the 2025 Term Loan Facility are not subject to amortization and are not guaranteed by, or secured by any assets of, the Company or any of its subsidiaries. As of both March 31, 2026 and December 31, 2025, the Company had $600 million outstanding under the 2025 Term Loan Facility and accrued interest at rates of 4.79% and 4.85%, respectively. </w:t>
      </w:r>
    </w:p>
    <w:p>
      <w:pPr>
        <w:pStyle w:val="TextBody"/>
        <w:bidi w:val="0"/>
        <w:spacing w:lineRule="auto" w:line="288" w:before="120" w:after="120"/>
        <w:ind w:left="0" w:right="0" w:firstLine="810"/>
        <w:jc w:val="both"/>
        <w:rPr>
          <w:rFonts w:ascii="Times New Roman;serif" w:hAnsi="Times New Roman;serif"/>
          <w:b w:val="false"/>
          <w:color w:val="000000"/>
          <w:sz w:val="18"/>
        </w:rPr>
      </w:pPr>
      <w:r>
        <w:rPr>
          <w:rFonts w:ascii="Times New Roman;serif" w:hAnsi="Times New Roman;serif"/>
          <w:b w:val="false"/>
          <w:color w:val="000000"/>
          <w:sz w:val="18"/>
        </w:rPr>
        <w:t xml:space="preserve">The fair value of the 2025 Term Loan Facility as of March 31, 2026 and December 31, 2025, as estimated based on an income approach utilizing significant unobservable Level 3 inputs including discount rate assumptions, approximated its carrying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Debt Covenants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outstanding debt instruments are subject to certain provisions and covenants, as more fully described in Note 8 – Debt in the Company’s 2025 Form 10-K. MasTec was in compliance with the provisions and covenants of its outstanding debt instruments as of both March 31, 2026 and December 31, 2025.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accrued interest payable, which is recorded within other accrued expenses in the consolidated balance sheets, totaled $15.8 million and $16.0 million, respectively. For additional information pertaining to the Company’s debt instruments, see Note 8 – Debt in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9 – Lease Obligations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enters into agreements that provide financing primarily for machinery, equipment, and vehicles, including certain related party leases. As of March 31, 2026, the Company’s leases have remaining lease terms of up to 13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Finance Leases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gross amount of assets held under finance leases as of March 31, 2026 and December 31, 2025 totaled $804.4 million and $798.8 million, respectively. Assets held under finance leases, net of accumulated depreciation, totaled $571.2 million and $560.1 million as of March 31, 2026 and December 31, 2025, respectively. Depreciation expense associated with finance leases totaled $17.3 million and $19.2 million for the three months ended March 31, 2026 and 2025, respectively.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Operating Leases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Operating lease additions for the three months ended March 31, 2026 and 2025 totaled $59.0 million and $48.9 million, respectively. Acquisition-related additions for the three months ended March 31, 2026 were immaterial. For the three months ended March 31, 2026 and 2025, rent expense for leases that have terms in excess of one year totaled approximately $64.5 million and $51.3 million, respectively, of which $5.1 million and $5.0 million, respectively, represented variable lease costs. The Company also incurred rent expense for leases with terms of one year or less totaling approximately $220.4 million and $134.4 million for the three months ended March 31, 2026 and 2025, respectively. Rent expense for operating leases is generally consistent with the amount of the related payments, which payments are included within operating activities in the consolidated statements of cash flows.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Lease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Future minimum lease commitments as of March 31, 2026 were as follows (in millions):</w:t>
      </w:r>
    </w:p>
    <w:tbl>
      <w:tblPr>
        <w:tblW w:w="6004" w:type="dxa"/>
        <w:jc w:val="left"/>
        <w:tblInd w:w="0" w:type="dxa"/>
        <w:tblLayout w:type="fixed"/>
        <w:tblCellMar>
          <w:top w:w="28" w:type="dxa"/>
          <w:left w:w="28" w:type="dxa"/>
          <w:bottom w:w="28" w:type="dxa"/>
          <w:right w:w="28" w:type="dxa"/>
        </w:tblCellMar>
      </w:tblPr>
      <w:tblGrid>
        <w:gridCol w:w="1407"/>
        <w:gridCol w:w="1233"/>
        <w:gridCol w:w="1245"/>
        <w:gridCol w:w="196"/>
        <w:gridCol w:w="556"/>
        <w:gridCol w:w="109"/>
        <w:gridCol w:w="109"/>
        <w:gridCol w:w="109"/>
        <w:gridCol w:w="109"/>
        <w:gridCol w:w="201"/>
        <w:gridCol w:w="571"/>
        <w:gridCol w:w="159"/>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w:t>
              <w:br/>
              <w:t>Leases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 nine months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obligations, net of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lease obligations, net of interest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weighted average remaining lease terms and discount rates for finance and non-cancelable operating leases as of the dates indicated:</w:t>
      </w:r>
    </w:p>
    <w:tbl>
      <w:tblPr>
        <w:tblW w:w="6339" w:type="dxa"/>
        <w:jc w:val="left"/>
        <w:tblInd w:w="0" w:type="dxa"/>
        <w:tblLayout w:type="fixed"/>
        <w:tblCellMar>
          <w:top w:w="28" w:type="dxa"/>
          <w:left w:w="28" w:type="dxa"/>
          <w:bottom w:w="28" w:type="dxa"/>
          <w:right w:w="28" w:type="dxa"/>
        </w:tblCellMar>
      </w:tblPr>
      <w:tblGrid>
        <w:gridCol w:w="1427"/>
        <w:gridCol w:w="1256"/>
        <w:gridCol w:w="1261"/>
        <w:gridCol w:w="202"/>
        <w:gridCol w:w="202"/>
        <w:gridCol w:w="480"/>
        <w:gridCol w:w="109"/>
        <w:gridCol w:w="109"/>
        <w:gridCol w:w="109"/>
        <w:gridCol w:w="248"/>
        <w:gridCol w:w="248"/>
        <w:gridCol w:w="688"/>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remaining lease term (in years):</w:t>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discount rate:</w:t>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10 – Stockholders' Equity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Share Repurchases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Company’s share repurchase program provides for the repurchase, from time to time, of MasTec common shares in open market transactions or in privately negotiated transactions in accordance with applicable securities laws. There were no share repurchases under the Company’s share repurchase program for the three months ended March 31, 2026. For the three months ended March 31, 2025, the Company repurchased 0.3 million shares of its common stock for an aggregate purchase price totaling $37.1 million, of which $10.2 million was settled in April 2025, under the Company’s March 2020 share repurchase program, which was completed during the second quarter of 2025. As of March 31, 2026, the full amount under the Company’s May 2025 $250 million share repurchase program remains available for future repurchases. The Company’s share repurchase program does not have an expiration date and may be modified or suspended at any time at the Company’s discretion.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Stock-Based Compensation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stock-based compensation plans, under which shares of the Company’s common stock are reserved for issuance. Under all stock-based compensation plans in effect as of March 31, 2026, there were approximately 3,866,000 shares available for future grants. Non-cash stock-based compensation expense under all plans totaled approximately $8.3 million and $6.9 million for the three months ended March 31, 2026 and 2025, respectively. Income tax benefits associated with stock-based compensation arrangements totaled $4.0 million and $1.6 million for the three months ended March 31, 2026 and 2025, respectively, including net tax benefits related to the vesting of share-based payment awards totaling $2.3 million and $0.4 million, respectively.</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Restricted Shares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grants restricted stock awards and restricted stock units (together, “restricted shares”) to eligible participants, which are valued based on the closing market share price of MasTec common stock on the date of grant. During the restriction period, holders of restricted stock awards are entitled to vote the shares. As of March 31, 2026, total unearned compensation related to restricted shares was approximately $93.8 million, which amount is expected to be recognized over a weighted average period of approximately 2.5 years. The fair value of restricted shares that vested totaled approximately $57.0 million and $20.8 million for the three months ended March 31, 2026 and 2025, respectively.</w:t>
      </w:r>
    </w:p>
    <w:tbl>
      <w:tblPr>
        <w:tblW w:w="9637" w:type="dxa"/>
        <w:jc w:val="left"/>
        <w:tblInd w:w="0" w:type="dxa"/>
        <w:tblLayout w:type="fixed"/>
        <w:tblCellMar>
          <w:top w:w="28" w:type="dxa"/>
          <w:left w:w="28" w:type="dxa"/>
          <w:bottom w:w="28" w:type="dxa"/>
          <w:right w:w="28" w:type="dxa"/>
        </w:tblCellMar>
      </w:tblPr>
      <w:tblGrid>
        <w:gridCol w:w="1449"/>
        <w:gridCol w:w="1275"/>
        <w:gridCol w:w="1280"/>
        <w:gridCol w:w="435"/>
        <w:gridCol w:w="436"/>
        <w:gridCol w:w="311"/>
        <w:gridCol w:w="109"/>
        <w:gridCol w:w="109"/>
        <w:gridCol w:w="109"/>
        <w:gridCol w:w="811"/>
        <w:gridCol w:w="2676"/>
        <w:gridCol w:w="637"/>
      </w:tblGrid>
      <w:tr>
        <w:trPr/>
        <w:tc>
          <w:tcPr>
            <w:tcW w:w="144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Activity, restricted shares: </w:t>
            </w:r>
            <w:r>
              <w:rPr>
                <w:rFonts w:ascii="Times New Roman;serif" w:hAnsi="Times New Roman;serif"/>
                <w:b/>
                <w:color w:val="000000"/>
                <w:sz w:val="12"/>
              </w:rPr>
              <w:t>(a)</w:t>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Restricted </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 Weighted Average Grant Date Fair Value</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shares, as of December 31,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1,038,778 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187,955 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303.38 </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(191,745)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96.87 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Canceled/forfeited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78.81 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restricted shares, as of March 31, 2026</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1,024,134 </w:t>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6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130.29 </w:t>
            </w:r>
          </w:p>
        </w:tc>
        <w:tc>
          <w:tcPr>
            <w:tcW w:w="6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left"/>
        <w:rPr/>
      </w:pPr>
      <w:r>
        <w:rPr>
          <w:rFonts w:ascii="Times New Roman;serif" w:hAnsi="Times New Roman;serif"/>
          <w:b w:val="false"/>
          <w:color w:val="000000"/>
          <w:sz w:val="16"/>
        </w:rPr>
        <w:t>(a)    Includes 131 restricted stock units as of March 31, 2026; none</w:t>
      </w:r>
      <w:r>
        <w:rPr>
          <w:color w:val="000000"/>
        </w:rPr>
        <w:t xml:space="preserve"> </w:t>
      </w:r>
      <w:r>
        <w:rPr>
          <w:rFonts w:ascii="Times New Roman;serif" w:hAnsi="Times New Roman;serif"/>
          <w:b w:val="false"/>
          <w:color w:val="000000"/>
          <w:sz w:val="16"/>
        </w:rPr>
        <w:t xml:space="preserve">were outstanding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11 – Income Taxes</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months ended March 31, 2026 and 2025, the Company’s consolidated effective tax rates were 23.8% and (37.8)%, respectively. The Company’s effective tax rate for the three months ended March 31, 2026 included income tax benefits primarily due to the vesting of share-based payment awards, offset, in part, by the effects of a higher state income tax rate. For the three months ended March 31, 2025, the Company’s effective tax rate included income tax benefits primarily due to the reversal of uncertain tax position liabilities related to a state audit, offset, in part, by an increase in income tax expense due to higher pre-tax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19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July 4, 2025, new tax legislation was signed into law, known as the One Big Beautiful Bill Act (the “OBBBA”), which makes changes to certain U.S. corporate tax provisions, many of which become effective in 2026.  The Company has undertaken efforts to reasonably estimate the impact of the provisions of the new law and expects that there will be no material impact on the consolidated financial statements.  The Company will continue to evaluate the full impact of these legislative changes as additional guidance becomes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12 – Segments and Related Information</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Segment Discussion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Communications segment performs engineering, construction, maintenance and customer fulfillment activities related to communications and digital infrastructure, primarily for wireless and wireline/fiber networks, data center buildout and interconnection, wireless integration and optimization and install-to-the-home services, as well as select utility infrastructure,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the construction and maintenance of buildings, roads, bridges, rail, water/sewer systems and other civil infrastructure, including data center infrastructure;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Earnings before interest, taxes, depreciation and amortization (“EBITDA”) is the measure of profitability used by the Company’s CODM to manage its segments and for segment reporting purposes.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the normal course of business, the Company’s reportable segments enter into transactions with one another. Intersegment transactions are reflected in the results of the respective segments and are included in the measure of segment performance reviewed by the Company’s CODM to evaluate performance and profitability and to allocate resources for each of the Company’s reportable segments; accordingly, eliminations and adjustments related to intersegment transactions are separately presented as “Eliminations” in the tables below. Intersegment revenues and expenses are accounted for as if the transactions were with third parties, as they are based on negotiated fees between the segments involved. All intersegment revenues and expenses are eliminated in consolidation and do not affect consolidated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Summarized financial information for MasTec’s reportable segments is presented and reconciled to consolidated financial information for total MasTec in the following tables, including a reconciliation of segment EBITDA to consolidated income before income taxes, all of which are presented in millions. The tables below, which may contain slight summation differences due to rounding, reflect certain financial data for each reportable segment.</w:t>
      </w:r>
    </w:p>
    <w:tbl>
      <w:tblPr>
        <w:tblW w:w="10715" w:type="dxa"/>
        <w:jc w:val="left"/>
        <w:tblInd w:w="0" w:type="dxa"/>
        <w:tblLayout w:type="fixed"/>
        <w:tblCellMar>
          <w:top w:w="28" w:type="dxa"/>
          <w:left w:w="28" w:type="dxa"/>
          <w:bottom w:w="28" w:type="dxa"/>
          <w:right w:w="28" w:type="dxa"/>
        </w:tblCellMar>
      </w:tblPr>
      <w:tblGrid>
        <w:gridCol w:w="531"/>
        <w:gridCol w:w="229"/>
        <w:gridCol w:w="231"/>
        <w:gridCol w:w="324"/>
        <w:gridCol w:w="920"/>
        <w:gridCol w:w="182"/>
        <w:gridCol w:w="109"/>
        <w:gridCol w:w="109"/>
        <w:gridCol w:w="109"/>
        <w:gridCol w:w="239"/>
        <w:gridCol w:w="843"/>
        <w:gridCol w:w="134"/>
        <w:gridCol w:w="109"/>
        <w:gridCol w:w="109"/>
        <w:gridCol w:w="109"/>
        <w:gridCol w:w="196"/>
        <w:gridCol w:w="691"/>
        <w:gridCol w:w="109"/>
        <w:gridCol w:w="109"/>
        <w:gridCol w:w="109"/>
        <w:gridCol w:w="109"/>
        <w:gridCol w:w="276"/>
        <w:gridCol w:w="785"/>
        <w:gridCol w:w="155"/>
        <w:gridCol w:w="109"/>
        <w:gridCol w:w="109"/>
        <w:gridCol w:w="109"/>
        <w:gridCol w:w="196"/>
        <w:gridCol w:w="481"/>
        <w:gridCol w:w="109"/>
        <w:gridCol w:w="109"/>
        <w:gridCol w:w="109"/>
        <w:gridCol w:w="109"/>
        <w:gridCol w:w="269"/>
        <w:gridCol w:w="661"/>
        <w:gridCol w:w="151"/>
        <w:gridCol w:w="109"/>
        <w:gridCol w:w="109"/>
        <w:gridCol w:w="109"/>
        <w:gridCol w:w="196"/>
        <w:gridCol w:w="69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Three Months Ended March 31, </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Clean Energy and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Power Delivery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Pipeline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2026:</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2025: </w:t>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Revenue </w:t>
            </w:r>
            <w:r>
              <w:rPr>
                <w:rFonts w:ascii="Times New Roman;serif" w:hAnsi="Times New Roman;serif"/>
                <w:b w:val="false"/>
                <w:color w:val="000000"/>
                <w:sz w:val="12"/>
              </w:rPr>
              <w:t>(a)</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(b)</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Total consolidated revenue equals total reportable segment revenue of $3,828.8 million and $2,847.7 million for the three months ended March 31, 2026 and 2025, respectively, as there is no revenue recorded within Corporate results.</w:t>
      </w:r>
    </w:p>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    For both the three months ended March 31, 2026 and 2025, other segment items for each reportable segment include general and administrative expenses, equity in earnings or losses of unconsolidated affiliates, net, and other income or expense, net.</w:t>
      </w:r>
    </w:p>
    <w:p>
      <w:pPr>
        <w:pStyle w:val="TextBody"/>
        <w:bidi w:val="0"/>
        <w:spacing w:before="40" w:after="40"/>
        <w:ind w:left="0" w:right="0" w:hanging="360"/>
        <w:jc w:val="both"/>
        <w:rPr/>
      </w:pPr>
      <w:r>
        <w:rPr/>
      </w:r>
    </w:p>
    <w:tbl>
      <w:tblPr>
        <w:tblW w:w="7900" w:type="dxa"/>
        <w:jc w:val="left"/>
        <w:tblInd w:w="0" w:type="dxa"/>
        <w:tblLayout w:type="fixed"/>
        <w:tblCellMar>
          <w:top w:w="28" w:type="dxa"/>
          <w:left w:w="28" w:type="dxa"/>
          <w:bottom w:w="28" w:type="dxa"/>
          <w:right w:w="28" w:type="dxa"/>
        </w:tblCellMar>
      </w:tblPr>
      <w:tblGrid>
        <w:gridCol w:w="1945"/>
        <w:gridCol w:w="1708"/>
        <w:gridCol w:w="1717"/>
        <w:gridCol w:w="196"/>
        <w:gridCol w:w="556"/>
        <w:gridCol w:w="109"/>
        <w:gridCol w:w="109"/>
        <w:gridCol w:w="109"/>
        <w:gridCol w:w="109"/>
        <w:gridCol w:w="196"/>
        <w:gridCol w:w="556"/>
        <w:gridCol w:w="109"/>
        <w:gridCol w:w="109"/>
        <w:gridCol w:w="109"/>
        <w:gridCol w:w="109"/>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Reconciliation of Segment EBITDA to Income Before Income Taxes: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694" w:type="dxa"/>
        <w:jc w:val="center"/>
        <w:tblInd w:w="0" w:type="dxa"/>
        <w:tblLayout w:type="fixed"/>
        <w:tblCellMar>
          <w:top w:w="28" w:type="dxa"/>
          <w:left w:w="28" w:type="dxa"/>
          <w:bottom w:w="28" w:type="dxa"/>
          <w:right w:w="28" w:type="dxa"/>
        </w:tblCellMar>
      </w:tblPr>
      <w:tblGrid>
        <w:gridCol w:w="1145"/>
        <w:gridCol w:w="1007"/>
        <w:gridCol w:w="1012"/>
        <w:gridCol w:w="196"/>
        <w:gridCol w:w="556"/>
        <w:gridCol w:w="109"/>
        <w:gridCol w:w="109"/>
        <w:gridCol w:w="109"/>
        <w:gridCol w:w="109"/>
        <w:gridCol w:w="196"/>
        <w:gridCol w:w="556"/>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2025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depreciation and amortization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21</w:t>
                      </w:r>
                    </w:p>
                  </w:txbxContent>
                </v:textbox>
                <w10:wrap type="none"/>
              </v:rect>
            </w:pict>
          </mc:Fallback>
        </mc:AlternateContent>
      </w:r>
    </w:p>
    <w:p>
      <w:pPr>
        <w:pStyle w:val="TextBody"/>
        <w:bidi w:val="0"/>
        <w:spacing w:before="0" w:after="0"/>
        <w:jc w:val="both"/>
        <w:rPr/>
      </w:pPr>
      <w:r>
        <w:rPr/>
      </w:r>
    </w:p>
    <w:tbl>
      <w:tblPr>
        <w:tblW w:w="5635" w:type="dxa"/>
        <w:jc w:val="center"/>
        <w:tblInd w:w="0" w:type="dxa"/>
        <w:tblLayout w:type="fixed"/>
        <w:tblCellMar>
          <w:top w:w="28" w:type="dxa"/>
          <w:left w:w="28" w:type="dxa"/>
          <w:bottom w:w="28" w:type="dxa"/>
          <w:right w:w="28" w:type="dxa"/>
        </w:tblCellMar>
      </w:tblPr>
      <w:tblGrid>
        <w:gridCol w:w="863"/>
        <w:gridCol w:w="758"/>
        <w:gridCol w:w="764"/>
        <w:gridCol w:w="232"/>
        <w:gridCol w:w="928"/>
        <w:gridCol w:w="129"/>
        <w:gridCol w:w="109"/>
        <w:gridCol w:w="109"/>
        <w:gridCol w:w="109"/>
        <w:gridCol w:w="307"/>
        <w:gridCol w:w="1085"/>
        <w:gridCol w:w="242"/>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December 31, 2025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assets</w:t>
            </w:r>
          </w:p>
        </w:tc>
        <w:tc>
          <w:tcPr>
            <w:tcW w:w="2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10,441.5 </w:t>
            </w:r>
          </w:p>
        </w:tc>
        <w:tc>
          <w:tcPr>
            <w:tcW w:w="1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9,923.5 </w:t>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902"/>
        <w:gridCol w:w="793"/>
        <w:gridCol w:w="795"/>
        <w:gridCol w:w="196"/>
        <w:gridCol w:w="466"/>
        <w:gridCol w:w="109"/>
        <w:gridCol w:w="109"/>
        <w:gridCol w:w="109"/>
        <w:gridCol w:w="109"/>
        <w:gridCol w:w="196"/>
        <w:gridCol w:w="466"/>
        <w:gridCol w:w="109"/>
        <w:gridCol w:w="109"/>
        <w:gridCol w:w="109"/>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2025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capital expenditures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pPr>
      <w:r>
        <w:rPr>
          <w:rFonts w:ascii="Times New Roman;serif" w:hAnsi="Times New Roman;serif"/>
          <w:b/>
          <w:i/>
          <w:color w:val="000000"/>
          <w:sz w:val="18"/>
          <w:shd w:fill="FFFFFF" w:val="clear"/>
        </w:rPr>
        <w:t>Foreign Operations</w:t>
      </w:r>
      <w:r>
        <w:rPr>
          <w:rFonts w:ascii="Times New Roman;serif" w:hAnsi="Times New Roman;serif"/>
          <w:b/>
          <w:i/>
          <w:color w:val="000000"/>
          <w:sz w:val="18"/>
        </w:rPr>
        <w:t xml:space="preserve">. </w:t>
      </w:r>
      <w:r>
        <w:rPr>
          <w:rFonts w:ascii="Times New Roman;serif" w:hAnsi="Times New Roman;serif"/>
          <w:b w:val="false"/>
          <w:color w:val="000000"/>
          <w:sz w:val="18"/>
        </w:rPr>
        <w:t>MasTec operates primarily within the United States and Canada. Revenue derived from foreign operations totaled $54.0 million and $49.8 million for the three months ended March 31, 2026 and 2025, respectively. Revenue from foreign operations was derived primarily from the Company’s Canadian operations in its Pipeline Infrastructure segment. As of March 31, 2026 and December 31, 2025, long-lived assets held by the Company’s businesses in foreign countries included property and equipment, net, of $22.6 million and $23.0 million respectively, and intangible assets and goodwill, net, of $107.6 million and $108.8 million, for the respective periods. Substantially all of the Company’s long-lived and intangible assets and goodwill in foreign countries relate to its Canadian operations.</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Significant Customers. </w:t>
      </w:r>
      <w:r>
        <w:rPr>
          <w:rFonts w:ascii="Times New Roman;serif" w:hAnsi="Times New Roman;serif"/>
          <w:b w:val="false"/>
          <w:color w:val="000000"/>
          <w:sz w:val="18"/>
        </w:rPr>
        <w:t>No customer represented greater than 10% of the Company’s total consolidated revenue for the three months ended March 31, 2026. For the three months ended March 31, 2025, AT&amp;T represented approximately 10% of the Company’s total consolidated revenue. The Company’s relationship with AT&amp;T is based upon multiple separate master service and other service agreements, including for maintenance services and construction/installation contracts for wireless and wireline, and for which the related revenue is included primarily within the Communications segment. Revenue from governmental entities for the three months ended March 31, 2026 and 2025 totaled approximately 12% and 13% of total revenue, respectively, all of which was derived from its U.S.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13 – Commitments and Contingencies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Commitments and Contingencies</w:t>
      </w:r>
    </w:p>
    <w:p>
      <w:pPr>
        <w:pStyle w:val="TextBody"/>
        <w:bidi w:val="0"/>
        <w:spacing w:lineRule="auto" w:line="288" w:before="120" w:after="120"/>
        <w:ind w:left="0" w:right="0" w:firstLine="720"/>
        <w:jc w:val="both"/>
        <w:rPr/>
      </w:pPr>
      <w:r>
        <w:rPr>
          <w:rFonts w:ascii="Times New Roman;serif" w:hAnsi="Times New Roman;serif"/>
          <w:b/>
          <w:i/>
          <w:color w:val="000000"/>
          <w:sz w:val="18"/>
        </w:rPr>
        <w:t>Leases</w:t>
      </w:r>
      <w:r>
        <w:rPr>
          <w:rFonts w:ascii="Times New Roman;serif" w:hAnsi="Times New Roman;serif"/>
          <w:b/>
          <w:color w:val="000000"/>
          <w:sz w:val="18"/>
        </w:rPr>
        <w:t xml:space="preserve">. </w:t>
      </w:r>
      <w:r>
        <w:rPr>
          <w:rFonts w:ascii="Times New Roman;serif" w:hAnsi="Times New Roman;serif"/>
          <w:b w:val="false"/>
          <w:color w:val="000000"/>
          <w:sz w:val="18"/>
        </w:rPr>
        <w:t>In the ordinary course of business, the Company enters into non-cancelable operating leases for certain of its facility, vehicle and equipment needs, including certain related party leases. See Note 9 – Lease Obligations and Note 14 – Related Party Transactions.</w:t>
      </w:r>
    </w:p>
    <w:p>
      <w:pPr>
        <w:pStyle w:val="TextBody"/>
        <w:bidi w:val="0"/>
        <w:spacing w:lineRule="auto" w:line="288" w:before="120" w:after="120"/>
        <w:ind w:left="0" w:right="0" w:firstLine="720"/>
        <w:jc w:val="both"/>
        <w:rPr/>
      </w:pPr>
      <w:r>
        <w:rPr>
          <w:rFonts w:ascii="Times New Roman;serif" w:hAnsi="Times New Roman;serif"/>
          <w:b/>
          <w:i/>
          <w:color w:val="000000"/>
          <w:sz w:val="18"/>
        </w:rPr>
        <w:t>Letters of Credit.</w:t>
      </w:r>
      <w:r>
        <w:rPr>
          <w:color w:val="000000"/>
        </w:rPr>
        <w:t xml:space="preserve"> </w:t>
      </w:r>
      <w:r>
        <w:rPr>
          <w:rFonts w:ascii="Times New Roman;serif" w:hAnsi="Times New Roman;serif"/>
          <w:b w:val="false"/>
          <w:color w:val="000000"/>
          <w:sz w:val="18"/>
        </w:rPr>
        <w:t>In the ordinary course of business, the Company is required to post letters of credit for its insurance carriers and surety bond providers and in support of performance under certain contracts as well as certain obligations associated with the Company’s equity investments and other strategic arrangements, including its VIEs. In addition, from time to time, certain customers require the Company to post letters of credit to ensure payment of subcontractors and vendors, and guarantee performance under contracts.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March 31, 2026 and December 31, 2025, there were $92.5 million and $90.5 million, respectively, of letters of credit issued under the Company’s credit facilities. Letter of credit claims have historically not been material. The Company is not aware of any material claims relating to its outstanding letters of credit as of March 31,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Performance and Payment Bonds.</w:t>
      </w:r>
      <w:r>
        <w:rPr>
          <w:color w:val="000000"/>
        </w:rPr>
        <w:t xml:space="preserve"> </w:t>
      </w:r>
      <w:r>
        <w:rPr>
          <w:rFonts w:ascii="Times New Roman;serif" w:hAnsi="Times New Roman;serif"/>
          <w:b w:val="false"/>
          <w:color w:val="000000"/>
          <w:sz w:val="18"/>
        </w:rPr>
        <w:t>In the ordinary course of business, MasTec is required by certain customers to provide performance and payment bonds for 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March 31, 2026 and December 31, 2025, outstanding performance and payment bonds approximated $12.4 billion and $10.9 billion, respectively, and estimated costs to complete projects secured by these bonds totaled $5.3 billion and $4.6 billion, respectively. Included in these balances as of March 31, 2026 and December 31, 2025 are $1.3 billion and $1.1 billion,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pStyle w:val="TextBody"/>
        <w:bidi w:val="0"/>
        <w:spacing w:lineRule="auto" w:line="288" w:before="120" w:after="120"/>
        <w:ind w:left="0" w:right="0" w:firstLine="720"/>
        <w:jc w:val="both"/>
        <w:rPr/>
      </w:pPr>
      <w:r>
        <w:rPr>
          <w:rFonts w:ascii="Times New Roman;serif" w:hAnsi="Times New Roman;serif"/>
          <w:b/>
          <w:i/>
          <w:color w:val="000000"/>
          <w:sz w:val="18"/>
        </w:rPr>
        <w:t>Investment and Strategic Arrangements.</w:t>
      </w:r>
      <w:r>
        <w:rPr>
          <w:color w:val="000000"/>
        </w:rPr>
        <w:t xml:space="preserve"> </w:t>
      </w:r>
      <w:r>
        <w:rPr>
          <w:rFonts w:ascii="Times New Roman;serif" w:hAnsi="Times New Roman;serif"/>
          <w:b w:val="false"/>
          <w:color w:val="000000"/>
          <w:sz w:val="18"/>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ten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March 31, 2026, the Company was not aware of material claims against it in connection with these arrangements. Included in the Company’s cash balances as of March 31, 2026 and December 31, 2025 are amounts held by entities that are proportionately consolidated totaling $46.1 million and $45.0 million, respectively. These amounts are available to support the operations of those entities, but are not available for the Company’s other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has other investment and strategic arrangements, under which it may incur costs or provide financing, performance, financial and/or other guarantees. See Note 4 – Fair Value of Financial Instruments and Note 14 – Related Party Transactions for additional information pertaining to the Company’s investment and strategic arrangements.</w:t>
      </w:r>
    </w:p>
    <w:p>
      <w:pPr>
        <w:pStyle w:val="TextBody"/>
        <w:bidi w:val="0"/>
        <w:spacing w:lineRule="auto" w:line="288" w:before="120" w:after="120"/>
        <w:ind w:left="0" w:right="0" w:firstLine="720"/>
        <w:jc w:val="both"/>
        <w:rPr/>
      </w:pPr>
      <w:r>
        <w:rPr>
          <w:rFonts w:ascii="Times New Roman;serif" w:hAnsi="Times New Roman;serif"/>
          <w:b/>
          <w:i/>
          <w:color w:val="000000"/>
          <w:sz w:val="18"/>
        </w:rPr>
        <w:t>Self-Insurance</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MasTec maintains insurance policies for workers’ compensation, general liability and automobile liability, which are subject to per claim 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$3.9 million and $3.3 million as of March 31, 2026 and December 31, 2025, respectively, which amounts are generally not available for use in the Company’s other operations.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MasTec’s estimated gross liability for unpaid claims and associated expenses, including incurred but not reported losses related to these policies, totaled $325.2 million and $306.8 million, respectively, of which $227.8 million and $224.9 million were reflected within other long-term liabilities, with the remainder reflected within other accrued expenses, in the consolidated balance sheets as of the respective periods. Related insurance recoveries/receivables totaled $26.3 million and $25.2 million as of March 31, 2026 and December 31, 2025, respectively, of which $23.3 million and $22.4 million were reflected within other long-term assets, with the remainder reflected within other current assets, in the consolidated balance sheets as of the respective periods.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also maintains an insurance policy with respect to employee group medical claims, which is subject to annual per employee maximum losses. MasTec’s estimated liability for employee group medical claims totaled $7.5 million and $2.3 million as of March 31, 2026 and December 31, 2025,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$7.4 million as of both March 31, 2026 and December 31, 2025. Outstanding surety bonds related to self-insurance programs amounted to $198.6 million as of both March 31, 2026 and December 31, 2025.</w:t>
      </w:r>
    </w:p>
    <w:p>
      <w:pPr>
        <w:pStyle w:val="TextBody"/>
        <w:bidi w:val="0"/>
        <w:spacing w:lineRule="auto" w:line="288" w:before="120" w:after="120"/>
        <w:ind w:left="0" w:right="0" w:firstLine="720"/>
        <w:jc w:val="both"/>
        <w:rPr/>
      </w:pPr>
      <w:r>
        <w:rPr>
          <w:rFonts w:ascii="Times New Roman;serif" w:hAnsi="Times New Roman;serif"/>
          <w:b/>
          <w:i/>
          <w:color w:val="000000"/>
          <w:sz w:val="18"/>
        </w:rPr>
        <w:t>Indemnities.</w:t>
      </w:r>
      <w:r>
        <w:rPr>
          <w:color w:val="000000"/>
        </w:rPr>
        <w:t xml:space="preserve"> </w:t>
      </w:r>
      <w:r>
        <w:rPr>
          <w:rFonts w:ascii="Times New Roman;serif" w:hAnsi="Times New Roman;serif"/>
          <w:b w:val="false"/>
          <w:color w:val="000000"/>
          <w:sz w:val="18"/>
        </w:rPr>
        <w:t>The Company generally indemnifies its customers for the services it provides under its contracts, as well as other specified liabilities, which may subject the Company to indemnity claims, liabilities and related litigation. As of both March 31, 2026 and December 31, 2025, the Company had accrued project close-out liabilities of approximately $5 million. The Company is not aware of any other material asserted or unasserted claims in connection with its potential indemnity obligations.</w:t>
      </w:r>
    </w:p>
    <w:p>
      <w:pPr>
        <w:pStyle w:val="TextBody"/>
        <w:bidi w:val="0"/>
        <w:spacing w:lineRule="auto" w:line="288" w:before="120" w:after="120"/>
        <w:ind w:left="0" w:right="0" w:firstLine="720"/>
        <w:jc w:val="both"/>
        <w:rPr/>
      </w:pPr>
      <w:r>
        <w:rPr>
          <w:rFonts w:ascii="Times New Roman;serif" w:hAnsi="Times New Roman;serif"/>
          <w:b/>
          <w:i/>
          <w:color w:val="000000"/>
          <w:sz w:val="18"/>
        </w:rPr>
        <w:t>Other Guarantees.</w:t>
      </w:r>
      <w:r>
        <w:rPr>
          <w:color w:val="000000"/>
        </w:rPr>
        <w:t xml:space="preserve"> </w:t>
      </w:r>
      <w:r>
        <w:rPr>
          <w:rFonts w:ascii="Times New Roman;serif" w:hAnsi="Times New Roman;serif"/>
          <w:b w:val="false"/>
          <w:color w:val="000000"/>
          <w:sz w:val="18"/>
        </w:rPr>
        <w:t>From time to time in the ordinary course of its business, MasTec guarantees the obligations of its subsidiaries, including obligations under 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pStyle w:val="TextBody"/>
        <w:bidi w:val="0"/>
        <w:spacing w:lineRule="auto" w:line="288" w:before="120" w:after="120"/>
        <w:ind w:left="0" w:right="0" w:firstLine="720"/>
        <w:jc w:val="both"/>
        <w:rPr/>
      </w:pPr>
      <w:r>
        <w:rPr>
          <w:rFonts w:ascii="Times New Roman;serif" w:hAnsi="Times New Roman;serif"/>
          <w:b/>
          <w:i/>
          <w:color w:val="000000"/>
          <w:sz w:val="18"/>
        </w:rPr>
        <w:t>Concentrations of Risk.</w:t>
      </w:r>
      <w:r>
        <w:rPr>
          <w:color w:val="000000"/>
        </w:rPr>
        <w:t xml:space="preserve"> </w:t>
      </w:r>
      <w:r>
        <w:rPr>
          <w:rFonts w:ascii="Times New Roman;serif" w:hAnsi="Times New Roman;serif"/>
          <w:b w:val="false"/>
          <w:color w:val="000000"/>
          <w:sz w:val="18"/>
        </w:rPr>
        <w:t>The Company had approximately 1,065 customers for the three months ended March 31, 2026. As of March 31, 2026, no customer represented greater than 10% of the Company’s consolidated net accounts receivable position, which is calculated as accounts receivable, net, less deferred revenue. As of December 31, 2025, one customer accounted for approximately 10% of the Company’s consolidated net accounts receivable position. The Company derived approximately 41% and 36% of its revenue from its top ten customers for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Note 14 – Related Party Transactions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rents and leases equipment and purchases certain supplies and servicing from CCI. Prior to and through a portion of the first quarter of 2026, CCI was an entity in which Juan Carlos Mas, who is an immediate family member of the Company’s CEO and its Chairman of the Board, served as the chairman. Additionally, a member of management of a MasTec subsidiary and an entity owned by the Mas family were minority owners of CCI until such ownership interests were sold during the first quarter of 2026, at which time the related-party relationship ended. For the three months ended March 31, 2026 and 2025, MasTec paid CCI approximately $2.3 million and $1.4 million for such services, and related amounts payable totaled approximately $0.8 million as of both March 31, 2026 and December 31, 2025. The Company also rented equipment to CCI and revenue from such rentals totaled approximately $0.2 million for the three months ended March 31, 2025.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 subcontracting arrangement with an entity for the performance of construction services, the minority owners of which include an entity controlled by Jorge Mas and José R. Mas, along with two members of management of a MasTec subsidiary. For the three months ended March 31, 2026 and 2025, MasTec incurred subcontracting expenses in connection with this arrangement of approximately $1.3 million and $0.1 million, respectively. Related amounts payable totaled approximately $0.9 million as of March 31, 2026, and were immaterial as of December 31, 2025.</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an aircraft leasing arrangement with an entity that is owned by Jorge Mas. For both the three months ended March 31, 2026 and 2025, payments related to this leasing arrangement totaled approximately $1.4 million.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performs construction services on behalf of a professional Miami soccer franchise (the “Franchise”) in which Jorge Mas and José R. Mas are majority owners. Construction services include, and have included, the construction of a soccer facility and stadium as well as utility and wireless infrastructure services. Construction services related to site preparation for this new soccer complex began in 2023 and stadium construction was substantially complete in April 2026. For the three months ended March 31, 2026 and 2025, revenue under these arrangements totaled approximately $30.3 million and $10.9 million, respectively, and related amounts receivable totaled approximately $65.7 million and $37.5 million as of March 31, 2026 and December 31, 2025, respectively. Payments for other expenses related to the Franchise totaled approximately $0.3 million and $0.4 million for the three months ended March 31, 2026 and 2025,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split dollar life insurance agreements with trusts, for one of which Jorge Mas is a trustee, and for the other of which José R. Mas is a trustee. As of both March 31, 2026 and December 31, 2025, life insurance assets associated with these agreements totaled approximately $27.5 million.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periods indicated is noted below.</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purchases, rents and leases equipment and purchases various types of supplies and services used in its business, and from time to time, rents equipment to, sells certain supplies, or performs construction services on behalf of, related entities. For the three months ended March 31, 2026 and 2025, payments to these related entities totaled approximately $15.7 million and $7.4 million, respectively, and revenue from such arrangements totaled approximately $2.4 million and $1.6 million, respectively. Payables associated with such arrangements totaled approximately $2.0 million and $4.2 million as of March 31, 2026 and December 31, 2025, respectively. As of March 31, 2026 and December 31, 2025, accounts receivable, net, less deferred revenue related to these arrangements totaled approximately $3.4 million and $3.9 million, respectively.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Non-controlling interests in entities consolidated by the Company represent ownership interests held by members of management of certain of the Company’s subsidiaries. The Company sold certain minority interests in these entities to members of management of a MasTec subsidiary for $7.1 million of notes receivable in a prior year. These notes, of which approximately $0.1 million and $0.4 million was outstanding as of March 31, 2026 and December 31, 2025, respectively, are recorded within other current or long-term assets, as appropriate, in the consolidated financial statements. The notes bear interest at a rate of 5.0% per annum. For both the three months ended March 31, 2026 and 2025, the Company recognized an immaterial amount of interest income related to these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CAUTIONARY STATEMENT REGARDING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“continue,” “targets,” “project,” “predict”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These risks and uncertainties include those described in “Management’s Discussion and Analysis of Financial Condition and Results of Operations,” and elsewhere in this report and in our 2025 Annual Report on Form 10-K (“2025 Form 10-K”), including those described under “Cautionary Statement Regarding Forward-Looking Statements” and “Risk Factors,” as updated by </w:t>
      </w:r>
      <w:hyperlink w:anchor="i45c0f10934cb4744bf46db70c48b3a8a_133">
        <w:r>
          <w:rPr>
            <w:rStyle w:val="InternetLink"/>
            <w:rFonts w:ascii="Times New Roman;serif" w:hAnsi="Times New Roman;serif"/>
            <w:b w:val="false"/>
            <w:color w:val="0000FF"/>
            <w:sz w:val="18"/>
            <w:u w:val="single"/>
          </w:rPr>
          <w:t>Item 1A</w:t>
        </w:r>
      </w:hyperlink>
      <w:r>
        <w:rPr>
          <w:rFonts w:ascii="Times New Roman;serif" w:hAnsi="Times New Roman;serif"/>
          <w:b w:val="false"/>
          <w:color w:val="000000"/>
          <w:sz w:val="18"/>
        </w:rPr>
        <w:t>, “Risk Factors” in this report and other filings we make with the Securities and Exchange Commission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120" w:after="283"/>
        <w:ind w:left="0" w:right="0" w:firstLine="720"/>
        <w:jc w:val="both"/>
        <w:rPr/>
      </w:pPr>
      <w:r>
        <w:rPr>
          <w:rFonts w:ascii="Times New Roman;serif" w:hAnsi="Times New Roman;serif"/>
          <w:b w:val="false"/>
          <w:color w:val="000000"/>
          <w:sz w:val="18"/>
        </w:rPr>
        <w:t xml:space="preserve">The following is a discussion and analysis of our business, financial condition and results of operations for the quarterly period ended March 31, 2026 and relevant prior periods. This discussion and analysis should be read in conjunction with our consolidated financial statements and notes thereto in </w:t>
      </w:r>
      <w:hyperlink w:anchor="i45c0f10934cb4744bf46db70c48b3a8a_13">
        <w:r>
          <w:rPr>
            <w:rStyle w:val="InternetLink"/>
            <w:rFonts w:ascii="Times New Roman;serif" w:hAnsi="Times New Roman;serif"/>
            <w:b w:val="false"/>
            <w:color w:val="0000FF"/>
            <w:sz w:val="18"/>
            <w:u w:val="single"/>
          </w:rPr>
          <w:t>Item 1</w:t>
        </w:r>
      </w:hyperlink>
      <w:r>
        <w:rPr>
          <w:color w:val="000000"/>
        </w:rPr>
        <w:t xml:space="preserve"> </w:t>
      </w:r>
      <w:r>
        <w:rPr>
          <w:rFonts w:ascii="Times New Roman;serif" w:hAnsi="Times New Roman;serif"/>
          <w:b w:val="false"/>
          <w:color w:val="000000"/>
          <w:sz w:val="18"/>
        </w:rPr>
        <w:t>of this Quarterly Report on Form 10-Q (this “Form 10-Q”), and the audited consolidated financial statements, accompanying notes and Management’s Discussion and Analysis of Financial Condition and Results of Operations (“MD&amp;A”) contained in our 2025 Form 10-K. In this MD&amp;A, “$” means U.S. dollars unless specified otherwise.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General Economic, Market and Regulatory Conditions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As disclosed within our “Risk Factors” in our 2025 Form 10-K, we are subject to risks related to, among other factors, tariffs and trade actions and geopolitical events that may affect macroeconomic conditions, supply chains, costs and customer demand. Recent geopolitical tensions, most notably conflicts in the Middle East, have contributed to increased volatility and uncertainty in the energy and capital markets, including higher fuel prices used to operate our fleet of vehicles, machinery and equipment, and such volatility could persist if these events are prolonged or escalate. At the same time, a heightened focus on domestic energy security and independence may incentivize oil and gas development and increase demand for renewable alternatives. During 2025 and continuing into 2026, the U.S. government announced or imposed a variety of tariff or other trade actions, prompting retaliatory measures by many countries, including tariffs on U.S. exports and restrictions on certain foreign exports. On February 20, 2026, the U.S. Supreme Court invalidated tariffs imposed under the International Emergency Economic Powers Act (“IEEPA”). Following this decision, the U.S. presidential administration announced its intention to invoke other laws to impose tariffs and announced new tariffs on all countries, in addition to existing non-IEEPA tariffs. Further, on April 2, 2026, the administration issued a Presidential Proclamation under Section 232 of the Trade Expansion Act of 1962 modifying and strengthening existing tariff regimes on aluminum, steel, and copper imports. Collectively, these trade actions have increased the cost of importing certain construction materials into the U.S., including steel, concrete, copper and solar panels, and have contributed to disruption, uncertainty, and volatility in international trade and supply chains. Significant uncertainty remains regarding the status of existing and newly announced tariffs, potential changes or pauses to such tariffs, tariff levels, and whether further additional tariffs or other retaliatory actions may be imposed, modified, or suspended. </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continue to monitor these developments and to evaluate potential impacts and mitigating strategies that we or our customers may implement; however, although these trade actions and ongoing geopolitical events have not had a material impact on our results of operations to date, the related uncertainty and potential changes in trade policy or geopolitical conditions could affect our customers’ capital spending plans, supply chains and operating costs, which could, in turn, adversely affect demand for our services in future periods.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Additionally, on July 4, 2025, the One Big Beautiful Bill Act (the “OBBBA”) was enacted in the United States increasing federal support for oil and gas production while reducing support for renewable energy and infrastructure. In particular, the acceleration of the phaseout of certain clean energy tax credits established under the Inflation Reduction Act may affect the timing and long-term demand for certain renewable energy projects, while other provisions incentivize oil and gas development as well as to support energy infrastructure such as carbon capture and energy storage. The OBBBA, along with other evolving trade and immigration policies, may have both positive and negative effects on our business, including, but not limited to, shifts in the timing, type and scope of customer projects, fluctuations in demand for our services, and changes in capital and labor costs, including availability.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will continue to monitor the market and economic conditions. 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Business Overview</w:t>
      </w:r>
    </w:p>
    <w:p>
      <w:pPr>
        <w:pStyle w:val="TextBody"/>
        <w:bidi w:val="0"/>
        <w:spacing w:lineRule="auto" w:line="288" w:before="120" w:after="120"/>
        <w:ind w:left="0" w:right="0" w:firstLine="720"/>
        <w:jc w:val="both"/>
        <w:rPr/>
      </w:pPr>
      <w:r>
        <w:rPr>
          <w:rFonts w:ascii="Times New Roman;serif" w:hAnsi="Times New Roman;serif"/>
          <w:b w:val="false"/>
          <w:color w:val="000000"/>
          <w:sz w:val="18"/>
        </w:rPr>
        <w:t>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the construction and maintenance of buildings, roads, bridges, rail, water/sewer systems and other civil infrastructure, including data center infrastructure; and environmental remediation services. Our customers are primarily in these industries. Including our predecessor companies, we have been in business for over 95 years. A</w:t>
      </w:r>
      <w:r>
        <w:rPr>
          <w:rFonts w:ascii="Times New Roman;serif" w:hAnsi="Times New Roman;serif"/>
          <w:b w:val="false"/>
          <w:color w:val="000000"/>
          <w:sz w:val="18"/>
          <w:shd w:fill="FFFFFF" w:val="clear"/>
        </w:rPr>
        <w:t xml:space="preserve">s of </w:t>
      </w:r>
      <w:r>
        <w:rPr>
          <w:rFonts w:ascii="Times New Roman;serif" w:hAnsi="Times New Roman;serif"/>
          <w:b w:val="false"/>
          <w:color w:val="000000"/>
          <w:sz w:val="18"/>
        </w:rPr>
        <w:t>March 31, 2026, we had approximately 37,000 employees and 790 locations</w:t>
      </w:r>
      <w:r>
        <w:rPr>
          <w:rFonts w:ascii="Times New Roman;serif" w:hAnsi="Times New Roman;serif"/>
          <w:b w:val="false"/>
          <w:color w:val="000000"/>
          <w:sz w:val="18"/>
          <w:shd w:fill="FFFFFF" w:val="clear"/>
        </w:rPr>
        <w:t xml:space="preserve">. We </w:t>
      </w:r>
      <w:r>
        <w:rPr>
          <w:rFonts w:ascii="Times New Roman;serif" w:hAnsi="Times New Roman;serif"/>
          <w:b w:val="false"/>
          <w:color w:val="000000"/>
          <w:sz w:val="18"/>
        </w:rPr>
        <w:t>offer our services under the MasTec</w:t>
      </w:r>
      <w:r>
        <w:rPr>
          <w:rFonts w:ascii="Times New Roman;serif" w:hAnsi="Times New Roman;serif"/>
          <w:b w:val="false"/>
          <w:color w:val="000000"/>
          <w:sz w:val="12"/>
        </w:rPr>
        <w:t xml:space="preserve">® </w:t>
      </w:r>
      <w:r>
        <w:rPr>
          <w:rFonts w:ascii="Times New Roman;serif" w:hAnsi="Times New Roman;serif"/>
          <w:b w:val="false"/>
          <w:color w:val="000000"/>
          <w:sz w:val="18"/>
        </w:rPr>
        <w:t>and other service marks and we are ranked among the top five contractors within Engineering News-Record’s Top 400 Contractors.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Backlog</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58% of our estimated March 31, 2026 backlog in 2026. The following table presents 18-month estimated backlog by reportable segment as of the dates indicated:</w:t>
      </w:r>
    </w:p>
    <w:tbl>
      <w:tblPr>
        <w:tblW w:w="7521" w:type="dxa"/>
        <w:jc w:val="left"/>
        <w:tblInd w:w="0" w:type="dxa"/>
        <w:tblLayout w:type="fixed"/>
        <w:tblCellMar>
          <w:top w:w="28" w:type="dxa"/>
          <w:left w:w="28" w:type="dxa"/>
          <w:bottom w:w="28" w:type="dxa"/>
          <w:right w:w="28" w:type="dxa"/>
        </w:tblCellMar>
      </w:tblPr>
      <w:tblGrid>
        <w:gridCol w:w="976"/>
        <w:gridCol w:w="860"/>
        <w:gridCol w:w="863"/>
        <w:gridCol w:w="266"/>
        <w:gridCol w:w="876"/>
        <w:gridCol w:w="147"/>
        <w:gridCol w:w="109"/>
        <w:gridCol w:w="109"/>
        <w:gridCol w:w="109"/>
        <w:gridCol w:w="318"/>
        <w:gridCol w:w="1050"/>
        <w:gridCol w:w="177"/>
        <w:gridCol w:w="109"/>
        <w:gridCol w:w="109"/>
        <w:gridCol w:w="109"/>
        <w:gridCol w:w="262"/>
        <w:gridCol w:w="866"/>
        <w:gridCol w:w="206"/>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 (in millions):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18-month backlog</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20,328 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18,963 </w:t>
            </w:r>
          </w:p>
        </w:tc>
        <w:tc>
          <w:tcPr>
            <w:tcW w:w="1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15,880 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44%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March 31, 2026, total 18-month backlog differed from the amount of our remaining performance obligations due primarily to the inclusion of $8.4 billion of estimated future revenue under master service and other service agreements within our backlog estimates, as described above, and the exclusion of approximately $4.3 billion of remaining performance obligations and estimated future revenue under master service and other service agreements in excess of 18 months, which amount is not included in the backlog estimates above. Backlog expected to be realized in 2026 differs from the amount of remaining performance obligations expected to be recognized for the same period due primarily to the inclusion of approximately $3.1 billion of estimated future revenue under master service and other service agreements included within our backlog estimate, which is not included within our remaining performance obligations for the same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Economic, Industry and Market Factors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We closely monitor the effects of changes in economic, industry and market conditions on our customers, including the potential effects of the factors discussed above in “General Economic, Market and Regulatory Conditions,”</w:t>
      </w:r>
      <w:r>
        <w:rPr>
          <w:color w:val="000000"/>
        </w:rPr>
        <w:t xml:space="preserve"> </w:t>
      </w:r>
      <w:r>
        <w:rPr>
          <w:rFonts w:ascii="Times New Roman;serif" w:hAnsi="Times New Roman;serif"/>
          <w:b w:val="false"/>
          <w:color w:val="000000"/>
          <w:sz w:val="18"/>
        </w:rPr>
        <w:t>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2025 Form 10-K.</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Effect of Seasonality and Cyclical Nature of Business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the Management’s Discussion and Analysis of Financial Condition and Results of Operations contained in our 2025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During the three months ended March 31, 2026, there were no material changes in our critical accounting estimates or policies previously disclosed in our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Comparison of Consolidated Results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tables, which may contain slight summation differences due to rounding, reflect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as appropriate, which are described in the comparison of results section below. In our discussions, “acquisition” results are defined as results from acquired businesses for the first twelve months following the dates of the respective acquisitions, with the balance of results for a particular item attributed to “organic” activity. Unless otherwise stated, comparisons are for the quarters ended March 31, 2026 and 2025. </w:t>
      </w:r>
    </w:p>
    <w:p>
      <w:pPr>
        <w:pStyle w:val="TextBody"/>
        <w:bidi w:val="0"/>
        <w:spacing w:lineRule="auto" w:line="288" w:before="180" w:after="120"/>
        <w:jc w:val="left"/>
        <w:rPr>
          <w:rFonts w:ascii="Times New Roman;serif" w:hAnsi="Times New Roman;serif"/>
          <w:b/>
          <w:color w:val="000000"/>
          <w:sz w:val="18"/>
        </w:rPr>
      </w:pPr>
      <w:r>
        <w:rPr>
          <w:rFonts w:ascii="Times New Roman;serif" w:hAnsi="Times New Roman;serif"/>
          <w:b/>
          <w:color w:val="000000"/>
          <w:sz w:val="18"/>
        </w:rPr>
        <w:t>Three Months Ended March 31, 2026 Compared to Three Months Ended March 31, 2025</w:t>
      </w:r>
    </w:p>
    <w:tbl>
      <w:tblPr>
        <w:tblW w:w="10205" w:type="dxa"/>
        <w:jc w:val="left"/>
        <w:tblInd w:w="0" w:type="dxa"/>
        <w:tblLayout w:type="fixed"/>
        <w:tblCellMar>
          <w:top w:w="28" w:type="dxa"/>
          <w:left w:w="28" w:type="dxa"/>
          <w:bottom w:w="28" w:type="dxa"/>
          <w:right w:w="28" w:type="dxa"/>
        </w:tblCellMar>
      </w:tblPr>
      <w:tblGrid>
        <w:gridCol w:w="943"/>
        <w:gridCol w:w="706"/>
        <w:gridCol w:w="713"/>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09"/>
        <w:gridCol w:w="109"/>
        <w:gridCol w:w="109"/>
        <w:gridCol w:w="109"/>
        <w:gridCol w:w="156"/>
      </w:tblGrid>
      <w:tr>
        <w:trPr/>
        <w:tc>
          <w:tcPr>
            <w:tcW w:w="94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2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revenue, excluding 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(earnings) of unconsolidated affiliates,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MasTec, Inc.</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36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On a consolidated basis, revenue increased by $981 million, or 34%, driven by our segment results as follows: revenue increased in our Clean Energy and Infrastructure segment by approximately $414 million, or 45%, in our Pipeline Infrastructure segment by approximately $326 million, or 91%, in our Power Delivery segment by approximately $146 million, or 16%, and in our Communications segment by approximately $121 million, or 18%. Acquisitions contributed $169 million of increased revenue for the three months ended March 31, 2026, whereas organic revenue increased by approximately $813 million, or 29%, as compared with the same period in 2025. See below for details of revenue by segment.</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Costs of revenue, excluding depreciation and amortization. </w:t>
      </w:r>
      <w:r>
        <w:rPr>
          <w:rFonts w:ascii="Times New Roman;serif" w:hAnsi="Times New Roman;serif"/>
          <w:b w:val="false"/>
          <w:color w:val="000000"/>
          <w:sz w:val="18"/>
        </w:rPr>
        <w:t>Higher levels of revenue contributed an increase of $874 million in costs of revenue, excluding depreciation and amortization, and improved productivity contributed a decrease of approximately $60 million. Costs of revenue, excluding depreciation and amortization, as a percentage of revenue, decreased by approximately 160 basis points to 87.5% of revenue for the three months ended March 31, 2026 from 89.1% of revenue for the same period in 2025. The basis point decrease was due to a combination of project mix and improved project efficiencies, primarily within our Pipeline Infrastructure segment.</w:t>
      </w:r>
    </w:p>
    <w:p>
      <w:pPr>
        <w:pStyle w:val="TextBody"/>
        <w:bidi w:val="0"/>
        <w:spacing w:lineRule="auto" w:line="288" w:before="120" w:after="120"/>
        <w:ind w:left="0" w:right="0" w:firstLine="360"/>
        <w:jc w:val="both"/>
        <w:rPr/>
      </w:pPr>
      <w:r>
        <w:rPr>
          <w:rFonts w:ascii="Times New Roman;serif" w:hAnsi="Times New Roman;serif"/>
          <w:b/>
          <w:i/>
          <w:color w:val="000000"/>
          <w:sz w:val="18"/>
        </w:rPr>
        <w:t>Depreciation.</w:t>
      </w:r>
      <w:r>
        <w:rPr>
          <w:color w:val="000000"/>
        </w:rPr>
        <w:t xml:space="preserve"> </w:t>
      </w:r>
      <w:r>
        <w:rPr>
          <w:rFonts w:ascii="Times New Roman;serif" w:hAnsi="Times New Roman;serif"/>
          <w:b w:val="false"/>
          <w:color w:val="000000"/>
          <w:sz w:val="18"/>
        </w:rPr>
        <w:t xml:space="preserve">As a percentage of revenue, depreciation decreased by approximately 50 basis points, due primarily to higher levels of revenue. </w:t>
      </w:r>
    </w:p>
    <w:p>
      <w:pPr>
        <w:pStyle w:val="TextBody"/>
        <w:bidi w:val="0"/>
        <w:spacing w:lineRule="auto" w:line="288" w:before="120" w:after="120"/>
        <w:ind w:left="0" w:right="0" w:firstLine="360"/>
        <w:jc w:val="both"/>
        <w:rPr/>
      </w:pPr>
      <w:r>
        <w:rPr>
          <w:rFonts w:ascii="Times New Roman;serif" w:hAnsi="Times New Roman;serif"/>
          <w:b/>
          <w:i/>
          <w:color w:val="000000"/>
          <w:sz w:val="18"/>
        </w:rPr>
        <w:t>Amortization of intangible assets.</w:t>
      </w:r>
      <w:r>
        <w:rPr>
          <w:color w:val="000000"/>
        </w:rPr>
        <w:t xml:space="preserve"> </w:t>
      </w:r>
      <w:r>
        <w:rPr>
          <w:rFonts w:ascii="Times New Roman;serif" w:hAnsi="Times New Roman;serif"/>
          <w:b w:val="false"/>
          <w:color w:val="000000"/>
          <w:sz w:val="18"/>
        </w:rPr>
        <w:t>Acquisitions contributed approximately $9 million of amortization for the three months ended March 31, 2026, and organic amortization decreased by approximately $3 million, or 9%, due primarily to timing of amortization of intangible assets. As a percentage of revenue, amortization of intangible assets decreased by approximately 10 basis points as compared with the same period in 2025 due, in part, to higher levels of revenue.</w:t>
      </w:r>
    </w:p>
    <w:p>
      <w:pPr>
        <w:pStyle w:val="TextBody"/>
        <w:bidi w:val="0"/>
        <w:spacing w:lineRule="auto" w:line="288" w:before="120" w:after="120"/>
        <w:ind w:left="0" w:right="0" w:firstLine="360"/>
        <w:jc w:val="both"/>
        <w:rPr/>
      </w:pPr>
      <w:r>
        <w:rPr>
          <w:rFonts w:ascii="Times New Roman;serif" w:hAnsi="Times New Roman;serif"/>
          <w:b/>
          <w:i/>
          <w:color w:val="000000"/>
          <w:sz w:val="18"/>
        </w:rPr>
        <w:t>General and administrative expenses</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 xml:space="preserve">Acquisitions contributed $6 million of general and administrative expenses for the three months ended March 31, 2026. Organic general and administrative expenses also increased by approximately $42 million, or 25%, as compared with the same period in 2025, primarily due to an increase in compensation expense, including stock-based compensation and insurance to support business growth, a $10 million increase from changes in the fair value of contingent consideration payable to former owners of an acquired business, approximately $1 million of an increase from changes to estimated Earn-out accruals, and a decrease in net gains on asset sales. Overall, general and administrative expenses decreased by approximately 20 basis points as a percentage of revenue for the three months ended March 31, 2026 as compared with the same period in 2025 due, in part, to higher levels of revenue.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Interest expense, net. </w:t>
      </w:r>
      <w:r>
        <w:rPr>
          <w:rFonts w:ascii="Times New Roman;serif" w:hAnsi="Times New Roman;serif"/>
          <w:b w:val="false"/>
          <w:color w:val="000000"/>
          <w:sz w:val="18"/>
        </w:rPr>
        <w:t xml:space="preserve">The increase in interest expense, net, resulted primarily from higher average balances on our variable rate debt, which accounted for an increase in interest expense of approximately $4 million. </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Equity in losses (earnings) of unconsolidated affiliates, net. </w:t>
      </w:r>
      <w:r>
        <w:rPr>
          <w:rFonts w:ascii="Times New Roman;serif" w:hAnsi="Times New Roman;serif"/>
          <w:b w:val="false"/>
          <w:color w:val="000000"/>
          <w:sz w:val="18"/>
        </w:rPr>
        <w:t xml:space="preserve">For the three months ended March 31, 2026, losses from unconsolidated affiliates, net, totaled approximately $4 million, related primarily to an other-than-temporary impairment of $7.9 million on an equity method investment, partially offset by earnings from our investment in the Waha JVs. For the three months ended March 31, 2025, equity in earnings from unconsolidated affiliates, net, totaled approximately $10 million, and related primarily to our investment in the Waha JVs. </w:t>
      </w:r>
    </w:p>
    <w:p>
      <w:pPr>
        <w:pStyle w:val="TextBody"/>
        <w:bidi w:val="0"/>
        <w:spacing w:lineRule="auto" w:line="288" w:before="120" w:after="120"/>
        <w:ind w:left="0" w:right="0" w:firstLine="360"/>
        <w:jc w:val="both"/>
        <w:rPr/>
      </w:pPr>
      <w:r>
        <w:rPr>
          <w:rFonts w:ascii="Times New Roman;serif" w:hAnsi="Times New Roman;serif"/>
          <w:b/>
          <w:i/>
          <w:color w:val="000000"/>
          <w:sz w:val="18"/>
        </w:rPr>
        <w:t>Other expense (income), net.</w:t>
      </w:r>
      <w:r>
        <w:rPr>
          <w:color w:val="000000"/>
        </w:rPr>
        <w:t xml:space="preserve"> </w:t>
      </w:r>
      <w:r>
        <w:rPr>
          <w:rFonts w:ascii="Times New Roman;serif" w:hAnsi="Times New Roman;serif"/>
          <w:b w:val="false"/>
          <w:color w:val="000000"/>
          <w:sz w:val="18"/>
        </w:rPr>
        <w:t>For the three months ended March 31, 2026, other expense, net, consisted primarily of approximately $7 million of certain exit costs and other charges, offset, in part, by a gain on the sale of our 15% equity interest in CCI and other miscellaneous income. For the three month period ended March 31, 2025, other income, net, consisted primarily of approximately $2 million of other miscellaneous income, net.</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(Provision for) benefit from income taxes. </w:t>
      </w:r>
      <w:r>
        <w:rPr>
          <w:rFonts w:ascii="Times New Roman;serif" w:hAnsi="Times New Roman;serif"/>
          <w:b w:val="false"/>
          <w:color w:val="000000"/>
          <w:sz w:val="18"/>
        </w:rPr>
        <w:t>For the three months ended March 31, 2026, our effective tax rate was 23.8% as compared with (37.8)% for the same period in 2025. Our effective tax rate for the three months ended March 31, 2026 included income tax benefits primarily due to the vesting of share-based payment awards, offset, in part, by the effects of a higher state income tax rate, whereas for the three months ended March 31, 2025, our effective tax rate included an income tax benefit primarily due to the reversal of uncertain tax position liabilities related to a state audit, offset, in part, by pre-tax income.</w:t>
      </w:r>
    </w:p>
    <w:p>
      <w:pPr>
        <w:pStyle w:val="TextBody"/>
        <w:bidi w:val="0"/>
        <w:spacing w:lineRule="auto" w:line="288" w:before="120" w:after="120"/>
        <w:ind w:left="0" w:right="0" w:firstLine="360"/>
        <w:jc w:val="both"/>
        <w:rPr/>
      </w:pPr>
      <w:r>
        <w:rPr>
          <w:rFonts w:ascii="Times New Roman;serif" w:hAnsi="Times New Roman;serif"/>
          <w:b/>
          <w:i/>
          <w:color w:val="000000"/>
          <w:sz w:val="18"/>
        </w:rPr>
        <w:t xml:space="preserve">Net income attributable to non-controlling interests. </w:t>
      </w:r>
      <w:r>
        <w:rPr>
          <w:rFonts w:ascii="Times New Roman;serif" w:hAnsi="Times New Roman;serif"/>
          <w:b w:val="false"/>
          <w:color w:val="000000"/>
          <w:sz w:val="18"/>
        </w:rPr>
        <w:t>Net income attributable to non-controlling interests was $9 million for the three months ended March 31, 2026, as compared with $2 million for the same period in 2025. The increase was primarily attributable to the increase in activity of certain entities within the Pipeline Infrastructure segment with minority interest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left"/>
        <w:rPr>
          <w:rFonts w:ascii="Times New Roman;serif" w:hAnsi="Times New Roman;serif"/>
          <w:b/>
          <w:i/>
          <w:color w:val="000000"/>
          <w:sz w:val="18"/>
        </w:rPr>
      </w:pPr>
      <w:r>
        <w:rPr>
          <w:rFonts w:ascii="Times New Roman;serif" w:hAnsi="Times New Roman;serif"/>
          <w:b/>
          <w:i/>
          <w:color w:val="000000"/>
          <w:sz w:val="18"/>
        </w:rPr>
        <w:t>Analysis of Revenue and EBITDA by Segment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review our operating results by reportable segment. See Note 12 – Segments and Related Information in the notes to the consolidated financial statements, which is incorporated by reference. Our reportable segments are: (1)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The following tables, which may contain slight summation differences due to rounding, present revenue, EBITDA and EBITDA margin by segment for the periods indicated (dollar amounts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jc w:val="left"/>
        <w:rPr>
          <w:rFonts w:ascii="Times New Roman;serif" w:hAnsi="Times New Roman;serif"/>
          <w:b/>
          <w:color w:val="000000"/>
          <w:sz w:val="18"/>
        </w:rPr>
      </w:pPr>
      <w:r>
        <w:rPr>
          <w:rFonts w:ascii="Times New Roman;serif" w:hAnsi="Times New Roman;serif"/>
          <w:b/>
          <w:color w:val="000000"/>
          <w:sz w:val="18"/>
        </w:rPr>
        <w:t>Three Months Ended March 31, 2026 Compared to Three Months Ended March 31, 2025</w:t>
      </w:r>
    </w:p>
    <w:tbl>
      <w:tblPr>
        <w:tblW w:w="14031" w:type="dxa"/>
        <w:jc w:val="left"/>
        <w:tblInd w:w="0" w:type="dxa"/>
        <w:tblLayout w:type="fixed"/>
        <w:tblCellMar>
          <w:top w:w="28" w:type="dxa"/>
          <w:left w:w="28" w:type="dxa"/>
          <w:bottom w:w="28" w:type="dxa"/>
          <w:right w:w="28" w:type="dxa"/>
        </w:tblCellMar>
      </w:tblPr>
      <w:tblGrid>
        <w:gridCol w:w="478"/>
        <w:gridCol w:w="419"/>
        <w:gridCol w:w="424"/>
        <w:gridCol w:w="196"/>
        <w:gridCol w:w="691"/>
        <w:gridCol w:w="109"/>
        <w:gridCol w:w="109"/>
        <w:gridCol w:w="109"/>
        <w:gridCol w:w="109"/>
        <w:gridCol w:w="196"/>
        <w:gridCol w:w="691"/>
        <w:gridCol w:w="109"/>
        <w:gridCol w:w="109"/>
        <w:gridCol w:w="109"/>
        <w:gridCol w:w="109"/>
        <w:gridCol w:w="109"/>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78"/>
        <w:gridCol w:w="278"/>
        <w:gridCol w:w="256"/>
        <w:gridCol w:w="109"/>
        <w:gridCol w:w="109"/>
        <w:gridCol w:w="109"/>
        <w:gridCol w:w="109"/>
        <w:gridCol w:w="109"/>
        <w:gridCol w:w="109"/>
        <w:gridCol w:w="109"/>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EBITDA and EBITDA Margin</w:t>
            </w:r>
          </w:p>
        </w:tc>
        <w:tc>
          <w:tcPr>
            <w:tcW w:w="3244" w:type="dxa"/>
            <w:gridSpan w:val="20"/>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2026</w:t>
            </w:r>
            <w:r>
              <w:rPr>
                <w:color w:val="000000"/>
              </w:rPr>
              <w:t xml:space="preserve">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Eliminations </w:t>
            </w:r>
            <w:r>
              <w:rPr>
                <w:rFonts w:ascii="Times New Roman;serif" w:hAnsi="Times New Roman;serif"/>
                <w:b w:val="false"/>
                <w:color w:val="000000"/>
                <w:sz w:val="12"/>
              </w:rPr>
              <w:t>(b)</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For three months ended March 31, 2026 the Other segment EBITDA included approximately $8 million of an other-than-temporary impairment related to an equity method investment.</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(b)    Represents intersegment eliminations and adjustments related to transactions entered into in the normal course of business.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Communications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Revenue. </w:t>
      </w:r>
      <w:r>
        <w:rPr>
          <w:rFonts w:ascii="Times New Roman;serif" w:hAnsi="Times New Roman;serif"/>
          <w:b w:val="false"/>
          <w:color w:val="000000"/>
          <w:sz w:val="18"/>
        </w:rPr>
        <w:t xml:space="preserve">The increase in revenue was driven primarily by organic growth resulting from higher levels of wireless and wireline project activity.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decreased by approximately 100 basis points, or $8 million, primarily due to costs to exit certain markets in our install-to-the-home business. Higher levels of revenue resulted in an increase in EBITDA of approximately $8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Clean Energy and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Acquisitions contributed $125 million of revenue for the three months ended March 31, 2026, and organic revenue increased by approximately $289 million, or 32%, as compared with the same period in 2025. The increase in organic revenue was due primarily to higher levels of project activity and mix, primarily in renewable and general building projects, including data-center related project activity.</w:t>
      </w:r>
    </w:p>
    <w:p>
      <w:pPr>
        <w:pStyle w:val="TextBody"/>
        <w:bidi w:val="0"/>
        <w:spacing w:lineRule="auto" w:line="288" w:before="120" w:after="120"/>
        <w:ind w:left="0" w:right="0" w:firstLine="720"/>
        <w:jc w:val="both"/>
        <w:rPr/>
      </w:pPr>
      <w:r>
        <w:rPr>
          <w:rFonts w:ascii="Times New Roman;serif" w:hAnsi="Times New Roman;serif"/>
          <w:b/>
          <w:i/>
          <w:color w:val="000000"/>
          <w:sz w:val="18"/>
        </w:rPr>
        <w:t>EBITDA.</w:t>
      </w:r>
      <w:r>
        <w:rPr>
          <w:color w:val="000000"/>
        </w:rPr>
        <w:t xml:space="preserve"> </w:t>
      </w:r>
      <w:r>
        <w:rPr>
          <w:rFonts w:ascii="Times New Roman;serif" w:hAnsi="Times New Roman;serif"/>
          <w:b w:val="false"/>
          <w:color w:val="000000"/>
          <w:sz w:val="18"/>
        </w:rPr>
        <w:t>As a percentage of revenue, EBITDA increased by approximately 50 basis points, or $6 million, due to a combination of project mix, improved productivity and efficiencies, primarily from certain renewable and general building project work. Higher levels of revenue resulted in an increase in EBITDA of approximately $26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Power Delivery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 xml:space="preserve">. </w:t>
      </w:r>
      <w:r>
        <w:rPr>
          <w:rFonts w:ascii="Times New Roman;serif" w:hAnsi="Times New Roman;serif"/>
          <w:b w:val="false"/>
          <w:color w:val="000000"/>
          <w:sz w:val="18"/>
        </w:rPr>
        <w:t>The</w:t>
      </w:r>
      <w:r>
        <w:rPr>
          <w:color w:val="000000"/>
        </w:rPr>
        <w:t xml:space="preserve"> </w:t>
      </w:r>
      <w:r>
        <w:rPr>
          <w:rFonts w:ascii="Times New Roman;serif" w:hAnsi="Times New Roman;serif"/>
          <w:b w:val="false"/>
          <w:color w:val="000000"/>
          <w:sz w:val="18"/>
        </w:rPr>
        <w:t>increase in revenue was due primarily to higher levels of project activity, including timing-related increases in transmission and distribution-related project work, offset, in part, by a decrease in substation-related project activity.</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increased by approximately 120 basis points, or $12 million, primarily due to the non-recurrence in the current period of reduced efficiencies at certain project sites in the prior year period. Higher levels of revenue resulted in an increase in EBITDA of approximately $8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Pipeline Infrastructure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Revenue</w:t>
      </w:r>
      <w:r>
        <w:rPr>
          <w:rFonts w:ascii="Times New Roman;serif" w:hAnsi="Times New Roman;serif"/>
          <w:b/>
          <w:color w:val="000000"/>
          <w:sz w:val="18"/>
        </w:rPr>
        <w:t>.</w:t>
      </w:r>
      <w:r>
        <w:rPr>
          <w:color w:val="000000"/>
        </w:rPr>
        <w:t xml:space="preserve"> </w:t>
      </w:r>
      <w:r>
        <w:rPr>
          <w:rFonts w:ascii="Times New Roman;serif" w:hAnsi="Times New Roman;serif"/>
          <w:b w:val="false"/>
          <w:color w:val="000000"/>
          <w:sz w:val="18"/>
        </w:rPr>
        <w:t>The increase in revenue was due primarily to higher levels of midstream pipeline project activity.</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As a percentage of revenue, EBITDA increased by approximately 870 basis points, or $60 million, due primarily to improved efficiencies, as well as the effects of project mix. Higher levels of revenue contributed an increase in EBITDA of approximately $41 million.</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Other Segment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The EBITDA loss from Other businesses relates primarily to an other-than-temporary impairment related to an equity method investment and other related charges, offset, in part, by equity in earnings from our investments in the Waha JVs.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Corporate Results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EBITDA. </w:t>
      </w:r>
      <w:r>
        <w:rPr>
          <w:rFonts w:ascii="Times New Roman;serif" w:hAnsi="Times New Roman;serif"/>
          <w:b w:val="false"/>
          <w:color w:val="000000"/>
          <w:sz w:val="18"/>
        </w:rPr>
        <w:t>For the three months ended March 31, 2026, Corporate EBITDA included approximately $2 million of expense, net, from changes to estimated Earn-out accruals and approximately $9 million of expense, net, from the changes in the fair value of contingent consideration payable to former owners of an acquired business. For the three months ended March 31, 2025, Corporate EBITDA included approximately $1 million of expense, net, from changes to estimated Earn-out accruals and approximately $1 million of income, net, from the changes in the fair value of contingent consideration payable to former owners of an acquired business. Corporate expenses for the three months ended March 31, 2026 not related to the above-described items increased by approximately $18 million as compared with the same period in 2025, due primarily to increases in insurance, compensation, including stock-based compensation, and the effects of timing of ordinary course legal and other settlement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Non-U.S. GAAP Financial Measures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changes in fair value of acquisition-related contingent items and impairments of equity method investments, as more fully described below; and, for Adjusted Net Income, Adjusted Net Income Attributable to MasTec, Inc.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Non-cash stock-based compensation expense can be subject to volatility from changes in the market price per share of our common stock or variations in the value and number of shares granted. We also exclude intangible asset amortization and the effects of changes in fair value of acquisition-related contingent items from our non-U.S. GAAP financial measures due to their non-operational nature and inherent volatility, as activity, including from acquisitions, varies from period to period. Note that while intangible asset amortization related to the assets of acquired entities is excluded from our non-U.S. GAAP financial measures, the revenue and all other expenses of the acquired entities are included within our non-U.S. GAAP financial measures, unless otherwise stated.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based on the fluctuation of our share price and are contingent upon the post-acquisition collections of certain receivables. Additionally, we exclude impairments of equity method investments, as these charges do not reflect the ordinary course of the Company’s business and are not incurred on a predictable basis. We believe that this presentation is common practice within our industry and improves comparability of our results with those of our peers.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 reconciliation of net income to EBITDA and Adjusted EBITDA in dollar and percentage of revenue terms for the periods indicated. The tables below (dollar amounts in millions) may contain slight summation differences due to rounding.</w:t>
      </w:r>
    </w:p>
    <w:tbl>
      <w:tblPr>
        <w:tblW w:w="9308" w:type="dxa"/>
        <w:jc w:val="left"/>
        <w:tblInd w:w="0" w:type="dxa"/>
        <w:tblLayout w:type="fixed"/>
        <w:tblCellMar>
          <w:top w:w="28" w:type="dxa"/>
          <w:left w:w="28" w:type="dxa"/>
          <w:bottom w:w="28" w:type="dxa"/>
          <w:right w:w="28" w:type="dxa"/>
        </w:tblCellMar>
      </w:tblPr>
      <w:tblGrid>
        <w:gridCol w:w="1577"/>
        <w:gridCol w:w="1383"/>
        <w:gridCol w:w="1390"/>
        <w:gridCol w:w="196"/>
        <w:gridCol w:w="556"/>
        <w:gridCol w:w="109"/>
        <w:gridCol w:w="109"/>
        <w:gridCol w:w="109"/>
        <w:gridCol w:w="109"/>
        <w:gridCol w:w="188"/>
        <w:gridCol w:w="188"/>
        <w:gridCol w:w="256"/>
        <w:gridCol w:w="109"/>
        <w:gridCol w:w="109"/>
        <w:gridCol w:w="109"/>
        <w:gridCol w:w="196"/>
        <w:gridCol w:w="556"/>
        <w:gridCol w:w="109"/>
        <w:gridCol w:w="109"/>
        <w:gridCol w:w="109"/>
        <w:gridCol w:w="109"/>
        <w:gridCol w:w="224"/>
        <w:gridCol w:w="226"/>
        <w:gridCol w:w="256"/>
        <w:gridCol w:w="109"/>
        <w:gridCol w:w="109"/>
        <w:gridCol w:w="109"/>
        <w:gridCol w:w="109"/>
        <w:gridCol w:w="109"/>
        <w:gridCol w:w="109"/>
        <w:gridCol w:w="109"/>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 Reconciliation:</w:t>
            </w:r>
          </w:p>
        </w:tc>
        <w:tc>
          <w:tcPr>
            <w:tcW w:w="18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EBITDA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8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 reconciliation of EBITDA and EBITDA margin to Adjusted EBITDA and Adjusted EBITDA margin by segment for the periods indicated is as follows:</w:t>
      </w:r>
    </w:p>
    <w:tbl>
      <w:tblPr>
        <w:tblW w:w="9625" w:type="dxa"/>
        <w:jc w:val="left"/>
        <w:tblInd w:w="0" w:type="dxa"/>
        <w:tblLayout w:type="fixed"/>
        <w:tblCellMar>
          <w:top w:w="28" w:type="dxa"/>
          <w:left w:w="28" w:type="dxa"/>
          <w:bottom w:w="28" w:type="dxa"/>
          <w:right w:w="28" w:type="dxa"/>
        </w:tblCellMar>
      </w:tblPr>
      <w:tblGrid>
        <w:gridCol w:w="1651"/>
        <w:gridCol w:w="1448"/>
        <w:gridCol w:w="1461"/>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41"/>
        <w:gridCol w:w="226"/>
        <w:gridCol w:w="256"/>
        <w:gridCol w:w="109"/>
        <w:gridCol w:w="109"/>
        <w:gridCol w:w="109"/>
        <w:gridCol w:w="109"/>
        <w:gridCol w:w="109"/>
        <w:gridCol w:w="109"/>
        <w:gridCol w:w="109"/>
        <w:gridCol w:w="154"/>
      </w:tblGrid>
      <w:tr>
        <w:trPr/>
        <w:tc>
          <w:tcPr>
            <w:tcW w:w="165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Three Months Ended 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Non-cash stock-based compensation expense</w:t>
            </w:r>
            <w:r>
              <w:rPr>
                <w:color w:val="000000"/>
              </w:rPr>
              <w:t xml:space="preserve">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Changes in fair value of acquisition-related contingent items</w:t>
            </w:r>
            <w:r>
              <w:rPr>
                <w:color w:val="000000"/>
              </w:rPr>
              <w:t xml:space="preserve"> </w:t>
            </w:r>
            <w:r>
              <w:rPr>
                <w:rFonts w:ascii="Times New Roman;serif" w:hAnsi="Times New Roman;serif"/>
                <w:b w:val="false"/>
                <w:color w:val="000000"/>
                <w:sz w:val="12"/>
              </w:rPr>
              <w:t>(a)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Impairments of equity method investments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Clean Energy and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 Delivery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Pipeline Infrastructure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Eliminations </w:t>
            </w:r>
            <w:r>
              <w:rPr>
                <w:rFonts w:ascii="Times New Roman;serif" w:hAnsi="Times New Roman;serif"/>
                <w:b w:val="false"/>
                <w:color w:val="000000"/>
                <w:sz w:val="12"/>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NM - Percentage is not meaningful</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Non-cash stock-based compensation expense and changes in fair value of acquisition-related contingent items are included within Corporate, while the impairments of equity method investments are included within the Other segment EBITDA.</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(b)    Represents intersegment eliminations and adjustments related to transactions entered into in the normal course of business. </w:t>
      </w:r>
    </w:p>
    <w:p>
      <w:pPr>
        <w:pStyle w:val="TextBody"/>
        <w:bidi w:val="0"/>
        <w:spacing w:lineRule="auto" w:line="288" w:before="18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tables below (dollar amounts in millions, except per share amounts), which may contain slight summation differences due to rounding, reconcile reported net income and reported diluted earnings per share, the most directly comparable U.S. GAAP financial measures, to Adjusted Net Income, Adjusted Net Income Attributable to MasTec, Inc. and Adjusted Diluted Earnings Per Share.</w:t>
      </w:r>
    </w:p>
    <w:tbl>
      <w:tblPr>
        <w:tblW w:w="6790" w:type="dxa"/>
        <w:jc w:val="left"/>
        <w:tblInd w:w="0" w:type="dxa"/>
        <w:tblLayout w:type="fixed"/>
        <w:tblCellMar>
          <w:top w:w="28" w:type="dxa"/>
          <w:left w:w="28" w:type="dxa"/>
          <w:bottom w:w="28" w:type="dxa"/>
          <w:right w:w="28" w:type="dxa"/>
        </w:tblCellMar>
      </w:tblPr>
      <w:tblGrid>
        <w:gridCol w:w="1568"/>
        <w:gridCol w:w="1381"/>
        <w:gridCol w:w="1401"/>
        <w:gridCol w:w="196"/>
        <w:gridCol w:w="556"/>
        <w:gridCol w:w="109"/>
        <w:gridCol w:w="109"/>
        <w:gridCol w:w="109"/>
        <w:gridCol w:w="109"/>
        <w:gridCol w:w="196"/>
        <w:gridCol w:w="466"/>
        <w:gridCol w:w="109"/>
        <w:gridCol w:w="109"/>
        <w:gridCol w:w="109"/>
        <w:gridCol w:w="109"/>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attributable to MasTec, Inc.</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31</w:t>
                      </w:r>
                    </w:p>
                  </w:txbxContent>
                </v:textbox>
                <w10:wrap type="none"/>
              </v:rect>
            </w:pict>
          </mc:Fallback>
        </mc:AlternateContent>
      </w:r>
    </w:p>
    <w:p>
      <w:pPr>
        <w:pStyle w:val="TextBody"/>
        <w:bidi w:val="0"/>
        <w:spacing w:before="0" w:after="0"/>
        <w:jc w:val="both"/>
        <w:rPr/>
      </w:pPr>
      <w:r>
        <w:rPr/>
      </w:r>
    </w:p>
    <w:tbl>
      <w:tblPr>
        <w:tblW w:w="6699" w:type="dxa"/>
        <w:jc w:val="left"/>
        <w:tblInd w:w="0" w:type="dxa"/>
        <w:tblLayout w:type="fixed"/>
        <w:tblCellMar>
          <w:top w:w="28" w:type="dxa"/>
          <w:left w:w="28" w:type="dxa"/>
          <w:bottom w:w="28" w:type="dxa"/>
          <w:right w:w="28" w:type="dxa"/>
        </w:tblCellMar>
      </w:tblPr>
      <w:tblGrid>
        <w:gridCol w:w="1575"/>
        <w:gridCol w:w="1382"/>
        <w:gridCol w:w="1392"/>
        <w:gridCol w:w="196"/>
        <w:gridCol w:w="466"/>
        <w:gridCol w:w="109"/>
        <w:gridCol w:w="109"/>
        <w:gridCol w:w="109"/>
        <w:gridCol w:w="109"/>
        <w:gridCol w:w="196"/>
        <w:gridCol w:w="466"/>
        <w:gridCol w:w="109"/>
        <w:gridCol w:w="109"/>
        <w:gridCol w:w="109"/>
        <w:gridCol w:w="109"/>
        <w:gridCol w:w="154"/>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stock-based compensation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 of acquisition-related contingent items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Impairments of equity method investments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pre-tax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8"/>
              </w:rPr>
              <w:t xml:space="preserve">Income tax effect of adjustments </w:t>
            </w:r>
            <w:r>
              <w:rPr>
                <w:rFonts w:ascii="Times New Roman;serif" w:hAnsi="Times New Roman;serif"/>
                <w:b w:val="false"/>
                <w:color w:val="000000"/>
                <w:sz w:val="12"/>
              </w:rPr>
              <w:t>(a)</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earnings per share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    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months ended March 31, 2026 and 2025, our consolidated tax amounts were an expense and a benefit, with effective tax rates, as reported, of 23.8% and (37.8)%, respectively, and as adjusted, were expenses, with effective tax rates of 24.8% and 12.4%, respectively. See Note 11 – Income Taxes in the notes to the consolidated financial statements, which is incorporated by reference, for additional information regarding our consolidated tax amounts and effective tax rates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18"/>
        </w:rPr>
      </w:pPr>
      <w:r>
        <w:rPr>
          <w:rFonts w:ascii="Times New Roman;serif" w:hAnsi="Times New Roman;serif"/>
          <w:b/>
          <w:color w:val="000000"/>
          <w:sz w:val="18"/>
        </w:rPr>
        <w:t>Financial Condition, 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p>
    <w:p>
      <w:pPr>
        <w:pStyle w:val="TextBody"/>
        <w:bidi w:val="0"/>
        <w:spacing w:lineRule="auto" w:line="288" w:before="120" w:after="120"/>
        <w:ind w:left="0" w:right="0" w:firstLine="720"/>
        <w:jc w:val="both"/>
        <w:rPr/>
      </w:pPr>
      <w:r>
        <w:rPr>
          <w:rFonts w:ascii="Times New Roman;serif" w:hAnsi="Times New Roman;serif"/>
          <w:b/>
          <w:i/>
          <w:color w:val="000000"/>
          <w:sz w:val="18"/>
        </w:rPr>
        <w:t>Capital Expenditures</w:t>
      </w:r>
      <w:r>
        <w:rPr>
          <w:rFonts w:ascii="Times New Roman;serif" w:hAnsi="Times New Roman;serif"/>
          <w:b w:val="false"/>
          <w:i/>
          <w:color w:val="000000"/>
          <w:sz w:val="18"/>
        </w:rPr>
        <w:t xml:space="preserve">. </w:t>
      </w:r>
      <w:r>
        <w:rPr>
          <w:rFonts w:ascii="Times New Roman;serif" w:hAnsi="Times New Roman;serif"/>
          <w:b w:val="false"/>
          <w:color w:val="000000"/>
          <w:sz w:val="18"/>
        </w:rPr>
        <w:t>For the three months ended March 31, 2026, we spent approximately $97 million on capital expenditures, or $87 million, net of asset disposals, and incurred approximately $59 million of equipment purchases under finance leases and other financing arrangements. We estimate that we will spend approximately $290 million on capital expenditures, or approximately $220 million, net of asset disposals, in 2026, and we expect to incur approximately $260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pStyle w:val="TextBody"/>
        <w:bidi w:val="0"/>
        <w:spacing w:lineRule="auto" w:line="288" w:before="120" w:after="120"/>
        <w:ind w:left="0" w:right="0" w:firstLine="720"/>
        <w:jc w:val="both"/>
        <w:rPr/>
      </w:pPr>
      <w:r>
        <w:rPr>
          <w:rFonts w:ascii="Times New Roman;serif" w:hAnsi="Times New Roman;serif"/>
          <w:b/>
          <w:i/>
          <w:color w:val="000000"/>
          <w:sz w:val="18"/>
        </w:rPr>
        <w:t>Acquisitions and Earn-Out Liabilities.</w:t>
      </w:r>
      <w:r>
        <w:rPr>
          <w:color w:val="000000"/>
        </w:rPr>
        <w:t xml:space="preserve"> </w:t>
      </w:r>
      <w:r>
        <w:rPr>
          <w:rFonts w:ascii="Times New Roman;serif" w:hAnsi="Times New Roman;serif"/>
          <w:b w:val="false"/>
          <w:color w:val="000000"/>
          <w:sz w:val="18"/>
        </w:rPr>
        <w:t xml:space="preserve">We typically utilize cash for business acquisitions and other strategic arrangements, and for the three months ended March 31, 2026, we used $267 million, net of cash acquired for this purpose. In addition, in most of our acquisitions, we have agreed to make future payments to the sellers that are contingent upon the future earnings performance of the 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March 31, 2026 was approximately $74 million. Of this amount, approximately $23 million represents the liability for earned amounts. The remainder is management’s estimate of Earn-out liabilities that are contingent upon future performance. For the three months ended March 31, 2026, we made no payments related to our Earn-out liabilities, and for the three months ended March 31, 2025, payments totaled $0.5 million. </w:t>
      </w:r>
    </w:p>
    <w:p>
      <w:pPr>
        <w:pStyle w:val="TextBody"/>
        <w:bidi w:val="0"/>
        <w:spacing w:lineRule="auto" w:line="288" w:before="120" w:after="120"/>
        <w:ind w:left="0" w:right="0" w:firstLine="720"/>
        <w:jc w:val="both"/>
        <w:rPr/>
      </w:pPr>
      <w:r>
        <w:rPr>
          <w:rFonts w:ascii="Times New Roman;serif" w:hAnsi="Times New Roman;serif"/>
          <w:b/>
          <w:i/>
          <w:color w:val="000000"/>
          <w:sz w:val="18"/>
        </w:rPr>
        <w:t>Income Taxes.</w:t>
      </w:r>
      <w:r>
        <w:rPr>
          <w:color w:val="000000"/>
        </w:rPr>
        <w:t xml:space="preserve"> </w:t>
      </w:r>
      <w:r>
        <w:rPr>
          <w:rFonts w:ascii="Times New Roman;serif" w:hAnsi="Times New Roman;serif"/>
          <w:b w:val="false"/>
          <w:color w:val="000000"/>
          <w:sz w:val="18"/>
        </w:rPr>
        <w:t>For the three months ended March 31, 2026 and 2025, tax refunds, net of tax payments, totaled approximately $16 million and $2 million, respectively. Our tax payments vary with changes in taxable income and earnings based on estimates of full year taxable income activity and estimated tax rates.</w:t>
      </w:r>
    </w:p>
    <w:p>
      <w:pPr>
        <w:pStyle w:val="TextBody"/>
        <w:bidi w:val="0"/>
        <w:spacing w:lineRule="auto" w:line="288" w:before="120" w:after="120"/>
        <w:ind w:left="0" w:right="0" w:firstLine="720"/>
        <w:jc w:val="both"/>
        <w:rPr/>
      </w:pPr>
      <w:r>
        <w:rPr>
          <w:rFonts w:ascii="Times New Roman;serif" w:hAnsi="Times New Roman;serif"/>
          <w:b/>
          <w:i/>
          <w:color w:val="000000"/>
          <w:sz w:val="18"/>
        </w:rPr>
        <w:t>Working Capital.</w:t>
      </w:r>
      <w:r>
        <w:rPr>
          <w:color w:val="000000"/>
        </w:rPr>
        <w:t xml:space="preserve"> </w:t>
      </w:r>
      <w:r>
        <w:rPr>
          <w:rFonts w:ascii="Times New Roman;serif" w:hAnsi="Times New Roman;serif"/>
          <w:b w:val="false"/>
          <w:color w:val="000000"/>
          <w:sz w:val="18"/>
        </w:rPr>
        <w:t>We need working capital to support seasonal and other variations in our business, primarily related to the effects of weather conditions on 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March 31, 2026,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$3.9 billion as of March 31, 2026 as compared with $3.5 billion as of December 31, 2025, due primarily to higher levels of revenue, as well as the timing of project billings and collections. See below for discussion of our days sales outstanding, net of contract liabilities, which we refer to as days sales outstanding, or “DSO.”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are generally 30 to 60 days. Our agreements with subcontractors often contain a “pay-if-paid” provision, whereby our payments are contractually due to subcontractors only after we are paid by our customers.</w:t>
      </w:r>
    </w:p>
    <w:p>
      <w:pPr>
        <w:pStyle w:val="TextBody"/>
        <w:bidi w:val="0"/>
        <w:spacing w:lineRule="auto" w:line="288" w:before="120" w:after="120"/>
        <w:ind w:left="0" w:right="0" w:hanging="360"/>
        <w:jc w:val="both"/>
        <w:rPr>
          <w:rFonts w:ascii="Times New Roman;serif" w:hAnsi="Times New Roman;serif"/>
          <w:b/>
          <w:color w:val="000000"/>
          <w:sz w:val="18"/>
        </w:rPr>
      </w:pPr>
      <w:r>
        <w:rPr>
          <w:rFonts w:ascii="Times New Roman;serif" w:hAnsi="Times New Roman;serif"/>
          <w:b/>
          <w:color w:val="000000"/>
          <w:sz w:val="18"/>
        </w:rPr>
        <w:t>Summary of Financial Condition, 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we had approximately $1,090 million in working capital, defined as current assets less current liabilities, as compared with $1,058 million as of December 31, 2025, an increase of approximately $32 million. Cash and cash equivalents totaled approximately $274 million and $396 million as of March 31, 2026 and December 31, 2025, respectively, for a decrease of $122 million. See discussion below for further detail regarding our cash flows and related activity.</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Sources and uses of cash are summarized below (in millions):</w:t>
      </w:r>
    </w:p>
    <w:tbl>
      <w:tblPr>
        <w:tblW w:w="6342" w:type="dxa"/>
        <w:jc w:val="left"/>
        <w:tblInd w:w="0" w:type="dxa"/>
        <w:tblLayout w:type="fixed"/>
        <w:tblCellMar>
          <w:top w:w="28" w:type="dxa"/>
          <w:left w:w="28" w:type="dxa"/>
          <w:bottom w:w="28" w:type="dxa"/>
          <w:right w:w="28" w:type="dxa"/>
        </w:tblCellMar>
      </w:tblPr>
      <w:tblGrid>
        <w:gridCol w:w="1332"/>
        <w:gridCol w:w="1166"/>
        <w:gridCol w:w="1176"/>
        <w:gridCol w:w="243"/>
        <w:gridCol w:w="782"/>
        <w:gridCol w:w="135"/>
        <w:gridCol w:w="135"/>
        <w:gridCol w:w="135"/>
        <w:gridCol w:w="135"/>
        <w:gridCol w:w="243"/>
        <w:gridCol w:w="670"/>
        <w:gridCol w:w="190"/>
      </w:tblGrid>
      <w:tr>
        <w:trPr/>
        <w:tc>
          <w:tcPr>
            <w:tcW w:w="133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Three Months Ended March 31, </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720"/>
        <w:jc w:val="both"/>
        <w:rPr/>
      </w:pPr>
      <w:r>
        <w:rPr>
          <w:rFonts w:ascii="Times New Roman;serif" w:hAnsi="Times New Roman;serif"/>
          <w:b/>
          <w:i/>
          <w:color w:val="000000"/>
          <w:sz w:val="18"/>
        </w:rPr>
        <w:t>Operating Activities.</w:t>
      </w:r>
      <w:r>
        <w:rPr>
          <w:color w:val="000000"/>
        </w:rPr>
        <w:t xml:space="preserve"> </w:t>
      </w:r>
      <w:r>
        <w:rPr>
          <w:rFonts w:ascii="Times New Roman;serif" w:hAnsi="Times New Roman;serif"/>
          <w:b w:val="false"/>
          <w:color w:val="000000"/>
          <w:sz w:val="18"/>
        </w:rPr>
        <w:t xml:space="preserve">Cash flow from operations is primarily influenced by changes in the timing of demand for our services and operating margins, but can also be affected by working capital needs associated with the various types of services we provide. Working capital is affected by changes in total accounts receivable, net,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was $99 million as compared to $78 million for the three months ended March 31, 2026 and 2025, respectively, for an increase in net cash provided by operating activities of approximately $20 million. The increase was due primarily to (i) an increase in net income as compared with the prior period; and (ii) changes in working capital compared with the prior period, including from the positive effect of timing-related changes in accounts payable and accrued expenses, offset, in part, by the unfavorable effect of timing-related changes in accounts receivable, net, primarily driven by higher levels of revenue and an increase in DSO.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72 as of March 31, 2026 as compared with DSO of 65 as of December 31, 2025. Our DSOs can fluctuate from period to period due to timing of billings, billing terms, collections and settlements, timing of project close-outs and retainage collections, changes in project and customer mix and to a lesser extent the effect of working capital initiatives, including certain accounts receivable financing arrangements. The increase in DSO as of March 31, 2026 as compared with December 31, 2025 was due to timing of ordinary course billing and collection activities. Other than certain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pStyle w:val="TextBody"/>
        <w:bidi w:val="0"/>
        <w:spacing w:lineRule="auto" w:line="288" w:before="120" w:after="120"/>
        <w:ind w:left="0" w:right="0" w:firstLine="720"/>
        <w:jc w:val="both"/>
        <w:rPr/>
      </w:pPr>
      <w:r>
        <w:rPr>
          <w:rFonts w:ascii="Times New Roman;serif" w:hAnsi="Times New Roman;serif"/>
          <w:b/>
          <w:i/>
          <w:color w:val="000000"/>
          <w:sz w:val="18"/>
        </w:rPr>
        <w:t>Investing Activities.</w:t>
      </w:r>
      <w:r>
        <w:rPr>
          <w:color w:val="000000"/>
        </w:rPr>
        <w:t xml:space="preserve"> </w:t>
      </w:r>
      <w:r>
        <w:rPr>
          <w:rFonts w:ascii="Times New Roman;serif" w:hAnsi="Times New Roman;serif"/>
          <w:b w:val="false"/>
          <w:color w:val="000000"/>
          <w:sz w:val="18"/>
        </w:rPr>
        <w:t>Net cash used in investing activities was $336 million as compared to $35 million for the three months ended March 31, 2026 and 2025, respectively, for an increase of $301 million. We paid $267 million in cash, net of cash acquired related to acquisition activity during the three months ended March 31, 2026, as compared with $5 million for the same period in 2025, for an increase of $262 million. These acquisitions were funded with cash on hand and borrowings under our senior unsecured credit facility. Capital expenditures totaled $97 million, or $87 million, net of asset disposals, for the three months ended March 31, 2026, as compared with $47 million, or $33 million, net of asset disposals, for the same period in 2025, for an increase in cash used in investing activities of approximately $54 million, primarily to support operational growth and the replacement of older machinery and equipment. Proceeds from other investments of approximately $16 million for the three months ended March 31, 2026 related to cash proceeds from the sale of our 15% equity interest in one of our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ind w:left="0" w:right="0" w:firstLine="720"/>
        <w:jc w:val="both"/>
        <w:rPr/>
      </w:pPr>
      <w:r>
        <w:rPr>
          <w:rFonts w:ascii="Times New Roman;serif" w:hAnsi="Times New Roman;serif"/>
          <w:b/>
          <w:i/>
          <w:color w:val="000000"/>
          <w:sz w:val="18"/>
        </w:rPr>
        <w:t>Financing Activities.</w:t>
      </w:r>
      <w:r>
        <w:rPr>
          <w:color w:val="000000"/>
        </w:rPr>
        <w:t xml:space="preserve"> </w:t>
      </w:r>
      <w:r>
        <w:rPr>
          <w:rFonts w:ascii="Times New Roman;serif" w:hAnsi="Times New Roman;serif"/>
          <w:b w:val="false"/>
          <w:color w:val="000000"/>
          <w:sz w:val="18"/>
        </w:rPr>
        <w:t xml:space="preserve">Net cash provided by financing activities for the three months ended March 31, 2026 was $115 million, as compared to $98 million of net cash used in financing activities for the same period in 2025, for an increase in cash provided by financing activities of approximately $213 million. For the three months ended March 31, 2026, we had $187 million of borrowings, net of repayments, under our credit facility and term loans, as compared with $12 million of repayments, net of borrowings, for the same period in 2025, for an increase in cash provided by financing activities of $198 million. There were no share repurchases for the three months ended March 31, 2026, compared to approximately $27 million of cash settled for shares repurchases for the same period in 2025. These increases in cash provided by financing activities were offset, in part, by an increase of approximately $13 million in payments for tax withholdings on stock-based awards, net of proceeds.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both"/>
        <w:rPr>
          <w:rFonts w:ascii="Times New Roman;serif" w:hAnsi="Times New Roman;serif"/>
          <w:b/>
          <w:i/>
          <w:color w:val="000000"/>
          <w:sz w:val="18"/>
        </w:rPr>
      </w:pPr>
      <w:r>
        <w:rPr>
          <w:rFonts w:ascii="Times New Roman;serif" w:hAnsi="Times New Roman;serif"/>
          <w:b/>
          <w:i/>
          <w:color w:val="000000"/>
          <w:sz w:val="18"/>
        </w:rPr>
        <w:t>Senior Credit Facility</w:t>
      </w:r>
    </w:p>
    <w:p>
      <w:pPr>
        <w:pStyle w:val="TextBody"/>
        <w:bidi w:val="0"/>
        <w:spacing w:lineRule="auto" w:line="288" w:before="120" w:after="120"/>
        <w:ind w:left="0" w:right="0" w:firstLine="720"/>
        <w:jc w:val="both"/>
        <w:rPr/>
      </w:pPr>
      <w:r>
        <w:rPr>
          <w:rFonts w:ascii="Times New Roman;serif" w:hAnsi="Times New Roman;serif"/>
          <w:b w:val="false"/>
          <w:color w:val="212529"/>
          <w:sz w:val="18"/>
          <w:shd w:fill="FFFFFF" w:val="clear"/>
        </w:rPr>
        <w:t>We have a</w:t>
      </w:r>
      <w:r>
        <w:rPr>
          <w:color w:val="000000"/>
        </w:rPr>
        <w:t xml:space="preserve"> </w:t>
      </w:r>
      <w:r>
        <w:rPr>
          <w:rFonts w:ascii="Times New Roman;serif" w:hAnsi="Times New Roman;serif"/>
          <w:b w:val="false"/>
          <w:color w:val="000000"/>
          <w:sz w:val="18"/>
        </w:rPr>
        <w:t xml:space="preserve">$1.9 billion senior unsecured credit facility (the “Credit Facility”), which is composed of revolving commitments, and matures on June 26, 2030. As of March 31, 2026, outstanding revolving loans totaled approximately </w:t>
      </w:r>
      <w:r>
        <w:rPr>
          <w:rFonts w:ascii="Times New Roman;serif" w:hAnsi="Times New Roman;serif"/>
          <w:b w:val="false"/>
          <w:color w:val="000000"/>
          <w:sz w:val="18"/>
          <w:shd w:fill="FFFFFF" w:val="clear"/>
        </w:rPr>
        <w:t>$304 million</w:t>
      </w:r>
      <w:r>
        <w:rPr>
          <w:color w:val="000000"/>
        </w:rPr>
        <w:t xml:space="preserve"> </w:t>
      </w:r>
      <w:r>
        <w:rPr>
          <w:rFonts w:ascii="Times New Roman;serif" w:hAnsi="Times New Roman;serif"/>
          <w:b w:val="false"/>
          <w:color w:val="000000"/>
          <w:sz w:val="18"/>
        </w:rPr>
        <w:t xml:space="preserve">and availability for revolving loans totaled </w:t>
      </w:r>
      <w:r>
        <w:rPr>
          <w:rFonts w:ascii="Times New Roman;serif" w:hAnsi="Times New Roman;serif"/>
          <w:b w:val="false"/>
          <w:color w:val="000000"/>
          <w:sz w:val="18"/>
          <w:shd w:fill="FFFFFF" w:val="clear"/>
        </w:rPr>
        <w:t>$1,537 million</w:t>
      </w:r>
      <w:r>
        <w:rPr>
          <w:rFonts w:ascii="Times New Roman;serif" w:hAnsi="Times New Roman;serif"/>
          <w:b w:val="false"/>
          <w:color w:val="000000"/>
          <w:sz w:val="18"/>
        </w:rPr>
        <w:t xml:space="preserve">. </w:t>
      </w:r>
      <w:r>
        <w:rPr>
          <w:rFonts w:ascii="Times New Roman;serif" w:hAnsi="Times New Roman;serif"/>
          <w:b w:val="false"/>
          <w:color w:val="000000"/>
          <w:sz w:val="18"/>
          <w:shd w:fill="FFFFFF" w:val="clear"/>
        </w:rPr>
        <w:t xml:space="preserve">Borrowings under our </w:t>
      </w:r>
      <w:r>
        <w:rPr>
          <w:rFonts w:ascii="Times New Roman;serif" w:hAnsi="Times New Roman;serif"/>
          <w:b w:val="false"/>
          <w:color w:val="000000"/>
          <w:sz w:val="18"/>
        </w:rPr>
        <w:t>Credit Facility</w:t>
      </w:r>
      <w:r>
        <w:rPr>
          <w:color w:val="000000"/>
          <w:shd w:fill="FFFFFF" w:val="clear"/>
        </w:rPr>
        <w:t xml:space="preserve"> </w:t>
      </w:r>
      <w:r>
        <w:rPr>
          <w:rFonts w:ascii="Times New Roman;serif" w:hAnsi="Times New Roman;serif"/>
          <w:b w:val="false"/>
          <w:color w:val="000000"/>
          <w:sz w:val="18"/>
          <w:shd w:fill="FFFFFF" w:val="clear"/>
        </w:rPr>
        <w:t>are used for working capital requirements, capital expenditures and other corporate purposes, including acquisitions, equity investments or other strategic arrangements, and/or the repurchase or prepayment of indebtedness, among</w:t>
      </w:r>
      <w:r>
        <w:rPr>
          <w:color w:val="000000"/>
        </w:rPr>
        <w:t xml:space="preserve"> </w:t>
      </w:r>
      <w:r>
        <w:rPr>
          <w:rFonts w:ascii="Times New Roman;serif" w:hAnsi="Times New Roman;serif"/>
          <w:b w:val="false"/>
          <w:color w:val="000000"/>
          <w:sz w:val="18"/>
        </w:rPr>
        <w:t>other corporate borrowing requirements, including potential share repurchases</w:t>
      </w:r>
      <w:r>
        <w:rPr>
          <w:rFonts w:ascii="Times New Roman;serif" w:hAnsi="Times New Roman;serif"/>
          <w:b w:val="false"/>
          <w:color w:val="000000"/>
          <w:sz w:val="18"/>
          <w:shd w:fill="FFFFFF" w:val="clear"/>
        </w:rPr>
        <w:t>.</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8 – Debt in the notes to the audited consolidated financial statements included in our 2025 Form 10-K. </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4.500% Senior Notes. </w:t>
      </w:r>
      <w:r>
        <w:rPr>
          <w:rFonts w:ascii="Times New Roman;serif" w:hAnsi="Times New Roman;serif"/>
          <w:b w:val="false"/>
          <w:color w:val="000000"/>
          <w:sz w:val="18"/>
        </w:rPr>
        <w:t xml:space="preserve">We have $600 million aggregate principal amount of 4.500% senior unsecured notes due August 15, 2028 (the “4.500% Senior Notes”).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5.900% Senior Notes. </w:t>
      </w:r>
      <w:r>
        <w:rPr>
          <w:rFonts w:ascii="Times New Roman;serif" w:hAnsi="Times New Roman;serif"/>
          <w:b w:val="false"/>
          <w:color w:val="000000"/>
          <w:sz w:val="18"/>
        </w:rPr>
        <w:t xml:space="preserve">We have $550 million aggregate principal amount of 5.900% senior unsecured notes due June 15, 2029 (the “5.900% Senior Notes”). </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6.625% Senior Notes. </w:t>
      </w:r>
      <w:r>
        <w:rPr>
          <w:rFonts w:ascii="Times New Roman;serif" w:hAnsi="Times New Roman;serif"/>
          <w:b w:val="false"/>
          <w:color w:val="000000"/>
          <w:sz w:val="18"/>
        </w:rPr>
        <w:t>We have $75 million aggregate principal amount of 6.625% senior unsecured notes due August 15, 2029 (the “6.625% Senior Notes”).</w:t>
      </w:r>
      <w:r>
        <w:rPr>
          <w:color w:val="EE2724"/>
        </w:rPr>
        <w:t xml:space="preserve"> </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senior notes described above are subject to certain provisions and covenants, as more fully described in Note 8 – Debt in the notes to the audited consolidated financial statements included in our 2025 Form 10-K.</w:t>
      </w:r>
    </w:p>
    <w:p>
      <w:pPr>
        <w:pStyle w:val="TextBody"/>
        <w:bidi w:val="0"/>
        <w:spacing w:lineRule="auto" w:line="288" w:before="120" w:after="120"/>
        <w:ind w:left="0" w:right="0" w:hanging="360"/>
        <w:jc w:val="both"/>
        <w:rPr>
          <w:rFonts w:ascii="Times New Roman;serif" w:hAnsi="Times New Roman;serif"/>
          <w:b/>
          <w:i/>
          <w:color w:val="000000"/>
          <w:sz w:val="18"/>
        </w:rPr>
      </w:pPr>
      <w:r>
        <w:rPr>
          <w:rFonts w:ascii="Times New Roman;serif" w:hAnsi="Times New Roman;serif"/>
          <w:b/>
          <w:i/>
          <w:color w:val="000000"/>
          <w:sz w:val="18"/>
        </w:rPr>
        <w:t>2025 Term Loan Facility</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As of March 31, 2026, we had $600 million outstanding under a senior unsecured term loan (the “2025 Term Loan Facility”) which matures on June 26, 2028. The 2025 Term Loan Facility is subject to certain provisions and covenants, as more fully described in Note 8 – Debt in the notes to the audited consolidated financial statements included in our 2025 Form 10-K. </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Debt Covenants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were in compliance with the provisions and covenants contained in our outstanding debt instruments as of March 31, 2026, and we expect to be in compliance with these provisions and covenants for the next twelve months.</w:t>
      </w:r>
    </w:p>
    <w:p>
      <w:pPr>
        <w:pStyle w:val="TextBody"/>
        <w:bidi w:val="0"/>
        <w:spacing w:lineRule="auto" w:line="288" w:before="120" w:after="120"/>
        <w:ind w:left="0" w:right="0" w:firstLine="360"/>
        <w:jc w:val="both"/>
        <w:rPr>
          <w:rFonts w:ascii="Times New Roman;serif" w:hAnsi="Times New Roman;serif"/>
          <w:b/>
          <w:i/>
          <w:color w:val="000000"/>
          <w:sz w:val="18"/>
        </w:rPr>
      </w:pPr>
      <w:r>
        <w:rPr>
          <w:rFonts w:ascii="Times New Roman;serif" w:hAnsi="Times New Roman;serif"/>
          <w:b/>
          <w:i/>
          <w:color w:val="000000"/>
          <w:sz w:val="18"/>
        </w:rPr>
        <w:t>Additional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For detailed discussion and additional information pertaining to our debt instruments, see Note 8 – Debt in the notes to the audited consolidated financial statements included in our 2025 Form 10-K. Also, see Note 8 – Debt in the notes to the consolidated financial statements in this Form 10-Q, which is incorporated by reference, for current period balances, rates of interest and related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13 – Commitments and Contingencies and Note 14 – Related Party Transactions in the notes to the consolidated financial statements in this Form 10-Q, which are incorporated by reference, and see Management’s Discussion and Analysis of Financial Condition and Results of Operations contained in our 2025 Form 10-K for additional information related to our off-balance sheet arrangements.</w:t>
      </w:r>
    </w:p>
    <w:p>
      <w:pPr>
        <w:pStyle w:val="TextBody"/>
        <w:bidi w:val="0"/>
        <w:spacing w:lineRule="auto" w:line="288" w:before="120" w:after="120"/>
        <w:jc w:val="both"/>
        <w:rPr>
          <w:rFonts w:ascii="Times New Roman;serif" w:hAnsi="Times New Roman;serif"/>
          <w:b/>
          <w:color w:val="000000"/>
          <w:sz w:val="18"/>
        </w:rPr>
      </w:pPr>
      <w:bookmarkStart w:id="2" w:name="i5cd86f1e24af46f68df197131fa9d557_2903"/>
      <w:bookmarkEnd w:id="2"/>
      <w:r>
        <w:rPr>
          <w:rFonts w:ascii="Times New Roman;serif" w:hAnsi="Times New Roman;serif"/>
          <w:b/>
          <w:color w:val="000000"/>
          <w:sz w:val="18"/>
        </w:rPr>
        <w:t>Impact of Inflation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primary inflationary factors affecting our operations are labor, fuel and material costs. In times of low unemployment, our labor costs may increase due to shortages in the supply of skilled labor and increases in compensation rates generally. Immigration actions may also affect the availability of labor. Although most project materials are provided by our customers, increases in the cost of materials could negatively affect the economic viability of their projects, and accordingly, demand for our services. Material and commodity prices are subject to volatility due to events outside of our control, such as tariff and trade actions and geopolitical events, which have contributed to recent market fluctuations. Inflation rates in the United States increased significantly over the past several years and, while recent inflationary pressure has somewhat abated, the high-cost environment has remained dynamic and we expect it to continue for the remainder of 2026 due, in part, to trade actions and geopolitical events described above under “General Economic, Market and Regulatory Conditions.” Elevated levels of labor, fuel and material costs have in the past and could in the future negatively affect our project margins to the extent that we are unable to pass such cost increases along to our customers.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addition, there is uncertainty of what effect, if any, trade tariffs and recent geopolitical events will have on inflation in future periods. Such market and economic volatility and/or uncertainty can also affect our customers’ investment decisions and subject us to project cancellations, deferrals or unexpected changes in the timing, type and scope of project work.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While inflationary factors have not had a material impact on our business operations, operating results and/or financial condition, we closely monitor such factors and any potential effects they may have on such items. While the impact of these factors cannot be fully eliminated, we take proactive steps to mitigate their effects. For additional information regarding the effects of inflation on our business, see Management’s Discussion and Analysis of Financial Condition and Results of Operations contained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Interest Rate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interest expense is affected by the prevailing interest rate environment. While the cost of our variable-rate debt fluctuates with changes in market interest rates, interest on our fixed rate debt is unaffected by such changes. We manage interest rate risk by maintaining a mix of fixed and variable rate debt obligations. As of March 31, 2026, our variable interest rate debt was primarily related to our Credit Facility and 2025 Term Loan Facility. As of March 31, 2026, we had approximately $304 million of outstanding revolving loans under our Credit Facility, with a weighted average interest rate of 4.73%, and $600 million outstanding under our 2025 Term Loan Facility, with a weighted average interest rate of 4.79%. An additional 100 basis point increase in the applicable interest rates under our Credit Facility and 2025 Term Loan Facility would have increased our interest expense by approximately $3 million for the three months ended March 31, 2026.</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March 31, 2026, our fixed interest rate debt primarily included $600 million aggregate principal amount of 4.500% Senior Notes, $550 million aggregate principal amount of 5.900% Senior Notes, $75 million aggregate principal amount of 6.625% Senior Notes and $363 million of finance lease obligations, which accrued interest at a weighted average interest rate of approximately 4.94%. None of this debt subjects us to financial statement risk associated with changes in interest rates, but we may be subject to changes in interest rates if and when we refinance this debt at maturity or otherwise.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Foreign Currency Risk</w:t>
      </w:r>
    </w:p>
    <w:p>
      <w:pPr>
        <w:pStyle w:val="TextBody"/>
        <w:bidi w:val="0"/>
        <w:spacing w:lineRule="auto" w:line="288" w:before="120" w:after="120"/>
        <w:ind w:left="0" w:right="0" w:firstLine="720"/>
        <w:jc w:val="both"/>
        <w:rPr/>
      </w:pPr>
      <w:r>
        <w:rPr>
          <w:rFonts w:ascii="Times New Roman;serif" w:hAnsi="Times New Roman;serif"/>
          <w:b w:val="false"/>
          <w:color w:val="000000"/>
          <w:sz w:val="18"/>
        </w:rPr>
        <w:t>Certain of our consolidated revenue and operating expenses are in foreign currencies. Our foreign operations are primarily in Canada. Revenue generated from foreign opera</w:t>
      </w:r>
      <w:r>
        <w:rPr>
          <w:rFonts w:ascii="Times New Roman;serif" w:hAnsi="Times New Roman;serif"/>
          <w:b w:val="false"/>
          <w:color w:val="000000"/>
          <w:sz w:val="18"/>
          <w:shd w:fill="FFFFFF" w:val="clear"/>
        </w:rPr>
        <w:t>tions r</w:t>
      </w:r>
      <w:r>
        <w:rPr>
          <w:rFonts w:ascii="Times New Roman;serif" w:hAnsi="Times New Roman;serif"/>
          <w:b w:val="false"/>
          <w:color w:val="000000"/>
          <w:sz w:val="18"/>
        </w:rPr>
        <w:t>epresented app</w:t>
      </w:r>
      <w:r>
        <w:rPr>
          <w:rFonts w:ascii="Times New Roman;serif" w:hAnsi="Times New Roman;serif"/>
          <w:b w:val="false"/>
          <w:color w:val="000000"/>
          <w:sz w:val="18"/>
          <w:shd w:fill="FFFFFF" w:val="clear"/>
        </w:rPr>
        <w:t>ro</w:t>
      </w:r>
      <w:r>
        <w:rPr>
          <w:rFonts w:ascii="Times New Roman;serif" w:hAnsi="Times New Roman;serif"/>
          <w:b w:val="false"/>
          <w:color w:val="000000"/>
          <w:sz w:val="18"/>
        </w:rPr>
        <w:t>ximately 1% of our total revenue for the three months ended March 31, 2026.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three months ended March 31, 2026. Translation gains or losses, which are recorded in other comprehensive income or loss, result from translation of the assets and liabilities of our foreign subsidiaries into U.S. dollars. For the three months ended March 31, 2026, foreign currency translation losses, net, totaled approximately $1 million and related primarily to our activities in Canada and Mexico.</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March 31, 2026. We may enter into foreign currency derivative contracts in the future to manage such exposure.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Other Market Risk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lineRule="auto" w:line="288" w:before="120" w:after="120"/>
        <w:ind w:left="0" w:right="0" w:firstLine="720"/>
        <w:jc w:val="both"/>
        <w:rPr/>
      </w:pPr>
      <w:r>
        <w:rPr>
          <w:rFonts w:ascii="Times New Roman;serif" w:hAnsi="Times New Roman;serif"/>
          <w:b/>
          <w:i/>
          <w:color w:val="000000"/>
          <w:sz w:val="18"/>
        </w:rPr>
        <w:t xml:space="preserve">Evaluation of Disclosure Controls and Procedures. </w:t>
      </w:r>
      <w:r>
        <w:rPr>
          <w:rFonts w:ascii="Times New Roman;serif" w:hAnsi="Times New Roman;serif"/>
          <w:b w:val="false"/>
          <w:color w:val="000000"/>
          <w:sz w:val="18"/>
        </w:rPr>
        <w:t>As of the end of the period covered by this Quarterly Report on Form 10-Q, our management, with the 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Based on management’s evaluation, our Chief Executive Officer and Chief Financial Officer concluded that our disclosure controls and procedures were effective at the reasonable assurance level as of March 31, 2026.</w:t>
      </w:r>
    </w:p>
    <w:p>
      <w:pPr>
        <w:pStyle w:val="TextBody"/>
        <w:bidi w:val="0"/>
        <w:spacing w:lineRule="auto" w:line="288" w:before="120" w:after="120"/>
        <w:ind w:left="0" w:right="0" w:firstLine="720"/>
        <w:jc w:val="both"/>
        <w:rPr/>
      </w:pPr>
      <w:r>
        <w:rPr>
          <w:rFonts w:ascii="Times New Roman;serif" w:hAnsi="Times New Roman;serif"/>
          <w:b/>
          <w:i/>
          <w:color w:val="000000"/>
          <w:sz w:val="18"/>
        </w:rPr>
        <w:t>Changes in Internal Control Over Financial Reporting</w:t>
      </w:r>
      <w:r>
        <w:rPr>
          <w:rFonts w:ascii="Times New Roman;serif" w:hAnsi="Times New Roman;serif"/>
          <w:b/>
          <w:color w:val="000000"/>
          <w:sz w:val="18"/>
        </w:rPr>
        <w:t xml:space="preserve">. </w:t>
      </w:r>
      <w:r>
        <w:rPr>
          <w:rFonts w:ascii="Times New Roman;serif" w:hAnsi="Times New Roman;serif"/>
          <w:b w:val="false"/>
          <w:color w:val="000000"/>
          <w:sz w:val="18"/>
        </w:rPr>
        <w:t>There have been no changes in the Company’s internal control over financial reporting during the quarter ended March 31,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440"/>
        <w:jc w:val="both"/>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Refer to Note 13 – Commitments and Contingencies in the notes to our consolidated financial statements included in this Quarterly Report on Form 10-Q, which is incorporated by reference in this </w:t>
      </w:r>
      <w:hyperlink w:anchor="i45c0f10934cb4744bf46db70c48b3a8a_13">
        <w:r>
          <w:rPr>
            <w:rStyle w:val="InternetLink"/>
            <w:rFonts w:ascii="Times New Roman;serif" w:hAnsi="Times New Roman;serif"/>
            <w:b w:val="false"/>
            <w:color w:val="0000FF"/>
            <w:sz w:val="18"/>
            <w:u w:val="single"/>
          </w:rPr>
          <w:t>Item 1</w:t>
        </w:r>
      </w:hyperlink>
      <w:r>
        <w:rPr>
          <w:rFonts w:ascii="Times New Roman;serif" w:hAnsi="Times New Roman;serif"/>
          <w:b w:val="false"/>
          <w:color w:val="000000"/>
          <w:sz w:val="18"/>
        </w:rPr>
        <w:t>, for a discussion of any recent material developments related to our legal proceedings since the filing of our 2025 Form 10-K.</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business is subject to a variety of risks and uncertainties. There have been no material changes to either the cautionary statement regarding forward-looking statements or to any of the risk factors disclosed in our 2025 Form 10-K, as updated by our Quarterly Reports on Form 10-Q and other filings we make with the SEC. Such risk factors do not identify all risks that we face because our business operations could also be affected by additional factors that are not presently known to us or that we currently consider to be immaterial to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120" w:after="120"/>
        <w:ind w:left="0" w:right="0" w:firstLine="450"/>
        <w:jc w:val="both"/>
        <w:rPr>
          <w:rFonts w:ascii="Times New Roman;serif" w:hAnsi="Times New Roman;serif"/>
          <w:b/>
          <w:i/>
          <w:color w:val="000000"/>
          <w:sz w:val="18"/>
        </w:rPr>
      </w:pPr>
      <w:r>
        <w:rPr>
          <w:rFonts w:ascii="Times New Roman;serif" w:hAnsi="Times New Roman;serif"/>
          <w:b/>
          <w:i/>
          <w:color w:val="000000"/>
          <w:sz w:val="18"/>
        </w:rPr>
        <w:t>Issuer Purchases of Equity Securities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information about repurchases of our common stock during the three months ended March 31, 2026:</w:t>
      </w:r>
    </w:p>
    <w:tbl>
      <w:tblPr>
        <w:tblW w:w="10205" w:type="dxa"/>
        <w:jc w:val="left"/>
        <w:tblInd w:w="0" w:type="dxa"/>
        <w:tblLayout w:type="fixed"/>
        <w:tblCellMar>
          <w:top w:w="28" w:type="dxa"/>
          <w:left w:w="28" w:type="dxa"/>
          <w:bottom w:w="28" w:type="dxa"/>
          <w:right w:w="28" w:type="dxa"/>
        </w:tblCellMar>
      </w:tblPr>
      <w:tblGrid>
        <w:gridCol w:w="468"/>
        <w:gridCol w:w="351"/>
        <w:gridCol w:w="353"/>
        <w:gridCol w:w="109"/>
        <w:gridCol w:w="109"/>
        <w:gridCol w:w="109"/>
        <w:gridCol w:w="505"/>
        <w:gridCol w:w="478"/>
        <w:gridCol w:w="479"/>
        <w:gridCol w:w="109"/>
        <w:gridCol w:w="109"/>
        <w:gridCol w:w="109"/>
        <w:gridCol w:w="266"/>
        <w:gridCol w:w="879"/>
        <w:gridCol w:w="148"/>
        <w:gridCol w:w="109"/>
        <w:gridCol w:w="109"/>
        <w:gridCol w:w="109"/>
        <w:gridCol w:w="740"/>
        <w:gridCol w:w="740"/>
        <w:gridCol w:w="742"/>
        <w:gridCol w:w="109"/>
        <w:gridCol w:w="109"/>
        <w:gridCol w:w="109"/>
        <w:gridCol w:w="383"/>
        <w:gridCol w:w="2056"/>
        <w:gridCol w:w="309"/>
      </w:tblGrid>
      <w:tr>
        <w:trPr/>
        <w:tc>
          <w:tcPr>
            <w:tcW w:w="4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Program </w:t>
            </w:r>
            <w:r>
              <w:rPr>
                <w:rFonts w:ascii="Times New Roman;serif" w:hAnsi="Times New Roman;serif"/>
                <w:b/>
                <w:color w:val="000000"/>
                <w:sz w:val="12"/>
              </w:rPr>
              <w:t>(b)</w:t>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January 1 through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1 through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 through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12,559 </w:t>
            </w:r>
          </w:p>
        </w:tc>
        <w:tc>
          <w:tcPr>
            <w:tcW w:w="4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(a)Includes 4,344, 4,525 and 3,563 shares reacquired by the Company on the open market pursuant to the Amended ESPPs in January, February and March of 2026, respectively, and 127 shares withheld for income tax purposes in connection with shares issued under compensation and benefit programs in February of 2026.</w:t>
      </w:r>
    </w:p>
    <w:p>
      <w:pPr>
        <w:pStyle w:val="TextBody"/>
        <w:bidi w:val="0"/>
        <w:spacing w:lineRule="auto" w:line="288" w:before="40" w:after="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of March 31, 2026, the full amount remains available for share repurchases under our May 2025 $250 million share repurchase program, which was publicly announced on May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120" w:after="120"/>
        <w:ind w:left="0" w:right="0" w:firstLine="720"/>
        <w:jc w:val="both"/>
        <w:rPr/>
      </w:pPr>
      <w:r>
        <w:rPr>
          <w:rFonts w:ascii="Times New Roman;serif" w:hAnsi="Times New Roman;serif"/>
          <w:b w:val="false"/>
          <w:color w:val="000000"/>
          <w:sz w:val="18"/>
        </w:rPr>
        <w:t xml:space="preserve">The information concerning mine safety violations or other regulatory matters required by Section 1503(a) of the Dodd-Frank Wall Street Reform and Consumer Protection Act and Item 104 of Regulation S-K is included in </w:t>
      </w:r>
      <w:hyperlink w:anchor="mtz3312610-qex951.htm">
        <w:r>
          <w:rPr>
            <w:rStyle w:val="InternetLink"/>
            <w:rFonts w:ascii="Times New Roman;serif" w:hAnsi="Times New Roman;serif"/>
            <w:b w:val="false"/>
            <w:color w:val="0000FF"/>
            <w:sz w:val="18"/>
            <w:u w:val="single"/>
          </w:rPr>
          <w:t>Exhibit 95.1</w:t>
        </w:r>
      </w:hyperlink>
      <w:r>
        <w:rPr>
          <w:color w:val="000000"/>
        </w:rPr>
        <w:t xml:space="preserve"> </w:t>
      </w:r>
      <w:r>
        <w:rPr>
          <w:rFonts w:ascii="Times New Roman;serif" w:hAnsi="Times New Roman;serif"/>
          <w:b w:val="false"/>
          <w:color w:val="000000"/>
          <w:sz w:val="18"/>
        </w:rPr>
        <w:t>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2026, except as provided below,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tbl>
      <w:tblPr>
        <w:tblW w:w="10205" w:type="dxa"/>
        <w:jc w:val="left"/>
        <w:tblInd w:w="0" w:type="dxa"/>
        <w:tblLayout w:type="fixed"/>
        <w:tblCellMar>
          <w:top w:w="28" w:type="dxa"/>
          <w:left w:w="28" w:type="dxa"/>
          <w:bottom w:w="28" w:type="dxa"/>
          <w:right w:w="28" w:type="dxa"/>
        </w:tblCellMar>
      </w:tblPr>
      <w:tblGrid>
        <w:gridCol w:w="284"/>
        <w:gridCol w:w="248"/>
        <w:gridCol w:w="253"/>
        <w:gridCol w:w="109"/>
        <w:gridCol w:w="109"/>
        <w:gridCol w:w="109"/>
        <w:gridCol w:w="396"/>
        <w:gridCol w:w="396"/>
        <w:gridCol w:w="402"/>
        <w:gridCol w:w="109"/>
        <w:gridCol w:w="109"/>
        <w:gridCol w:w="109"/>
        <w:gridCol w:w="258"/>
        <w:gridCol w:w="240"/>
        <w:gridCol w:w="241"/>
        <w:gridCol w:w="109"/>
        <w:gridCol w:w="109"/>
        <w:gridCol w:w="109"/>
        <w:gridCol w:w="239"/>
        <w:gridCol w:w="239"/>
        <w:gridCol w:w="243"/>
        <w:gridCol w:w="109"/>
        <w:gridCol w:w="109"/>
        <w:gridCol w:w="109"/>
        <w:gridCol w:w="282"/>
        <w:gridCol w:w="282"/>
        <w:gridCol w:w="283"/>
        <w:gridCol w:w="109"/>
        <w:gridCol w:w="109"/>
        <w:gridCol w:w="109"/>
        <w:gridCol w:w="201"/>
        <w:gridCol w:w="201"/>
        <w:gridCol w:w="202"/>
        <w:gridCol w:w="126"/>
        <w:gridCol w:w="126"/>
        <w:gridCol w:w="126"/>
        <w:gridCol w:w="213"/>
        <w:gridCol w:w="213"/>
        <w:gridCol w:w="214"/>
        <w:gridCol w:w="109"/>
        <w:gridCol w:w="109"/>
        <w:gridCol w:w="109"/>
        <w:gridCol w:w="678"/>
        <w:gridCol w:w="678"/>
        <w:gridCol w:w="979"/>
      </w:tblGrid>
      <w:tr>
        <w:trPr/>
        <w:tc>
          <w:tcPr>
            <w:tcW w:w="2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Type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Date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Aggregate Number of Securities Covered Under the Plan</w:t>
            </w:r>
          </w:p>
        </w:tc>
      </w:tr>
      <w:tr>
        <w:trPr/>
        <w:tc>
          <w:tcPr>
            <w:tcW w:w="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Apple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Rule 10b5-1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3/13/2026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6/12/2026</w:t>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12/31/2027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Sale of up to 30,079 shares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lineRule="auto" w:line="288" w:before="12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Exhibit Index below contains a list of exhibits filed or furnished with this Form 10-Q.</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53"/>
        <w:gridCol w:w="2653"/>
        <w:gridCol w:w="380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Description</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610-qex311.htm">
              <w:r>
                <w:rPr>
                  <w:rStyle w:val="InternetLink"/>
                  <w:rFonts w:ascii="Times New Roman;serif" w:hAnsi="Times New Roman;serif"/>
                  <w:b w:val="false"/>
                  <w:color w:val="0000FF"/>
                  <w:sz w:val="18"/>
                  <w:u w:val="single"/>
                </w:rPr>
                <w:t>Certifications required by Section 302(a)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610-qex312.htm">
              <w:r>
                <w:rPr>
                  <w:rStyle w:val="InternetLink"/>
                  <w:rFonts w:ascii="Times New Roman;serif" w:hAnsi="Times New Roman;serif"/>
                  <w:b w:val="false"/>
                  <w:color w:val="0000FF"/>
                  <w:sz w:val="18"/>
                  <w:u w:val="single"/>
                </w:rPr>
                <w:t>Certifications required by Section 302(a)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610-qex321.htm">
              <w:r>
                <w:rPr>
                  <w:rStyle w:val="InternetLink"/>
                  <w:rFonts w:ascii="Times New Roman;serif" w:hAnsi="Times New Roman;serif"/>
                  <w:b w:val="false"/>
                  <w:color w:val="0000FF"/>
                  <w:sz w:val="18"/>
                  <w:u w:val="single"/>
                </w:rPr>
                <w:t>Certifications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610-qex322.htm">
              <w:r>
                <w:rPr>
                  <w:rStyle w:val="InternetLink"/>
                  <w:rFonts w:ascii="Times New Roman;serif" w:hAnsi="Times New Roman;serif"/>
                  <w:b w:val="false"/>
                  <w:color w:val="0000FF"/>
                  <w:sz w:val="18"/>
                  <w:u w:val="single"/>
                </w:rPr>
                <w:t>Certifications required by Section 906 of the Sarbanes-Oxley Act of 2002.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tz3312610-qex951.htm">
              <w:r>
                <w:rPr>
                  <w:rStyle w:val="InternetLink"/>
                  <w:rFonts w:ascii="Times New Roman;serif" w:hAnsi="Times New Roman;serif"/>
                  <w:b w:val="false"/>
                  <w:color w:val="0000FF"/>
                  <w:sz w:val="18"/>
                  <w:u w:val="single"/>
                </w:rPr>
                <w:t>Mine Safety Disclosures.</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Inline XBRL Instance Document - The instance document does not appear in the interactive data file because its XBRL tags are embedded within the Inline XBRL document.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cover page of MasTec, Inc.’s Quarterly Report on Form 10-Q for the quarter ended March 31, 2026, formatted in Inline XBRL (included with the Exhibit 101 attachments).</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w:t>
      </w:r>
    </w:p>
    <w:p>
      <w:pPr>
        <w:pStyle w:val="TextBody"/>
        <w:bidi w:val="0"/>
        <w:spacing w:lineRule="auto" w:line="288" w:before="20" w:after="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20" w:after="20"/>
        <w:ind w:left="0" w:right="0" w:hanging="450"/>
        <w:jc w:val="both"/>
        <w:rPr>
          <w:rFonts w:ascii="Times New Roman;serif" w:hAnsi="Times New Roman;serif"/>
          <w:b w:val="false"/>
          <w:color w:val="000000"/>
          <w:sz w:val="16"/>
        </w:rPr>
      </w:pPr>
      <w:r>
        <w:rPr>
          <w:rFonts w:ascii="Times New Roman;serif" w:hAnsi="Times New Roman;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ind w:left="0" w:right="0" w:hanging="36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24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tbl>
      <w:tblPr>
        <w:tblW w:w="3914" w:type="dxa"/>
        <w:jc w:val="left"/>
        <w:tblInd w:w="0" w:type="dxa"/>
        <w:tblLayout w:type="fixed"/>
        <w:tblCellMar>
          <w:top w:w="28" w:type="dxa"/>
          <w:left w:w="28" w:type="dxa"/>
          <w:bottom w:w="28" w:type="dxa"/>
          <w:right w:w="28" w:type="dxa"/>
        </w:tblCellMar>
      </w:tblPr>
      <w:tblGrid>
        <w:gridCol w:w="574"/>
        <w:gridCol w:w="506"/>
        <w:gridCol w:w="510"/>
        <w:gridCol w:w="679"/>
        <w:gridCol w:w="679"/>
        <w:gridCol w:w="966"/>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MASTEC, INC.</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  T. MICHAEL LOVE</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 Michael Love</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REQUIRED BY SECTION 302(a)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 José R. Mas, certify that: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tbl>
      <w:tblPr>
        <w:tblW w:w="3779" w:type="dxa"/>
        <w:jc w:val="left"/>
        <w:tblInd w:w="0" w:type="dxa"/>
        <w:tblLayout w:type="fixed"/>
        <w:tblCellMar>
          <w:top w:w="28" w:type="dxa"/>
          <w:left w:w="28" w:type="dxa"/>
          <w:bottom w:w="28" w:type="dxa"/>
          <w:right w:w="28" w:type="dxa"/>
        </w:tblCellMar>
      </w:tblPr>
      <w:tblGrid>
        <w:gridCol w:w="574"/>
        <w:gridCol w:w="506"/>
        <w:gridCol w:w="510"/>
        <w:gridCol w:w="640"/>
        <w:gridCol w:w="640"/>
        <w:gridCol w:w="909"/>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/s/  JOSÉ R. MAS</w:t>
            </w: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José R. Mas</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CERTIFICATIONS REQUIRED BY SECTION 302(a)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 Paul DiMarco, certify that: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have reviewed this quarterly report on Form 10-Q of MasTec,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tbl>
      <w:tblPr>
        <w:tblW w:w="5489" w:type="dxa"/>
        <w:jc w:val="left"/>
        <w:tblInd w:w="0" w:type="dxa"/>
        <w:tblLayout w:type="fixed"/>
        <w:tblCellMar>
          <w:top w:w="28" w:type="dxa"/>
          <w:left w:w="28" w:type="dxa"/>
          <w:bottom w:w="28" w:type="dxa"/>
          <w:right w:w="28" w:type="dxa"/>
        </w:tblCellMar>
      </w:tblPr>
      <w:tblGrid>
        <w:gridCol w:w="574"/>
        <w:gridCol w:w="506"/>
        <w:gridCol w:w="510"/>
        <w:gridCol w:w="1140"/>
        <w:gridCol w:w="1140"/>
        <w:gridCol w:w="1619"/>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  PAUL DIMARCO</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Paul DiMarco</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MasTec, Inc. (the “Company”) on Form 10-Q for the period ended March 31, 2026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ind w:left="0" w:right="0" w:hanging="54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3779" w:type="dxa"/>
        <w:jc w:val="left"/>
        <w:tblInd w:w="0" w:type="dxa"/>
        <w:tblLayout w:type="fixed"/>
        <w:tblCellMar>
          <w:top w:w="28" w:type="dxa"/>
          <w:left w:w="28" w:type="dxa"/>
          <w:bottom w:w="28" w:type="dxa"/>
          <w:right w:w="28" w:type="dxa"/>
        </w:tblCellMar>
      </w:tblPr>
      <w:tblGrid>
        <w:gridCol w:w="574"/>
        <w:gridCol w:w="506"/>
        <w:gridCol w:w="510"/>
        <w:gridCol w:w="640"/>
        <w:gridCol w:w="640"/>
        <w:gridCol w:w="909"/>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/s/  JOSÉ R. MAS</w:t>
            </w:r>
            <w:r>
              <w:rPr>
                <w:color w:val="000000"/>
              </w:rPr>
              <w:t>  </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José R. Mas</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spacing w:before="0" w:after="0"/>
        <w:ind w:left="0" w:right="0" w:hanging="7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certification set forth above is being furnished as an exhibit solely pursuant to Section 906 of the Sarbanes-Oxley Act of 2002 and is not being filed as part of the Quarterly Report of MasTec, Inc. on Form 10-Q for the period ended March 31, 2026, or as a separate disclosure document of the Company or the certifying officers.</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MasTec, Inc. (the “Company”) on Form 10-Q for the period ended March 31, 2026 as filed with the Securities and Exchange Commission on the date hereof (the “Report”), I, Paul DiMarco, Executive Vice President and Chief Financial Officer of the Company,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12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tbl>
      <w:tblPr>
        <w:tblW w:w="5489" w:type="dxa"/>
        <w:jc w:val="left"/>
        <w:tblInd w:w="0" w:type="dxa"/>
        <w:tblLayout w:type="fixed"/>
        <w:tblCellMar>
          <w:top w:w="28" w:type="dxa"/>
          <w:left w:w="28" w:type="dxa"/>
          <w:bottom w:w="28" w:type="dxa"/>
          <w:right w:w="28" w:type="dxa"/>
        </w:tblCellMar>
      </w:tblPr>
      <w:tblGrid>
        <w:gridCol w:w="574"/>
        <w:gridCol w:w="506"/>
        <w:gridCol w:w="510"/>
        <w:gridCol w:w="1140"/>
        <w:gridCol w:w="1140"/>
        <w:gridCol w:w="1619"/>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April 30, 2026</w:t>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  PAUL DIMARCO</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Paul DiMarco</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certification set forth above is being furnished as an exhibit solely pursuant to Section 906 of the Sarbanes-Oxley Act of 2002 and is not being filed as part of the Quarterly Report of MasTec, Inc. on Form 10-Q for the period ended March 31, 2026, or as a separate disclosure document of the Company or the certifying officers.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Exhibit 95.1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MINE SAFETY DISCLOSURES</w:t>
      </w:r>
    </w:p>
    <w:p>
      <w:pPr>
        <w:pStyle w:val="TextBody"/>
        <w:bidi w:val="0"/>
        <w:spacing w:before="0" w:after="0"/>
        <w:jc w:val="center"/>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18"/>
        </w:rPr>
        <w:t xml:space="preserve">We operate aggregate mines that are subject to regulation by the federal Mine Safety and Health Administration (“MSHA”) under the Federal Mine Safety and Health Act of 1977, 30 U.S.C. § 801 </w:t>
      </w:r>
      <w:r>
        <w:rPr>
          <w:rFonts w:ascii="Times New Roman;serif" w:hAnsi="Times New Roman;serif"/>
          <w:b w:val="false"/>
          <w:i/>
          <w:color w:val="000000"/>
          <w:sz w:val="18"/>
        </w:rPr>
        <w:t>et seq</w:t>
      </w:r>
      <w:r>
        <w:rPr>
          <w:rFonts w:ascii="Times New Roman;serif" w:hAnsi="Times New Roman;serif"/>
          <w:b w:val="false"/>
          <w:color w:val="000000"/>
          <w:sz w:val="18"/>
        </w:rPr>
        <w:t>. (the “Mine Act”). Set forth below is the required information regarding certain mining safety and health matters for the quarter ended March 31, 2026. Citations and orders may be contested and appealed, and in that process, may be reduced in severity and amount, and are sometimes dismissed. The table below includes references to specific sections of the Mine Act.</w:t>
      </w:r>
    </w:p>
    <w:p>
      <w:pPr>
        <w:pStyle w:val="TextBody"/>
        <w:bidi w:val="0"/>
        <w:spacing w:lineRule="auto" w:line="288" w:before="0" w:after="12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information in the table below is presented by mine, consistent with the manner in which we maintain safety and compliance information about our mining operations.</w:t>
      </w:r>
    </w:p>
    <w:tbl>
      <w:tblPr>
        <w:tblW w:w="10205" w:type="dxa"/>
        <w:jc w:val="left"/>
        <w:tblInd w:w="0" w:type="dxa"/>
        <w:tblLayout w:type="fixed"/>
        <w:tblCellMar>
          <w:top w:w="28" w:type="dxa"/>
          <w:left w:w="28" w:type="dxa"/>
          <w:bottom w:w="28" w:type="dxa"/>
          <w:right w:w="28" w:type="dxa"/>
        </w:tblCellMar>
      </w:tblPr>
      <w:tblGrid>
        <w:gridCol w:w="436"/>
        <w:gridCol w:w="302"/>
        <w:gridCol w:w="304"/>
        <w:gridCol w:w="109"/>
        <w:gridCol w:w="109"/>
        <w:gridCol w:w="109"/>
        <w:gridCol w:w="280"/>
        <w:gridCol w:w="280"/>
        <w:gridCol w:w="281"/>
        <w:gridCol w:w="109"/>
        <w:gridCol w:w="109"/>
        <w:gridCol w:w="109"/>
        <w:gridCol w:w="233"/>
        <w:gridCol w:w="233"/>
        <w:gridCol w:w="234"/>
        <w:gridCol w:w="109"/>
        <w:gridCol w:w="109"/>
        <w:gridCol w:w="109"/>
        <w:gridCol w:w="275"/>
        <w:gridCol w:w="275"/>
        <w:gridCol w:w="277"/>
        <w:gridCol w:w="109"/>
        <w:gridCol w:w="109"/>
        <w:gridCol w:w="109"/>
        <w:gridCol w:w="249"/>
        <w:gridCol w:w="249"/>
        <w:gridCol w:w="251"/>
        <w:gridCol w:w="109"/>
        <w:gridCol w:w="109"/>
        <w:gridCol w:w="109"/>
        <w:gridCol w:w="233"/>
        <w:gridCol w:w="233"/>
        <w:gridCol w:w="234"/>
        <w:gridCol w:w="109"/>
        <w:gridCol w:w="109"/>
        <w:gridCol w:w="109"/>
        <w:gridCol w:w="196"/>
        <w:gridCol w:w="736"/>
        <w:gridCol w:w="109"/>
        <w:gridCol w:w="109"/>
        <w:gridCol w:w="109"/>
        <w:gridCol w:w="109"/>
        <w:gridCol w:w="273"/>
        <w:gridCol w:w="273"/>
        <w:gridCol w:w="274"/>
        <w:gridCol w:w="109"/>
        <w:gridCol w:w="109"/>
        <w:gridCol w:w="109"/>
        <w:gridCol w:w="250"/>
        <w:gridCol w:w="250"/>
        <w:gridCol w:w="369"/>
      </w:tblGrid>
      <w:tr>
        <w:trPr/>
        <w:tc>
          <w:tcPr>
            <w:tcW w:w="43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Mine Name or Location / 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104 Citations</w:t>
            </w:r>
            <w:r>
              <w:rPr>
                <w:rFonts w:ascii="Times New Roman;serif" w:hAnsi="Times New Roman;serif"/>
                <w:b/>
                <w:color w:val="000000"/>
                <w:sz w:val="11"/>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104(b) Orders</w:t>
            </w:r>
            <w:r>
              <w:rPr>
                <w:rFonts w:ascii="Times New Roman;serif" w:hAnsi="Times New Roman;serif"/>
                <w:b/>
                <w:color w:val="000000"/>
                <w:sz w:val="11"/>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104(d) Citations and Orders</w:t>
            </w:r>
            <w:r>
              <w:rPr>
                <w:rFonts w:ascii="Times New Roman;serif" w:hAnsi="Times New Roman;serif"/>
                <w:b/>
                <w:color w:val="000000"/>
                <w:sz w:val="11"/>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110(b)(2) Violations</w:t>
            </w:r>
            <w:r>
              <w:rPr>
                <w:rFonts w:ascii="Times New Roman;serif" w:hAnsi="Times New Roman;serif"/>
                <w:b/>
                <w:color w:val="000000"/>
                <w:sz w:val="11"/>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Section</w:t>
            </w:r>
          </w:p>
          <w:p>
            <w:pPr>
              <w:pStyle w:val="TableContents"/>
              <w:bidi w:val="0"/>
              <w:spacing w:lineRule="auto" w:line="240" w:before="0" w:after="30"/>
              <w:jc w:val="center"/>
              <w:rPr/>
            </w:pPr>
            <w:r>
              <w:rPr>
                <w:rFonts w:ascii="Times New Roman;serif" w:hAnsi="Times New Roman;serif"/>
                <w:b/>
                <w:color w:val="000000"/>
                <w:sz w:val="17"/>
              </w:rPr>
              <w:t>107(a) Orders</w:t>
            </w:r>
            <w:r>
              <w:rPr>
                <w:rFonts w:ascii="Times New Roman;serif" w:hAnsi="Times New Roman;serif"/>
                <w:b/>
                <w:color w:val="000000"/>
                <w:sz w:val="11"/>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7"/>
              </w:rPr>
            </w:pPr>
            <w:r>
              <w:rPr>
                <w:rFonts w:ascii="Times New Roman;serif" w:hAnsi="Times New Roman;serif"/>
                <w:b/>
                <w:color w:val="000000"/>
                <w:sz w:val="17"/>
              </w:rPr>
              <w:t>Proposed</w:t>
            </w:r>
          </w:p>
          <w:p>
            <w:pPr>
              <w:pStyle w:val="TableContents"/>
              <w:bidi w:val="0"/>
              <w:spacing w:lineRule="auto" w:line="240" w:before="0" w:after="30"/>
              <w:jc w:val="center"/>
              <w:rPr/>
            </w:pPr>
            <w:r>
              <w:rPr>
                <w:rFonts w:ascii="Times New Roman;serif" w:hAnsi="Times New Roman;serif"/>
                <w:b/>
                <w:color w:val="000000"/>
                <w:sz w:val="17"/>
              </w:rPr>
              <w:t>Assessments</w:t>
            </w:r>
            <w:r>
              <w:rPr>
                <w:rFonts w:ascii="Times New Roman;serif" w:hAnsi="Times New Roman;serif"/>
                <w:b/>
                <w:color w:val="000000"/>
                <w:sz w:val="11"/>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7"/>
              </w:rPr>
              <w:t>Fatalities</w:t>
            </w:r>
            <w:r>
              <w:rPr>
                <w:rFonts w:ascii="Times New Roman;serif" w:hAnsi="Times New Roman;serif"/>
                <w:b/>
                <w:color w:val="000000"/>
                <w:sz w:val="11"/>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Times New Roman;serif" w:hAnsi="Times New Roman;serif"/>
                <w:b/>
                <w:color w:val="000000"/>
                <w:sz w:val="17"/>
              </w:rPr>
              <w:t>Pending Legal Action</w:t>
            </w:r>
            <w:r>
              <w:rPr>
                <w:rFonts w:ascii="Times New Roman;serif" w:hAnsi="Times New Roman;serif"/>
                <w:b/>
                <w:color w:val="000000"/>
                <w:sz w:val="11"/>
              </w:rPr>
              <w:t>(h)</w:t>
            </w:r>
          </w:p>
        </w:tc>
      </w:tr>
      <w:tr>
        <w:trPr/>
        <w:tc>
          <w:tcPr>
            <w:tcW w:w="10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1 / 0203091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2 / 0202622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3 / 0202774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4 / 0203036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5 / 2902226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6 / 0202589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7 / 0203079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FNF Crushing 8 / 0203035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Arizona / VTW</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Mesquite Wash Plant / 2602774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Topaz Mine / 2602440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Oklahoma / B7441</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Texas / B7441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Utah / B7441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Texas / C4778</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Wisconsin / A6370</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Alabama / 1KJ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Alaska / E757</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Arizona / E757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Texas / E757</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r>
    </w:tbl>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Denotes where we are working as an "independent contractor" at another operator's mine.</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    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    The total number of orders issued under Section 104(b)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    The total number of citations and orders for unwarrantable failure of the mine operator to comply with mandatory health or safety standards under Section 104(d)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    The total number of flagrant violations under Section 110(b)(2)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(e)    The total number of imminent danger orders issued under Section 107(a) of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(f)    The total dollar value of proposed assessments from the MSHA under the Mine Act.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(g)    The total number of mining-related fatalities.</w:t>
      </w:r>
    </w:p>
    <w:p>
      <w:pPr>
        <w:pStyle w:val="TextBody"/>
        <w:bidi w:val="0"/>
        <w:spacing w:lineRule="auto" w:line="288" w:before="60" w:after="18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(h)    Any pending legal action before the Federal Mine Safety and Health Review Commission involving the applicable mine(s).</w:t>
      </w:r>
    </w:p>
    <w:p>
      <w:pPr>
        <w:pStyle w:val="TextBody"/>
        <w:bidi w:val="0"/>
        <w:spacing w:lineRule="auto" w:line="288" w:before="12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During the quarter ended March 31, 2026,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26824</Words>
  <Characters>152809</Characters>
  <CharactersWithSpaces>178229</CharactersWithSpaces>
  <Paragraphs>2754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