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right="20" w:firstLine="8"/>
        <w:spacing w:after="0" w:line="270" w:lineRule="auto"/>
        <w:tabs>
          <w:tab w:leader="none" w:pos="3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2024</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ind w:firstLine="8"/>
        <w:spacing w:after="0" w:line="270" w:lineRule="auto"/>
        <w:tabs>
          <w:tab w:leader="none" w:pos="35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transition period from __ to 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43180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212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 incorporation or organization)</w:t>
            </w:r>
          </w:p>
        </w:tc>
        <w:tc>
          <w:tcPr>
            <w:tcW w:w="212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i w:val="1"/>
                <w:iCs w:val="1"/>
                <w:color w:val="auto"/>
              </w:rPr>
              <w:t>(I.R.S. Employer Identification No.)</w:t>
            </w:r>
          </w:p>
        </w:tc>
      </w:tr>
      <w:tr>
        <w:trPr>
          <w:trHeight w:val="332"/>
        </w:trPr>
        <w:tc>
          <w:tcPr>
            <w:tcW w:w="6180" w:type="dxa"/>
            <w:vAlign w:val="bottom"/>
          </w:tcPr>
          <w:p>
            <w:pPr>
              <w:jc w:val="center"/>
              <w:ind w:right="2764"/>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212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271"/>
        </w:trPr>
        <w:tc>
          <w:tcPr>
            <w:tcW w:w="6180" w:type="dxa"/>
            <w:vAlign w:val="bottom"/>
          </w:tcPr>
          <w:p>
            <w:pPr>
              <w:jc w:val="right"/>
              <w:ind w:right="1104"/>
              <w:spacing w:after="0"/>
              <w:rPr>
                <w:sz w:val="20"/>
                <w:szCs w:val="20"/>
                <w:color w:val="auto"/>
              </w:rPr>
            </w:pPr>
            <w:r>
              <w:rPr>
                <w:rFonts w:ascii="Times New Roman" w:cs="Times New Roman" w:eastAsia="Times New Roman" w:hAnsi="Times New Roman"/>
                <w:sz w:val="16"/>
                <w:szCs w:val="16"/>
                <w:b w:val="1"/>
                <w:bCs w:val="1"/>
                <w:color w:val="auto"/>
              </w:rPr>
              <w:t>(305) 599-1800</w:t>
            </w:r>
          </w:p>
        </w:tc>
        <w:tc>
          <w:tcPr>
            <w:tcW w:w="2120" w:type="dxa"/>
            <w:vAlign w:val="bottom"/>
          </w:tcPr>
          <w:p>
            <w:pPr>
              <w:spacing w:after="0"/>
              <w:rPr>
                <w:sz w:val="23"/>
                <w:szCs w:val="23"/>
                <w:color w:val="auto"/>
              </w:rPr>
            </w:pPr>
          </w:p>
        </w:tc>
      </w:tr>
      <w:tr>
        <w:trPr>
          <w:trHeight w:val="192"/>
        </w:trPr>
        <w:tc>
          <w:tcPr>
            <w:tcW w:w="6180" w:type="dxa"/>
            <w:vAlign w:val="bottom"/>
          </w:tcPr>
          <w:p>
            <w:pPr>
              <w:jc w:val="center"/>
              <w:ind w:left="2704"/>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120" w:type="dxa"/>
            <w:vAlign w:val="bottom"/>
          </w:tcPr>
          <w:p>
            <w:pPr>
              <w:spacing w:after="0"/>
              <w:rPr>
                <w:sz w:val="16"/>
                <w:szCs w:val="16"/>
                <w:color w:val="auto"/>
              </w:rPr>
            </w:pPr>
          </w:p>
        </w:tc>
      </w:tr>
    </w:tbl>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52"/>
        </w:trPr>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300" w:type="dxa"/>
            <w:vAlign w:val="bottom"/>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384" w:lineRule="exact"/>
        <w:rPr>
          <w:sz w:val="24"/>
          <w:szCs w:val="24"/>
          <w:color w:val="auto"/>
        </w:rPr>
      </w:pPr>
    </w:p>
    <w:p>
      <w:pPr>
        <w:jc w:val="both"/>
        <w:ind w:firstLine="224"/>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firstLine="171"/>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firstLine="173"/>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84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4" w:lineRule="exact"/>
        <w:rPr>
          <w:sz w:val="24"/>
          <w:szCs w:val="24"/>
          <w:color w:val="auto"/>
        </w:rPr>
      </w:pPr>
    </w:p>
    <w:p>
      <w:pPr>
        <w:ind w:right="420"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160" w:right="3300" w:firstLine="9"/>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28, 2024, MasTec, Inc. had 79,234,969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QUARTER ENDED SEPTEMBER 30, 2024</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24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Part I. FINANCIAL INFORMATION</w:t>
            </w:r>
          </w:p>
        </w:tc>
        <w:tc>
          <w:tcPr>
            <w:tcW w:w="8160" w:type="dxa"/>
            <w:vAlign w:val="bottom"/>
            <w:gridSpan w:val="11"/>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5640" w:type="dxa"/>
            <w:vAlign w:val="bottom"/>
            <w:gridSpan w:val="3"/>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Equity</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6860" w:type="dxa"/>
            <w:vAlign w:val="bottom"/>
            <w:gridSpan w:val="5"/>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554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38</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6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tcBorders>
              <w:left w:val="single" w:sz="8" w:color="0000FF"/>
            </w:tcBorders>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2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tcBorders>
            <w:gridSpan w:val="10"/>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5</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2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40</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41</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3" w:right="47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per share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3,257,077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8,900,362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8,715,851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2,789,274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7,709,393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7,701,392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325,318</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126,252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520,709</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174,664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(23,434)</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(26,332)</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136,958</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154,532</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(82,718)</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34,231</w:t>
            </w:r>
          </w:p>
        </w:tc>
      </w:tr>
      <w:tr>
        <w:trPr>
          <w:trHeight w:val="207"/>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(48,487)</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r>
      <w:tr>
        <w:trPr>
          <w:trHeight w:val="20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95,240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(50,702)</w:t>
            </w:r>
          </w:p>
        </w:tc>
      </w:tr>
      <w:tr>
        <w:trPr>
          <w:trHeight w:val="239"/>
        </w:trPr>
        <w:tc>
          <w:tcPr>
            <w:tcW w:w="6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 (Note 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0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78,044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77,418</w:t>
            </w:r>
          </w:p>
        </w:tc>
      </w:tr>
      <w:tr>
        <w:trPr>
          <w:trHeight w:val="145"/>
        </w:trPr>
        <w:tc>
          <w:tcPr>
            <w:tcW w:w="6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77,418</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(48,487)</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(losses) gains, net of tax</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Unrealized (losses) gains on investment activity, net of tax</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(43,623)</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r>
      <w:tr>
        <w:trPr>
          <w:trHeight w:val="20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income (loss)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82,269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(45,838)</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529,561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1,370,074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1,756,381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108,146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105,880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104,211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3,572,895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3,974,253</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1,519,378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1,651,462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418,685</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2,135,683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2,126,366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784,260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418,222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418,485</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8,762,972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9,373,511</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177,246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137,765</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1,242,602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198,943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480,967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184,621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2,887,751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2,837,219</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2,138,697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2,888,058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292,873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390,399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243,701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5,934,260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6,652,250</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- 99,030,346 and 99,093,134 (including</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1,304,715 and 1,504,996 of unvested stock awards) as of September 30, 2024 and December 31, 2023, respectively</w:t>
            </w: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1,263,360</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2,233,841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2,145,793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19,813,055 shares as of both September 30, 2024 and December 31, 2023</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(659,913)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2,809,666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2,706,152</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2,828,712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2,721,261</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8,762,972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9,373,511</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Ended September 30, 2024</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99,044,551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1,277,301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2,138,601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2,714,364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$2,734,107</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105,410</w:t>
            </w:r>
          </w:p>
        </w:tc>
        <w:tc>
          <w:tcPr>
            <w:tcW w:w="0" w:type="dxa"/>
            <w:vAlign w:val="bottom"/>
          </w:tcPr>
          <w:p>
            <w:pPr>
              <w:spacing w:after="0"/>
              <w:rPr>
                <w:sz w:val="1"/>
                <w:szCs w:val="1"/>
                <w:color w:val="auto"/>
              </w:rPr>
            </w:pPr>
          </w:p>
        </w:tc>
      </w:tr>
      <w:tr>
        <w:trPr>
          <w:trHeight w:val="24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0" w:type="dxa"/>
            <w:vAlign w:val="bottom"/>
          </w:tcPr>
          <w:p>
            <w:pPr>
              <w:spacing w:after="0"/>
              <w:rPr>
                <w:sz w:val="1"/>
                <w:szCs w:val="1"/>
                <w:color w:val="auto"/>
              </w:rPr>
            </w:pPr>
          </w:p>
        </w:tc>
      </w:tr>
      <w:tr>
        <w:trPr>
          <w:trHeight w:val="165"/>
        </w:trPr>
        <w:tc>
          <w:tcPr>
            <w:tcW w:w="20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(10,867)</w:t>
            </w:r>
          </w:p>
        </w:tc>
        <w:tc>
          <w:tcPr>
            <w:tcW w:w="0" w:type="dxa"/>
            <w:vAlign w:val="bottom"/>
          </w:tcPr>
          <w:p>
            <w:pPr>
              <w:spacing w:after="0"/>
              <w:rPr>
                <w:sz w:val="1"/>
                <w:szCs w:val="1"/>
                <w:color w:val="auto"/>
              </w:rPr>
            </w:pPr>
          </w:p>
        </w:tc>
      </w:tr>
      <w:tr>
        <w:trPr>
          <w:trHeight w:val="145"/>
        </w:trPr>
        <w:tc>
          <w:tcPr>
            <w:tcW w:w="20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99,030,346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1,284,611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2,233,841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2,809,666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19,046</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$2,828,712</w:t>
            </w: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Ended September 30, 2023</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98,674,249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1,247,231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2,130,744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(48,877)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2,679,052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$2,688,420</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98,638,673</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9,864</w:t>
            </w: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Pr>
          <w:p>
            <w:pPr>
              <w:spacing w:after="0"/>
              <w:rPr>
                <w:sz w:val="12"/>
                <w:szCs w:val="12"/>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1,254,444</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2,145,040</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(46,091)</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2,703,344</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10,377</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$2,713,721</w:t>
            </w:r>
          </w:p>
        </w:tc>
        <w:tc>
          <w:tcPr>
            <w:tcW w:w="0" w:type="dxa"/>
            <w:vAlign w:val="bottom"/>
          </w:tcPr>
          <w:p>
            <w:pPr>
              <w:spacing w:after="0"/>
              <w:rPr>
                <w:sz w:val="1"/>
                <w:szCs w:val="1"/>
                <w:color w:val="auto"/>
              </w:rPr>
            </w:pPr>
          </w:p>
        </w:tc>
      </w:tr>
      <w:tr>
        <w:trPr>
          <w:trHeight w:val="218"/>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2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6"/>
                <w:szCs w:val="16"/>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December 31,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99,093,134</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(19,813,055)</w:t>
            </w: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1,263,360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2,145,793</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2,706,152</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$2,721,261</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114,719</w:t>
            </w:r>
          </w:p>
        </w:tc>
        <w:tc>
          <w:tcPr>
            <w:tcW w:w="0" w:type="dxa"/>
            <w:vAlign w:val="bottom"/>
          </w:tcPr>
          <w:p>
            <w:pPr>
              <w:spacing w:after="0"/>
              <w:rPr>
                <w:sz w:val="1"/>
                <w:szCs w:val="1"/>
                <w:color w:val="auto"/>
              </w:rPr>
            </w:pPr>
          </w:p>
        </w:tc>
      </w:tr>
      <w:tr>
        <w:trPr>
          <w:trHeight w:val="24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(23,499)</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assumption of non-</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September 30,</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99,030,346</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80" w:type="dxa"/>
            <w:vAlign w:val="bottom"/>
          </w:tcPr>
          <w:p>
            <w:pPr>
              <w:spacing w:after="0"/>
              <w:rPr>
                <w:sz w:val="12"/>
                <w:szCs w:val="12"/>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(19,813,055)</w:t>
            </w:r>
          </w:p>
        </w:tc>
        <w:tc>
          <w:tcPr>
            <w:tcW w:w="100" w:type="dxa"/>
            <w:vAlign w:val="bottom"/>
          </w:tcPr>
          <w:p>
            <w:pPr>
              <w:spacing w:after="0"/>
              <w:rPr>
                <w:sz w:val="12"/>
                <w:szCs w:val="12"/>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1,284,611</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2,233,841</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(58,776)</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2,809,666</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19,046</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$2,828,712</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Balance as of December 31,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98,615,105</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(19,933,055)</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(663,910)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1,246,590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2,195,742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2,737,329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$2,741,187</w:t>
            </w:r>
          </w:p>
        </w:tc>
        <w:tc>
          <w:tcPr>
            <w:tcW w:w="0" w:type="dxa"/>
            <w:vAlign w:val="bottom"/>
          </w:tcPr>
          <w:p>
            <w:pPr>
              <w:spacing w:after="0"/>
              <w:rPr>
                <w:sz w:val="1"/>
                <w:szCs w:val="1"/>
                <w:color w:val="auto"/>
              </w:rPr>
            </w:pPr>
          </w:p>
        </w:tc>
      </w:tr>
      <w:tr>
        <w:trPr>
          <w:trHeight w:val="22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(48,487)</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shares in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non-controlling</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assumption of non-</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September 30,</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98,638,673</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9,864</w:t>
            </w:r>
          </w:p>
        </w:tc>
        <w:tc>
          <w:tcPr>
            <w:tcW w:w="80" w:type="dxa"/>
            <w:vAlign w:val="bottom"/>
          </w:tcPr>
          <w:p>
            <w:pPr>
              <w:spacing w:after="0"/>
              <w:rPr>
                <w:sz w:val="12"/>
                <w:szCs w:val="12"/>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(19,813,055)</w:t>
            </w:r>
          </w:p>
        </w:tc>
        <w:tc>
          <w:tcPr>
            <w:tcW w:w="100" w:type="dxa"/>
            <w:vAlign w:val="bottom"/>
          </w:tcPr>
          <w:p>
            <w:pPr>
              <w:spacing w:after="0"/>
              <w:rPr>
                <w:sz w:val="12"/>
                <w:szCs w:val="12"/>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1,254,444</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2,145,040</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(46,091)</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2,703,344</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10,377</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$2,713,721</w:t>
            </w:r>
          </w:p>
        </w:tc>
        <w:tc>
          <w:tcPr>
            <w:tcW w:w="0" w:type="dxa"/>
            <w:vAlign w:val="bottom"/>
          </w:tcPr>
          <w:p>
            <w:pPr>
              <w:spacing w:after="0"/>
              <w:rPr>
                <w:sz w:val="1"/>
                <w:szCs w:val="1"/>
                <w:color w:val="auto"/>
              </w:rPr>
            </w:pPr>
          </w:p>
        </w:tc>
      </w:tr>
      <w:tr>
        <w:trPr>
          <w:trHeight w:val="218"/>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3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325,318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126,252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 from 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on sales and impairments of assets,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non-cash items,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(118,448)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(244,340)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76,234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104,755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(32,477)</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196,572</w:t>
            </w:r>
          </w:p>
        </w:tc>
        <w:tc>
          <w:tcPr>
            <w:tcW w:w="2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(157,369)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(171,683)</w:t>
            </w:r>
          </w:p>
        </w:tc>
        <w:tc>
          <w:tcPr>
            <w:tcW w:w="2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3,256,200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credit facilities and term loans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(3,268,763)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5.900% senior notes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6.625% senior notes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(120,198)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to non-controlling interests, including acquisition of interests and distributions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stock-based awards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(916,513)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(181,587)</w:t>
            </w:r>
          </w:p>
        </w:tc>
        <w:tc>
          <w:tcPr>
            <w:tcW w:w="20" w:type="dxa"/>
            <w:vAlign w:val="bottom"/>
            <w:tcBorders>
              <w:bottom w:val="single" w:sz="8" w:color="auto"/>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(156,418)</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370,592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214,174</w:t>
            </w:r>
          </w:p>
        </w:tc>
        <w:tc>
          <w:tcPr>
            <w:tcW w:w="2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7"/>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150,972</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187,353</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 and other financing arrangements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129,935</w:t>
            </w:r>
          </w:p>
        </w:tc>
        <w:tc>
          <w:tcPr>
            <w:tcW w:w="20" w:type="dxa"/>
            <w:vAlign w:val="bottom"/>
          </w:tcPr>
          <w:p>
            <w:pPr>
              <w:spacing w:after="0"/>
              <w:rPr>
                <w:sz w:val="18"/>
                <w:szCs w:val="18"/>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772" w:right="3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 (2) Clean Energy and Infrastructure; (3) Power Delivery; (4) Oil and Gas; and (5) Other.</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2023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2023 contained in the Company’s 2023 Annual Report on Form 10-K (the “2023 Form 10-K”). In management’s opinion, all normal and recurring adjustments considered necessary for a fair statement of the financial position, results of operations and cash flows for the periods presented have been included.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service and other service agreements, which generally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41% and 37% of consolidated revenue for the three month periods ended September 30, 2024 and 2023, respectively, and totaled 40% and 42% for the nine month periods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certain master service and other service agreements, revenue is recognized at a point in time, primarily for install-to-the-home and certain other wireless services in the Company’s Communications segment, and to a lesser extent, certain revenue in the Company’s Clean Energy and Infrastructure and Oil and Gas segments. Point in time revenue is recognized when the work order has been fulfilled, which, for the majority of the Company’s point in time revenue, is the same day it is initiated. Point in time revenue accounted for approximately 2% of consolidated revenue for both the three and nine month periods ended September 30, 2024, and totaled approximately 2% and 3% for the three and nine month periods ended September 30, 2023, respectively.</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total contract transaction price and cost estimation processes used for recognizing revenue over time under the cost-to-cost method is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determined based on management’s estimates. For the nine month period ended September 30, 2024, excluding the effects on the Company’s results of operations from margin increases for two projects within the Company’s Clean Energy and Infrastructure segment totaling $10.0 million, project profit was affected by less than 5% as a result of changes in contract estimates included in projects that were in process as of December 31, 2023. For the nine month period ended September 30, 2023, project profit was affected by less than 5% as a result of changes in contract estimates included in projects that were in process as of December 31, 2022. Changes in recognized revenue, net, as a result of changes in total contract transaction price estimates, including from variable consideration, and/or changes in cost estimates, related to performance obligations satisfied or partially satisfied in prior periods positively affected revenue by approximately 0.5% and 0.3% for the three month periods ended September 30, 2024 and 2023, respectively, and such net changes positively affected revenue by approximately 0.3% and 0.5% for the nine month periods ended September 30, 2024 and 2023, respectively.</w:t>
      </w:r>
    </w:p>
    <w:p>
      <w:pPr>
        <w:spacing w:after="0" w:line="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The majority of the Company’s performance obligations are completed within one year.</w:t>
      </w:r>
    </w:p>
    <w:p>
      <w:pPr>
        <w:spacing w:after="0" w:line="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2024, the amount of the Company’s remaining performance obligations was $9.5 billion. Based on current expectations, the Company anticipates it will recognize approximately $2.6 billion, or 27.5%, of its remaining performance obligations as revenue during 2024, with the majority of the remaining balance expected to be recognized over the subsequent two year period.</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specific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September 30, 2024 and December 31, 2023, the Company’s contract transaction prices included approximately $159 million and $194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September 30, 2024 and December 31, 2023, these change orders and/or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periodically reviews the useful lives of its long-lived assets, which primarily consist of property and equipment, including finance lease assets, and finite-lived intangible assets. During the third quarter of 2024, based on the Company’s experience with the duration over which certain machinery and equipment can be utilized, the Company completed a review of the estimated useful lives of certain machinery and equipment, which resulted in a net increase in the estimated useful lives of such machinery and equipment. The resulting change in accounting estimate was applied on a prospective basis. For the third quarter of 2024, the effect of this change was a net reduction in depreciation expense of $18.1 million. For additional information pertaining to the Company’s significant accounting policies, see Note 1 – Business, Basis of Presentation and Significant Accounting Policies in the Company’s 2023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discussion below describes the effects of recent accounting pronouncements, as updated from the discussion in the Company’s 2023 Form 10-K.</w:t>
      </w:r>
    </w:p>
    <w:p>
      <w:pPr>
        <w:spacing w:after="0" w:line="11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 xml:space="preserve">In August 2023, the FASB issued ASU 2023-05, </w:t>
      </w:r>
      <w:r>
        <w:rPr>
          <w:rFonts w:ascii="Times New Roman" w:cs="Times New Roman" w:eastAsia="Times New Roman" w:hAnsi="Times New Roman"/>
          <w:sz w:val="16"/>
          <w:szCs w:val="16"/>
          <w:i w:val="1"/>
          <w:iCs w:val="1"/>
          <w:color w:val="auto"/>
        </w:rPr>
        <w:t>Business Combinations—Joint Venture Formations (Subtopic 805-60): Recognition and Initial Measurement</w:t>
      </w:r>
      <w:r>
        <w:rPr>
          <w:rFonts w:ascii="Times New Roman" w:cs="Times New Roman" w:eastAsia="Times New Roman" w:hAnsi="Times New Roman"/>
          <w:sz w:val="16"/>
          <w:szCs w:val="16"/>
          <w:color w:val="auto"/>
        </w:rPr>
        <w:t xml:space="preserve"> (“ASU 2023-05”) to clarify existing guidance and reduce diversity in practice in the accounting for joint ventures. ASU</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63" w:lineRule="auto"/>
        <w:rPr>
          <w:sz w:val="20"/>
          <w:szCs w:val="20"/>
          <w:color w:val="auto"/>
        </w:rPr>
      </w:pPr>
      <w:r>
        <w:rPr>
          <w:rFonts w:ascii="Times New Roman" w:cs="Times New Roman" w:eastAsia="Times New Roman" w:hAnsi="Times New Roman"/>
          <w:sz w:val="16"/>
          <w:szCs w:val="16"/>
          <w:color w:val="auto"/>
        </w:rPr>
        <w:t>2023-05 addresses the accounting for contributions made to a joint venture upon formation in a joint venture’s separate financial statements. The provisions of this ASU require that a joint venture initially measure all contributions received upon its formation at fair value, largely consistent with Topic 805, Business Combinations. The amendments in this ASU are not applicable to the formation of proportionately consolidated joint ventures. ASU 2023-05 is effective prospectively for all joint ventures with a formation date on or after January 1, 2025, with early adoption permitted on a retrospective basis for joint ventures formed before January 1, 2025. The Company is currently evaluating the effects of this ASU.</w:t>
      </w:r>
    </w:p>
    <w:p>
      <w:pPr>
        <w:spacing w:after="0" w:line="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(“ASU 2023-07”) to enhance segment reporting disclosures. ASU 2023-07 requires disclosure of significant segment expenses that are regularly provided to the chief operating decision maker (CODM) and included within each reported measure of segment profit or loss, as well as disclosure of the total amount and description of other segment items by reportable segment. This ASU also requires disclosure of the title and position of the CODM and an explanation of how the CODM uses the reported measures of segment profit or loss in assessing segment performance and deciding how to allocate resources. Under ASU 2023-07, the disclosures that are currently required on an annual basis under Topic 280, Segment Reporting, pertaining to reportable segment profit or loss and assets will also be required for interim periods. ASU 2023-07 is effective for fiscal years beginning after December 15, 2023, and for interim periods within fiscal years beginning after December 15, 2024, with retrospective application. Early adoption is permitted. The Company has determined that the effects of adopting this ASU will only impact its disclosures and the Company does not expect that it will have a material effect on its consolidated financial statements or results of its operations when adopted. The Company continues to evaluate the effects of this ASU on its segment disclosures.</w:t>
      </w:r>
    </w:p>
    <w:p>
      <w:pPr>
        <w:spacing w:after="0" w:line="2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is effective on a prospective basis, with retrospective application permitted. The Company is currently evaluating the effects of this ASU on its income tax disclosures.</w:t>
      </w:r>
    </w:p>
    <w:p>
      <w:pPr>
        <w:spacing w:after="0" w:line="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March 2024, the Securities and Exchange Commission (“SEC”) adopted final rules under SEC Release No. 33-11275, </w:t>
      </w:r>
      <w:r>
        <w:rPr>
          <w:rFonts w:ascii="Times New Roman" w:cs="Times New Roman" w:eastAsia="Times New Roman" w:hAnsi="Times New Roman"/>
          <w:sz w:val="16"/>
          <w:szCs w:val="16"/>
          <w:i w:val="1"/>
          <w:iCs w:val="1"/>
          <w:color w:val="auto"/>
        </w:rPr>
        <w:t>The Enhancement and Standardization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Climate-Related Disclosures for Investors</w:t>
      </w:r>
      <w:r>
        <w:rPr>
          <w:rFonts w:ascii="Times New Roman" w:cs="Times New Roman" w:eastAsia="Times New Roman" w:hAnsi="Times New Roman"/>
          <w:sz w:val="16"/>
          <w:szCs w:val="16"/>
          <w:color w:val="auto"/>
        </w:rPr>
        <w:t>, which requires registrants to provide certain climate-related disclosures in registration statements and annual reports. The new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rules are scheduled to begin to phase in for fiscal years beginning on or after January 1, 2025, on a prospective basis. On April 4, 2024, the SEC voluntarily stayed implementation of the final rules pending certain legal challenges to the rules. The Company is currently monitoring developments related to the rules and evaluating their potential effect on its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MasTec:</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77,418</w:t>
            </w:r>
          </w:p>
        </w:tc>
      </w:tr>
      <w:tr>
        <w:trPr>
          <w:trHeight w:val="219"/>
        </w:trPr>
        <w:tc>
          <w:tcPr>
            <w:tcW w:w="66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78,913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78,455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78,801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77,418</w:t>
            </w:r>
          </w:p>
        </w:tc>
      </w:tr>
    </w:tbl>
    <w:p>
      <w:pPr>
        <w:spacing w:after="0" w:line="99" w:lineRule="exact"/>
        <w:rPr>
          <w:sz w:val="20"/>
          <w:szCs w:val="20"/>
          <w:color w:val="auto"/>
        </w:rPr>
      </w:pPr>
    </w:p>
    <w:p>
      <w:pPr>
        <w:jc w:val="both"/>
        <w:ind w:left="340" w:hanging="332"/>
        <w:spacing w:after="0" w:line="295"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 period ended September 30, 2024, anti-dilutive common stock equivalents totaled approximately 3,000 shares, and for the three month period ended September 30, 2023, there were no anti-dilutive common stock equivalents. For the nine month periods ended September 30, 2024 and 2023, such shares totaled approximately 171,000 and 1,091,000,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Note 3 – Acquisitions, Goodwill and Other Intangible Assets, Net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nine month period ended September 30, 2024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0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Clean Energy and</w:t>
            </w:r>
          </w:p>
        </w:tc>
        <w:tc>
          <w:tcPr>
            <w:tcW w:w="16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Power Delivery</w:t>
            </w:r>
          </w:p>
        </w:tc>
        <w:tc>
          <w:tcPr>
            <w:tcW w:w="200" w:type="dxa"/>
            <w:vAlign w:val="bottom"/>
          </w:tcPr>
          <w:p>
            <w:pPr>
              <w:spacing w:after="0"/>
              <w:rPr>
                <w:sz w:val="16"/>
                <w:szCs w:val="16"/>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Oil and Gas</w:t>
            </w:r>
          </w:p>
        </w:tc>
        <w:tc>
          <w:tcPr>
            <w:tcW w:w="140" w:type="dxa"/>
            <w:vAlign w:val="bottom"/>
          </w:tcPr>
          <w:p>
            <w:pPr>
              <w:spacing w:after="0"/>
              <w:rPr>
                <w:sz w:val="16"/>
                <w:szCs w:val="16"/>
                <w:color w:val="auto"/>
              </w:rPr>
            </w:pPr>
          </w:p>
        </w:tc>
        <w:tc>
          <w:tcPr>
            <w:tcW w:w="12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Goodwill</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2,245.7</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2,126.4</w:t>
            </w: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2,135.7</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 includes the effects of currency translation gains and/or losses.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period adjustments represent adjustments, net, to preliminary estimates of fair value within the measurement period of up to one year from the date of acquisition.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Other Intangible Assets,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Customer</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Relationships and</w:t>
            </w:r>
          </w:p>
        </w:tc>
        <w:tc>
          <w:tcPr>
            <w:tcW w:w="12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Trade Names </w:t>
            </w:r>
            <w:r>
              <w:rPr>
                <w:rFonts w:ascii="Times New Roman" w:cs="Times New Roman" w:eastAsia="Times New Roman" w:hAnsi="Times New Roman"/>
                <w:sz w:val="21"/>
                <w:szCs w:val="21"/>
                <w:b w:val="1"/>
                <w:bCs w:val="1"/>
                <w:color w:val="auto"/>
                <w:vertAlign w:val="superscript"/>
              </w:rPr>
              <w:t>(a)</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(b)</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07"/>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September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$34.5 million of non-amortizing trade names as of both September 30, 2024 and December 31, 2023.</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pre-qualifications and non-compete agreements.</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During the first quarter of 2024, the reporting units within the Power Delivery operating segment were restructured to more closely align with the segment’s end markets and to better correspond with the operational management reporting structure of the segment, including from the effects of the Company’s recent transformative acquisition efforts. Under the new reporting unit structure, each of the five components within the Power Delivery operating segment is a reporting unit. Management performed testing under the previous reporting unit structure and determined that no goodwill impairment existed, and under the new reporting unit structure the estimated fair values of all but one of the reporting units substantially exceeded their carrying values. A 100 basis point increase in the discount rate would not have resulted in any of the tested reporting units’ carrying values exceeding their fair values. As of March 31, 2024, the reporting unit that did not substantially exceed its carrying value had approximately $47.1 million of goodwill. This reporting unit’s estimated fair value exceeded its carrying value by approximately 16%. Significant assumptions used in testing this reporting unit included terminal values based on a terminal growth rate of 3%, 5 years of discounted cash flows prior to the terminal value, including revenue growth and earnings before interest, taxes, depreciation and amortization (“EBITDA”) margin assumptions, and a weighted average discount rate of 12%.</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Additionally, no events occurred during the three month period ended September 30, 2024 that would indicate it was more likely than not that a goodwill impairment exists. Significant changes in the assumptions or estimates used in management’s assessment, such as a reduction in profitability and/or cash flows, changes in market, regulatory or other conditions, including decreases in project activity levels and/or the effects of elevated levels of inflation, market interest rates or other market disruptions, including from geopolitical or other events, could result in non-cash impairment charges to goodwill and indefinite-lived intangible assets in the future.</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Acquisitions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26282A"/>
        </w:rPr>
        <w:t xml:space="preserve">2024 Acquisitions. </w:t>
      </w:r>
      <w:r>
        <w:rPr>
          <w:rFonts w:ascii="Times New Roman" w:cs="Times New Roman" w:eastAsia="Times New Roman" w:hAnsi="Times New Roman"/>
          <w:sz w:val="16"/>
          <w:szCs w:val="16"/>
          <w:color w:val="000000"/>
        </w:rPr>
        <w:t>In July 2024, MasTec acquired all of the equity interests of a construction company focused on underground utility infrastructure for industrial</w:t>
      </w:r>
      <w:r>
        <w:rPr>
          <w:rFonts w:ascii="Times New Roman" w:cs="Times New Roman" w:eastAsia="Times New Roman" w:hAnsi="Times New Roman"/>
          <w:sz w:val="16"/>
          <w:szCs w:val="16"/>
          <w:b w:val="1"/>
          <w:bCs w:val="1"/>
          <w:i w:val="1"/>
          <w:iCs w:val="1"/>
          <w:color w:val="26282A"/>
        </w:rPr>
        <w:t xml:space="preserve"> </w:t>
      </w:r>
      <w:r>
        <w:rPr>
          <w:rFonts w:ascii="Times New Roman" w:cs="Times New Roman" w:eastAsia="Times New Roman" w:hAnsi="Times New Roman"/>
          <w:sz w:val="16"/>
          <w:szCs w:val="16"/>
          <w:color w:val="000000"/>
        </w:rPr>
        <w:t>and municipal projects, with expertise in data center utility systems, which is included within the Company’s Power Delivery segment. The Company expects this acquisition will increase its service offerings and further advance its ability to meet increasing demand for data center infrastructure. The aggregate purchase price was composed of approximately $33 million in cash, net of cash acquired and a five year earn-out liability valued at approximately $30 million. Determination of the estimated fair values of net assets acquired and consideration transferred for the acquisition, which has been accounted for as a business combination under ASC Topic 805, Business Combinations (“ASC 805”), was preliminary as of September 30, 2024; as a result, further adjustments to these estimates may occur. The Company expects to finalize the valuation and complete the purchase price consideration allocation no later than one year from the acquisition date. As of September 30, 2024, the remaining potential undiscounted earn-out liabilities for this acquisition was estimated to be up to $41 million; however, there is no maximum payment amount. See Note 4 – Fair Value of Financial Instruments for fair value estimates and other details related to the Company’s earn-out arrangements. Approximately $30 million of the goodwill balance related to this acquisition is expected to be tax deductible as of September 30, 2024.</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2023 Acquisitions. </w:t>
      </w:r>
      <w:r>
        <w:rPr>
          <w:rFonts w:ascii="Times New Roman" w:cs="Times New Roman" w:eastAsia="Times New Roman" w:hAnsi="Times New Roman"/>
          <w:sz w:val="16"/>
          <w:szCs w:val="16"/>
          <w:color w:val="auto"/>
        </w:rPr>
        <w:t>During 2023, MasTec completed four acquisitions, including the acquisition of certain assets of a telecommunications company specializing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wireless services, which acquisition was included within the Company’s Communications segment, and was effective in January; and, effective in July, the acquisition of the equity interests of a telecommunications construction company specializing in broadband and fiber-to-the-home initiatives in the New England area, which acquisition was included within the Company’s Communications segment. Determination of the estimated fair values of the net assets acquired and consideration transferred for these acquisitions, which have been accounted for as business combinations under ASC 805, was complete as of September 30, 2024. Additionally, effective in May 2023, MasTec acquired certain of the equity interests of two equipment companies which were accounted for as asset acquisitions under ASC 805 and were included within the Company’s Oil and Gas segment.</w:t>
      </w:r>
    </w:p>
    <w:p>
      <w:pPr>
        <w:spacing w:after="0" w:line="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aggregate purchase price of the Company’s 2023 acquisitions was composed of $70 million in cash, net of cash acquired, and an earn-out liability valued at $1 million. As of September 30, 2024, the remaining potential undiscounted earn-out liabilities for the 2023 acquisitions was estimated to be up to $2 million; however, there is no maximum payment amount. See Note 4 – Fair Value of Financial Instruments for fair value estimates and other details related to the Company’s earn-out arrangements. Approximately $42 million of the goodwill balance related to the 2023 acquisitions is expected to be tax deductible as of September 30, 2024.</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 and integration costs. </w:t>
      </w:r>
      <w:r>
        <w:rPr>
          <w:rFonts w:ascii="Times New Roman" w:cs="Times New Roman" w:eastAsia="Times New Roman" w:hAnsi="Times New Roman"/>
          <w:sz w:val="16"/>
          <w:szCs w:val="16"/>
          <w:color w:val="auto"/>
        </w:rPr>
        <w:t>In 2021, the Company initiated a significant transformation of its end-market business operations to focus on the nation’s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transition to low-carbon energy sources and position the Company for expected future growth opportunities. This transformation included significant business combination activity, including expansion of the Company’s scale and capacity in renewable energy, power delivery, heavy civil and telecommunications services, which activity resulted in significant acquisition and integration costs in prior periods. These acquisition and integration activities were completed in the fourth quarter of 2023. For the three and nine month periods ended September 30, 2023, such acquisition and integration costs totaled approximately $21.1 million and $60.9 million, respectively, of which $18.3 million and $53.3 million, respectively, was included within general and administrative expenses, and of which $2.8 million and $7.6 million, respectively, was included within costs of revenue, excluding depreciation and amortization.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spacing w:after="0" w:line="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spacing w:after="0" w:line="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As of September 30, 2024 and December 31, 2023, the estimated fair value of the Company’s Earn-out liabilities totaled $82.2 million and $77.4 million, respectively. Earn-out liabilities included within other current liabilities totaled approximately $22.6 million and $29.8 million as of September 30, 2024 and December 31, 2023,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September 30, 2024, ranged from 13.0% to 21.0%, with a weighted average rate of 16.3% based on the relative fair value of the respective Earn-out liabilities, and probability-weighted projections of EBITDA.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September 30, 2024, the range of potential undiscounted Earn-out liabilities was estimated to be between $12 million and $101 million; however, there is no maximum payment amount.</w:t>
      </w:r>
    </w:p>
    <w:p>
      <w:pPr>
        <w:spacing w:after="0" w:line="2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For both the three and nine month periods ended September 30, 2024, additions from new business combinations totaled approximately $30.3 million, and for both the three and nine month periods ended September 30, 2023, such additions totaled approximately $1.4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6"/>
          <w:szCs w:val="16"/>
          <w:color w:val="auto"/>
        </w:rPr>
        <w:t>million. There were no measurement period adjustments in any of the three or nine month periods ended September 30, 2024 or 2023. Fair value adjustments totaled an increase, net, of approximately $2.3 million for the three month period ended September 30, 2024 and related primarily to acquisitions within the Company’s Oil and Gas and Power Delivery segments, and for the nine month period ended September 30, 2024, totaled an increase, net, of approximately $0.5 million and related to increases primarily within the Company’s Oil and Gas and Clean Energy and Infrastructure segments, which were largely offset by decreases related to acquisitions within the Company’s Communications segment. For the three month period ended September 30, 2023, fair value adjustments totaled a decrease, net, of approximately $4.9 million and related primarily to acquisitions within the Company’s Communications and Oil and Gas segments. For the nine month period ended September 30, 2023, fair value adjustments totaled a decrease, net, of approximately $7.0 million and related to decreases in the Company’s Communications segment, which were largely offset by increases related to acquisitions primarily within the Company’s Clean Energy and Infrastructure and Oil and Gas segments. For the three and nine month periods ended September 30, 2024, Earn-out payments totaled approximately $21.4 million and $26.0 million, respectively, and for the three and nine month periods ended September 30, 2023, such payments totaled approximately $12.7 million and $38.8 million, respectively.</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equity investments as of September 30, 2024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spacing w:after="0" w:line="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both September 30, 2024 and December 31, 2023, the aggregate carrying value of the Company’s equity investments totaled approximately $319 million. Except for one investment for which the Company recorded an impairment loss totaling approximately $3 million in the third quarter of 2023, there were no impairments related to these investments in any of the three or nine month periods ended September 30, 2024 or 2023.</w:t>
      </w:r>
    </w:p>
    <w:p>
      <w:pPr>
        <w:spacing w:after="0" w:line="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The Waha JVs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Waha JVs own and operate certain pipeline infrastructure that transports natural gas to the Mexican border for export.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the Waha JVs are accounted for as equity method investments. Equity in earnings related to the Company’s proportionate share of income from the Waha JVs, which is included within the Company’s Other segment, totaled approximately $7.6 million and $21.7 million for the three and nine month periods ended September 30, 2024, respectively, and totaled approximately $7.7 million and $23.1 million for the three and nine month periods ended September 30, 2023, respectively. Distributions of earnings from the Waha JVs, which are included within operating cash flows, totaled approximately $4.7 million and $14.0 million for the three and nine month periods ended September 30, 2024, respectively, and totaled approximately $4.7 million and $10.5 million for the three and nine month periods ended September 30, 2023, respectively. Cumulative undistributed earnings from the Waha JVs, which represents cumulative equity in earnings for the Waha JVs less distributions of earnings, totaled $133.2 million as of September 30, 2024. The Company’s net investment in the Waha JVs, which differs from its proportionate share of the net assets of the Waha JVs due primarily to equity method goodwill associated with capitalized investment costs, totaled approximately $275 million and $274 million as of September 30, 2024 and December 31, 2023, respectively.</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Investments. </w:t>
      </w:r>
      <w:r>
        <w:rPr>
          <w:rFonts w:ascii="Times New Roman" w:cs="Times New Roman" w:eastAsia="Times New Roman" w:hAnsi="Times New Roman"/>
          <w:sz w:val="16"/>
          <w:szCs w:val="16"/>
          <w:color w:val="auto"/>
        </w:rPr>
        <w:t>The Company has equity interests in certain other entities that are accounted for as equity method investments. For both the nine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periods ended September 30, 2024 and 2023, the Company made equity contributions of approximately $0.2 million to these entities. Distributions from these entities totaled approximately $1.9 million for the nine month period ended September 30, 2024. The Company has subcontracting arrangements with certain of these entities for the performance of construction services, and expenses recognized in connection with these arrangements totaled approximately $1.9 million and $4.2 million for the three and nine month periods ended September 30, 2024, respectively, and totaled approximately $0.6 million and $2.1 million for the three and nine month periods ended September 30, 2023, respectively. As of September 30, 2024 and December 31, 2023, related amounts payable to these entities totaled approximately $0.5 million and $0.1 million, respectively. In addition, the Company has advanced amounts to certain of these entities, which for the nine month periods ended September 30, 2024 and 2023, totaled approximately $0.1 million and $0.7 million, respectively. As of September 30, 2024 and December 31, 2023, receivables related to these arrangements totaled approximately $4.2 million and $4.0 million, respectively.</w:t>
      </w:r>
    </w:p>
    <w:p>
      <w:pPr>
        <w:spacing w:after="0" w:line="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Variable Interest Entities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has determined that certain of its investment arrangements are variable interest entities (“VIEs”). Management assesses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its VIEs on an ongoing basis to determine if the Company is the primary beneficiary and if consolidation is required. As of September 30, 2024, management determined that the Company is the primary beneficiary of two of its VIEs, and accordingly, has consolidated these entities within the Company’s financial statements, with the other parties’ interests accounted for as non-controlling interests.</w:t>
      </w:r>
    </w:p>
    <w:p>
      <w:pPr>
        <w:spacing w:after="0" w:line="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consolidated VIEs include an electric utility contractor in which the Company acquired a 49% interest in the first quarter of 2024. As of September 30, 2024 and December 31, 2023, the carrying values of assets associated with the Company’s consolidated VIEs totaled approximately $100.1 million and $1.7 million, respectively, which amounts consisted primarily of accounts receivable, net of allowance and contract assets. The carrying values of liabilities associated with the Company’s consolidated VIEs totaled approximately $97.9 million and $1.6 million as of September 30, 2024 and December 31, 2023, respectively, which amounts consisted primarily of accounts payable. The Company has not provided, nor is it obligated to provide, any financial support to any of its consolidated VIEs.</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carrying values of the Company’s VIEs that are not consolidated totaled approximately $23 million as of both September 30, 2024 and December 31, 2023, which amounts are recorded within other long-term assets in the consolidated balance sheets. Management believes that the Company’s maximum exposure to loss for its non-consolidated VIEs, inclusive of additional financing commitments, approximated $35 million as of both September 30, 2024 and December 31, 2023.</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both September 30, 2024 and December 31, 2023, the gross carrying amount of the Company’s 4.500% senior notes due August 15, 2028 (the “4.500% Senior Notes”) totaled $600.0 million, and their estimated fair value totaled approximately $589.2 million and $565.2 million for the respective periods. As of September 30, 2024, the gross carrying amount of the Company’s 5.900% senior notes due June 15, 2029 (the “5.900%</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spacing w:after="0" w:line="263" w:lineRule="auto"/>
        <w:rPr>
          <w:sz w:val="20"/>
          <w:szCs w:val="20"/>
          <w:color w:val="auto"/>
        </w:rPr>
      </w:pPr>
      <w:r>
        <w:rPr>
          <w:rFonts w:ascii="Times New Roman" w:cs="Times New Roman" w:eastAsia="Times New Roman" w:hAnsi="Times New Roman"/>
          <w:sz w:val="16"/>
          <w:szCs w:val="16"/>
          <w:color w:val="auto"/>
        </w:rPr>
        <w:t>Senior Notes”) totaled $550.0 million, and their estimated fair value totaled approximately $574.2 million. As of September 30, 2024, the estimated fair values of the Company’s senior notes were determined based on an exit price approach using Level 2 inputs. In the first quarter of 2024, management reevaluated its fair value hierarchy determination for its senior notes to better align with the valuation hierarchy of the fair value guidance, which resulted in an update of the Level determination from Level 1 inputs to Level 2 inputs. The update had no effect on the reported fair values of the related senior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billings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allowance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w:t>
            </w:r>
          </w:p>
        </w:tc>
      </w:tr>
      <w:tr>
        <w:trPr>
          <w:trHeight w:val="239"/>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0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w:t>
            </w:r>
          </w:p>
        </w:tc>
      </w:tr>
    </w:tbl>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Unbilled receivables, which are included in contract assets,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For the nine month period ended September 30, 2024, provisions for credit losses totaled approximately $2.2 million, including certain project-specific reserves, and for the nine month period ended September 30, 2023, provisions for credit losses totaled a recovery of approximately $0.1 million. Impairment losses on contract assets were not material in either period.</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$708.2 million and $481.0 million as of September 30, 2024 and December 31, 2023, respectively, of which deferred revenue comprised approximately $703.2 million and $475.2 million, respectively. The increase in contract liabilities as of September 30, 2024 was driven primarily by ordinary course project activity, including in connection with new project starts within the Company’s Clean Energy and Infrastructure segment. For the nine month periods ended September 30, 2024 and 2023, the Company recognized revenue of approximately $390.3 million and $355.3 million, respectively, related to amounts that were included in deferred revenue as of December 31, 2023 and 2022, respectively, resulting primarily from the advancement of physical progress on the related projects during the respective periods.</w:t>
      </w:r>
    </w:p>
    <w:p>
      <w:pPr>
        <w:spacing w:after="0" w:line="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nine month periods ended September 30, 2024 and 2023, the Company sold approximately $338 million and $50 million, respectively, of receivables under financing arrangements for which it continues to manage collections for the transferred receivable, and, as of September 30, 2024 and December 31, 2023, outstanding sold receivables related thereto totaled approximately $90 million and $64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Transfers and Servicing.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$5.3 million and $3.8 million for the three month periods ended September 30, 2024 and 2023, respectively, and totaled approximately $15.7 million and $11.8 million for the nine month periods ended September 30, 2024 and 2023,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2"/>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6 – Debt</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38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4"/>
                <w:szCs w:val="24"/>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660" w:type="dxa"/>
            <w:vAlign w:val="bottom"/>
            <w:gridSpan w:val="2"/>
            <w:vMerge w:val="continue"/>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loans</w:t>
            </w:r>
          </w:p>
        </w:tc>
        <w:tc>
          <w:tcPr>
            <w:tcW w:w="3720" w:type="dxa"/>
            <w:vAlign w:val="bottom"/>
            <w:gridSpan w:val="3"/>
          </w:tcPr>
          <w:p>
            <w:pPr>
              <w:ind w:left="35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loan</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4.500% Senior Notes</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5.900% Senior Notes</w:t>
            </w:r>
          </w:p>
        </w:tc>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15, 2029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Five-Year Term Loan Facility</w:t>
            </w:r>
          </w:p>
        </w:tc>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7, 2027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Three-Year Term Loan Facility</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October 7, 2025</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3,065.3</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0" w:type="dxa"/>
            <w:vAlign w:val="bottom"/>
          </w:tcPr>
          <w:p>
            <w:pPr>
              <w:spacing w:after="0"/>
              <w:rPr>
                <w:sz w:val="1"/>
                <w:szCs w:val="1"/>
                <w:color w:val="auto"/>
              </w:rPr>
            </w:pPr>
          </w:p>
        </w:tc>
      </w:tr>
      <w:tr>
        <w:trPr>
          <w:trHeight w:val="207"/>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2024 Debt Transactions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On June 10, 2024, the Company completed an offering of $550 million aggregate principal amount of 5.900% Senior Notes. Interest on the 5.900% Senior Notes is payable semiannually in arrears on June 15 and December 15 of each year, beginning on December 15, 2024. The 5.900% Senior Notes are general senior unsecured obligations of the Company, and rank equal in right of payment with all of the Company’s existing and future senior unsecured indebtedness and senior in right of payment to all of the Company’s future subordinated indebtedness. The 5.900% Senior Notes are effectively subordinated to all secured indebtedness of the Company, to the extent of the value of the assets securing such indebtedness, and structurally subordinated to all of the obligations of the subsidiaries of the Company, including trade payables. Financing costs incurred in connection with the issuance of the 5.900% Senior Notes totaled approximately $5.9 million, which will be amortized over the term of the 5.900% Senior Notes using the effective interest method.</w:t>
      </w:r>
    </w:p>
    <w:p>
      <w:pPr>
        <w:spacing w:after="0" w:line="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the option to redeem all or a portion of the 5.900% Senior Notes at the redemption prices specified in the indenture that governs the 5.900% Senior Notes (the “5.900% Senior Notes Indenture”), plus accrued and unpaid interest, if any, to, but excluding, the redemption date. If a change of control triggering event, as defined in the 5.900% Senior Notes Indenture, occurs, each holder of the 5.900% Senior Notes will have the right to require the Company to repurchase all or any portion of such holder’s 5.900% Senior Notes then outstanding at a price equal to 101% of the principal amount of the 5.900% Senior Notes, plus accrued and unpaid interest, if any, to, but excluding, the date of repurchase, subject to the right of holders of 5.900% Senior Notes on the relevant record date to receive interest due on the relevant interest payment date.</w:t>
      </w:r>
    </w:p>
    <w:p>
      <w:pPr>
        <w:spacing w:after="0" w:line="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5.900% Senior Notes Indenture, among other things, generally limits the ability of the Company and certain of its subsidiaries to create liens, enter into sale and leaseback transactions and effect mergers, subject to certain exceptions. The 5.900% Senior Notes Indenture provides for customary events of default, which include, subject, in certain cases, to customary grace and cure periods, among others, nonpayment of principal or interest; breach of other covenants or agreements in the 5.900% Senior Notes Indenture; failure to pay certain other indebtedness; and certain events of bankruptcy or insolvency. Generally, if an event of default occurs and is continuing, the trustee or holders of at least 25% of the 5.900% Senior Notes then outstanding may declare the principal amount, premium, if any, and accrued interest on all of the 5.900% Senior Notes to be immediately due and payable.</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Concurrently with the Company’s offering of the 5.900% Senior Notes, IEA Energy Services LLC (“IEA LLC”), a wholly-owned subsidiary of the Company, launched a tender offer and consent solicitation (the “IEA Tender”) for IEA LLC’s 6.625% senior notes due 2029 (the “6.625% IEA Senior Notes”). The Company used a portion of the proceeds from the 5.900% Senior Notes offering to purchase $203.7 million in aggregate principal amount of 6.625% IEA Senior Notes tendered at a price equal to 100.0% of the principal amount of the 6.625% IEA Senior Notes, plus accrued and unpaid interest to, but excluding, the payment date. In July 2024, subsequent to the IEA Tender, IEA LLC exercised its right under the indenture that governs the 6.625% IEA Senior Notes to redeem the remaining $21.4 million in aggregate principal amount of the 6.625% IEA Senior Notes at a price equal to 95.0% of the principal amount of the 6.625% IEA Senior Notes redeemed, which amount approximated their carrying value, plus accrued and unpaid interest to, but excluding, the redemption date. As of both September 30, 2024 and December 31, 2023, the fair value of the Company’s remaining 6.625% senior notes due August 15, 2029, as estimated based on an exit price approach using Level 2 inputs, approximated their carrying value.</w:t>
      </w:r>
    </w:p>
    <w:p>
      <w:pPr>
        <w:spacing w:after="0" w:line="7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remaining net proceeds from the 5.900% Senior Notes offering were used, along with available cash, for the repayment of the Company’s $400.0 million Three-Year Term Loan Facility. The Company recorded a pre-tax debt extinguishment loss of approximately $11.3 million in the second quarter of 2024 in connection with these transactions, which is separately presented within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Company maintains a $2.25 billion senior unsecured credit facility (the “Credit Facility”), which is composed of $1.9 billion of revolving commitments and a term loan with an original principal amount of $350.0 million (the “Term Loan”). The Term Loan is subject to amortization in quarterly principal installments of approximately $2.2 million, which quarterly installments increase to approximately $4.4 million in March 2025 until maturity. Quarterly principal installments on the Term Loan are subject to adjustment, if applicable, for certain prepayments. As of both September 30, 2024 and December 31, 2023, the fair values of the Credit Facility and Term Loan, as estimated based on an income approach utilizing significant unobservable Level 3 inputs including discount rate assumptions, approximated their carrying values.</w:t>
      </w:r>
    </w:p>
    <w:p>
      <w:pPr>
        <w:spacing w:after="0" w:line="2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Revolving loans accrued interest at weighted average rates of approximately 6.68% and 7.71% per annum as of September 30, 2024 and December 31, 2023, respectively. The Term Loan accrued interest at rates of 6.22% and 7.08% as of September 30, 2024 and December 31, 2023, respectively. Letters of credit of approximately $65.9 million and $64.9 million were issued as of September 30, 2024 and December 31, 2023, respectively. As of September 30, 2024 and December 31, 2023, letter of credit fees accrued at 0.5625% and 0.6875% per annum, respectively, for performance standby letters of credit, and for financial standby letters of credit, accrued at 1.375% and 1.625% per annum, respectively. Outstanding letters of credit mature at various dates and most have automatic renewal provisions, subject to prior notice of cancellation.</w:t>
      </w:r>
    </w:p>
    <w:p>
      <w:pPr>
        <w:spacing w:after="0" w:line="2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color w:val="auto"/>
        </w:rPr>
        <w:t>As of September 30, 2024 and December 31, 2023, availability for revolving loans totaled $1,689.1 million and $1,062.1 million, respectively, or up to $584.1 million and $585.1 million, respectively, for new letters of credit. There were no outstanding revolving borrowings denominated in foreign currencies as of either September 30, 2024 or December 31, 2023. Revolving loan borrowing capacity included $300.0 million of availability in either Canadian dollars or Mexican pesos as of both September 30, 2024 and December 31, 2023. The unused facility fee as of September 30, 2024 and December 31, 2023 accrued at rates of 0.200% and 0.225% per annum, respectively.</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Credit Facilities</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Company has other credit facilities that support the working capital requirements of its foreign operations and certain letter of credit issuances. There were no outstanding borrowings under the Company’s other credit facilities as of either September 30, 2024 or December 31, 2023. Additionally, the Company has a separate credit facility, under which it may issue up to $50.0 million of performance standby letters of credit. As of September 30, 2024 and December 31, 2023, letters of credit issued under this facility totaled $17.4 million and $17.2 million, respectively, which accrued fees at 0.75% and 0.90% per annum, respectively.</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Five-Year Term Loan Facility</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September 30, 2024, the Company had $288.8 million outstanding under an unsecured five-year term loan (the “Five-Year Term Loan”), for which the original principal amount totaled $300.0 million. The Five-Year Term Loan is subject to amortization in quarterly principal installments of approximately $3.75 million, which installments commenced on March 31, 2024 and will increase to $7.5 million on March 31, 2026 until maturity, subject to the application of certain prepayments. As of September 30, 2024 and December 31, 2023, the Five-Year Term Loan accrued interest at rates of 6.25% and 6.96%, respectively. The fair value of the Five-Year Term Loan as of both September 30, 2024 and December 31, 2023, as estimated based on an income approach utilizing significant unobservable Level 3 inputs including discount rate assumptions, approximated its carrying value.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MasTec was in compliance with the provisions and covenants of its outstanding debt instruments as of both September 30, 2024 and December 31, 2023.</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September 30, 2024 and December 31, 2023, accrued interest payable, which is recorded within other accrued expenses in the consolidated balance sheets, totaled $22.2 million and $24.1 million, respectively. For additional information pertaining to the Company’s debt instruments, see Note 7 – Debt in the Company’s 2023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Lease Obligations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for other of its facility, vehicle and equipment needs, including certain related party leases. As of September 30, 2024, the Company’s leases have remaining lease terms of up to 14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September 30, 2024 and December 31, 2023 totaled $694.6 million and $679.9 million, respectively. Assets held under finance leases, net of accumulated depreciation, totaled $453.6 million and $473.3 million as of September 30, 2024 and December 31, 2023, respectively. Depreciation expense associated with finance leases totaled $18.3 million and $26.8 million for the three month periods ended September 30, 2024 and 2023, respectively, and totaled $65.2 million and $79.3 million for the nine month periods ended September 30, 2024 and 2023,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Operating lease additions for the three month periods ended September 30, 2024 and 2023 totaled $20.2 million and $75.1 million, respectively, and for the nine month periods ended September 30, 2024 and 2023, totaled $136.0 million and $198.6 million, respectively. For the three month periods ended September 30, 2024 and 2023, rent expense for leases that have terms in excess of one year totaled approximately $49.3 million and $44.0 million, respectively, of which $4.2 million and $3.9 million, respectively, represented variable lease costs. For the nine month periods ended September 30, 2024 and 2023, rent expense for such leases totaled approximately $146.7 million and $116.7 million, respectively, of which $13.5 million and $11.5 million, respectively, represented variable lease costs. The Company also incurred rent expense for leases with terms of one year or less totaling approximately $138.6 million and $169.9 million for the three month periods ended September 30, 2024 and 2023, respectively, and totaling approximately $399.6 million and $411.7 million for the nine month periods ended September 30, 2024 and 2023, respectively. Rent expense for operating leases is generally consistent with the amount of the related payments, which payments are included within operating activities in the consolidated statements of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7"/>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September 30, 2024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8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 three months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305.9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w:t>
            </w:r>
          </w:p>
        </w:tc>
      </w:tr>
      <w:tr>
        <w:trPr>
          <w:trHeight w:val="207"/>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288.8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w:t>
            </w:r>
          </w:p>
        </w:tc>
      </w:tr>
      <w:tr>
        <w:trPr>
          <w:trHeight w:val="20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149.8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weighted average remaining lease terms and discount rates for finance and non-cancelable operating leases as of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80" w:type="dxa"/>
            <w:vAlign w:val="bottom"/>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(in years):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Stock-Based Compensation and Other Employee Benefit Plans</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In May 2024, MasTec’s shareholders approved the MasTec, Inc. Amended and Restated 2013 Incentive Compensation Plan (the “2013 Incentive Plan”) and the MasTec, Inc. Amended and Restated 2011 Employee Stock Purchase Plan (the “2011 ESPP”), which amendments included the authorization to issue an additional 1,200,000 shares under the 2013 Incentive Plan and 1,000,000 shares under the 2011 ESPP. Under all stock-based compensation plans in effect as of September 30, 2024, there were approximately 4,435,000 shares available for future grants. Non-cash stock-based compensation expense under all plans totaled approximately $7.3 million and $7.2 million for the three month periods ended September 30, 2024 and 2023, respectively, and totaled approximately $24.0 million and $24.3 million for the nine month periods ended September 30, 2024 and 2023, respectively. Income tax benefits associated with stock-based compensation arrangements totaled $1.2 million and $1.1 million for the three month periods ended September 30, 2024 and 2023, respectively. For the nine month periods ended September 30, 2024 and 2023, income tax benefits totaled $4.2 million and $12.9 million, respectively, including net tax shortfalls related to the vesting of share-based payment awards totaling $0.1 million and net tax benefits totaling $8.8 million, respectively.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September 30, 2024, total unearned compensation related to restricted shares was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spacing w:after="0" w:line="272" w:lineRule="auto"/>
        <w:rPr>
          <w:sz w:val="20"/>
          <w:szCs w:val="20"/>
          <w:color w:val="auto"/>
        </w:rPr>
      </w:pPr>
      <w:r>
        <w:rPr>
          <w:rFonts w:ascii="Times New Roman" w:cs="Times New Roman" w:eastAsia="Times New Roman" w:hAnsi="Times New Roman"/>
          <w:sz w:val="16"/>
          <w:szCs w:val="16"/>
          <w:color w:val="auto"/>
        </w:rPr>
        <w:t>approximately $43.8 million, which amount is expected to be recognized over a weighted average period of approximately 1.8 years. The fair value of restricted shares that vested, which is based on the market price on the date of vesting, totaled approximately $0.3 million for both the three month periods ended September 30, 2024 and 2023, and totaled approximately $14.7 million and $78.3 million for the nine month periods ended September 30, 2024 and 2023, respectively.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Weighted</w:t>
            </w:r>
          </w:p>
        </w:tc>
        <w:tc>
          <w:tcPr>
            <w:tcW w:w="0" w:type="dxa"/>
            <w:vAlign w:val="bottom"/>
          </w:tcPr>
          <w:p>
            <w:pPr>
              <w:spacing w:after="0"/>
              <w:rPr>
                <w:sz w:val="1"/>
                <w:szCs w:val="1"/>
                <w:color w:val="auto"/>
              </w:rPr>
            </w:pPr>
          </w:p>
        </w:tc>
      </w:tr>
      <w:tr>
        <w:trPr>
          <w:trHeight w:val="162"/>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560" w:type="dxa"/>
            <w:vAlign w:val="bottom"/>
            <w:gridSpan w:val="2"/>
            <w:vMerge w:val="continue"/>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 Date</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December 31,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91.73</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September 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1,305,715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 restricted stock units as of both September 30, 2024 and December 31,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Equity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share repurchase program provides for the repurchase, from time to time, of MasTec common shares in open market transactions or in privately negotiated transactions in accordance with applicable securities laws. The Company’s share repurchase program does not have an expiration date and may be modified or suspended at any time at the Company’s discretion. There were no share repurchases under the Company’s share repurchase program in any of the three or nine month periods ended September 30, 2024 or 2023. As of September 30, 2024, $77.3 million was available for future share repurchases under the Company’s March 2020 share repurchase program.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Unrealized foreign currency translation activity, net, in each of the three and nine month periods ended September 30, 2024 and 2023 relates primarily to the Company’s activities in Canada and Mexico. Other unrealized activity within accumulated comprehensive loss in each of the three and nine month periods ended September 30, 2024 and 2023 relates to unrealized investment gains or losses associated with interest rate swaps for the Waha JVs.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Income Taxes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September 30, 2024 and 2023, the Company’s consolidated effective tax rates were 23.0% and 33.1%, respectively, and for the nine month periods ended September 30, 2024 and 2023 were 25.8% and 41.4%, respectively. The Company’s effective tax rate for the nine month period ended September 30, 2024 included the effect of a lower state income tax rate partially offset by an increase in non-deductible expenses as compared with the same period in 2023. For the nine month period ended September 30, 2023, the Company’s effective tax rate included a net tax benefit of approximately $8.8 million related to share-based payment awards and a benefit of approximately $6 million related to adjustments from the finalization of the Company’s 2022 tax returns, offset, in part, by an increase in non-deductible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Segments and Related Information</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Clean Energy and Infrastructure; (3) Power Delivery; (4) Oil and Gas and (5) Other. This structure is generally focused on broad end-user markets for the Company’s labor-based construction services. The Company’s reportable segments derive their revenue primarily from the engineering, installation and maintenance of infrastructure, primarily in North America.</w:t>
      </w:r>
    </w:p>
    <w:p>
      <w:pPr>
        <w:spacing w:after="0" w:line="2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including roads, bridges and rail; and environmental remediation services. The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Oil and Gas segment performs engineering, construction, maintenance and other services for pipeline infrastructure, including natural gas, water and carbon capture sequestration pipelines, as well as pipeline integrity and other services for the energy and utilities industries. The Other segment includes certain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spacing w:after="0" w:line="280" w:lineRule="auto"/>
        <w:rPr>
          <w:sz w:val="20"/>
          <w:szCs w:val="20"/>
          <w:color w:val="auto"/>
        </w:rPr>
      </w:pPr>
      <w:r>
        <w:rPr>
          <w:rFonts w:ascii="Times New Roman" w:cs="Times New Roman" w:eastAsia="Times New Roman" w:hAnsi="Times New Roman"/>
          <w:sz w:val="16"/>
          <w:szCs w:val="16"/>
          <w:color w:val="auto"/>
        </w:rPr>
        <w:t>equity investees, the services of which may vary from those provided by the Company’s primary segments, as well as other small business units with activities in certain international end-markets.</w:t>
      </w:r>
    </w:p>
    <w:p>
      <w:pPr>
        <w:spacing w:after="0" w:line="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EBITDA is the measure of profitability used by management to manage its segments and, accordingly, in its segment reporting. As appropriate, the Company supplements the reporting of its consolidated financial information determined in accordance with U.S. GAAP with certain additional financial measures, including EBITDA. The Company believes these additional financial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or underlying, operating results for its reportable segments, as well as items that can vary widely across different industries or among companies within the same industry. Management also uses these additional financial measures, including EBITDA, to allocate resources. Segment EBITDA is calculated in a manner consistent with consolidated EBITDA.</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Communications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2,894.5</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1,270.6</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8,715.9</w:t>
            </w:r>
          </w:p>
        </w:tc>
      </w:tr>
    </w:tbl>
    <w:p>
      <w:pPr>
        <w:spacing w:after="0" w:line="153" w:lineRule="exact"/>
        <w:rPr>
          <w:sz w:val="20"/>
          <w:szCs w:val="20"/>
          <w:color w:val="auto"/>
        </w:rPr>
      </w:pPr>
    </w:p>
    <w:p>
      <w:pPr>
        <w:ind w:left="340" w:hanging="332"/>
        <w:spacing w:after="0" w:line="302" w:lineRule="auto"/>
        <w:tabs>
          <w:tab w:leader="none" w:pos="35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23.0% and 25.0% of Communications segment revenue for the three month periods ended September 30, 2024 and 2023, respectively, and represented 25.1% and 24.1% for the nine month periods ended September 30, 2024 and 2023, respectively.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5"/>
                <w:szCs w:val="15"/>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w:t>
            </w: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the nine month period ended September 30, 2024, Corporate EBITDA included a loss on debt extinguishment of $11.3 million. For the three month period ended September 30, 2023, Communications, Clean Energy and Infrastructure and Power Delivery EBITDA included $4.8 million, $15.3 million and $0.5 million, respectively, of acquisition and integration costs related to certain acquisitions, and Corporate EBITDA included $0.5 million of such costs, and, for the nine month period ended September 30, 2023, $18.3 million, $36.9 million, $2.5 million and $3.2 million of such costs were included in EBITDA of the segments and Corporate,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(82.7)</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174.7</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289.8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325.3</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126.3</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EBITDA</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175.8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121.2</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871.4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664.7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6"/>
                <w:szCs w:val="16"/>
                <w:color w:val="auto"/>
              </w:rPr>
            </w:pPr>
          </w:p>
        </w:tc>
        <w:tc>
          <w:tcPr>
            <w:tcW w:w="21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1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w:t>
            </w: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0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2,332.2</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2,978.8</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Operations and Other. </w:t>
      </w:r>
      <w:r>
        <w:rPr>
          <w:rFonts w:ascii="Times New Roman" w:cs="Times New Roman" w:eastAsia="Times New Roman" w:hAnsi="Times New Roman"/>
          <w:sz w:val="16"/>
          <w:szCs w:val="16"/>
          <w:color w:val="auto"/>
        </w:rPr>
        <w:t>MasTec operates primarily within the United States and Canada, and, to a far lesser extent, the Caribbean, India and Mexico.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derived from foreign operations totaled $20.0 million and $18.8 million for the three month periods ended September 30, 2024 and 2023, respectively, and totaled $70.9 million and $68.4 million for the nine month periods ended September 30, 2024 and 2023, respectively. Revenue from foreign operations was derived primarily from the Company’s Canadian operations in its Oil and Gas segment. As of September 30, 2024 and December 31, 2023, long-lived assets held by the Company’s businesses in foreign countries included property and equipment, net, of $14.7 million and $17.5 million, respectively, and intangible assets and goodwill, net, of $29.3 million and $32.6 million, for the respective periods. Substantially all of the Company’s long-lived and intangible assets and goodwill in foreign countries relate to its Canadian operations. Revenue from governmental entities for the three month periods ended September 30, 2024 and 2023 totaled approximately 14% and 12% of total revenue, respectively, and for the nine month periods ended September 30, 2024 and 2023, totaled approximately 13% and 11% of total revenue, respectively, substantially all of which was derived from its U.S. operations.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Significant Customers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No customer represented greater than 10% of the Company’s total consolidated revenue in either of the three or nine month periods ended September 30, 2024 or the nine month period ended September 30, 2023. For the three month period ended September 30, 2023, Equitrans Midstream Corporation represented 11% of the Company’s total consolidated revenue. The Company's relationship with Equitrans Midstream Corporation and its affiliates is based upon various construction contracts for pipeline activities, for which the related revenue is included within the Oil and Gas segment.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Commitments and Contingencies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Acquired Legacy Solar Matter</w:t>
      </w:r>
    </w:p>
    <w:p>
      <w:pPr>
        <w:spacing w:after="0" w:line="13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See Note 14 – Commitments and Contingencies contained within the Company’s audited consolidated financial statements filed with its 2023 Form 10-K for additional information regarding the acquired legacy solar matter, as to which there have been no material developments since the filing of such Form 10-K.</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Leases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certain related party leases. See Note 7 – Lease Obligations and Note 13 – Related Party Transactions.</w:t>
      </w:r>
    </w:p>
    <w:p>
      <w:pPr>
        <w:spacing w:after="0" w:line="4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1" w:name="page22"/>
    <w:bookmarkEnd w:id="21"/>
    <w:p>
      <w:pPr>
        <w:jc w:val="both"/>
        <w:spacing w:after="0" w:line="263" w:lineRule="auto"/>
        <w:rPr>
          <w:sz w:val="20"/>
          <w:szCs w:val="20"/>
          <w:color w:val="auto"/>
        </w:rPr>
      </w:pPr>
      <w:r>
        <w:rPr>
          <w:rFonts w:ascii="Times New Roman" w:cs="Times New Roman" w:eastAsia="Times New Roman" w:hAnsi="Times New Roman"/>
          <w:sz w:val="16"/>
          <w:szCs w:val="16"/>
          <w:color w:val="auto"/>
        </w:rPr>
        <w:t>this were to occur, the Company would be required to reimburse the issuer of the letter of credit, which, depending upon the circumstances, could result in a charge to earnings. As of September 30, 2024 and December 31, 2023, there were $83.3 million and $82.1 million, respectively, of letters of credit issued under the Company’s credit facilities. Letter of credit claims have historically not been material. The Company is not aware of any material claims relating to its outstanding letters of credit as of September 30, 2024 or December 31, 2023.</w:t>
      </w:r>
    </w:p>
    <w:p>
      <w:pPr>
        <w:spacing w:after="0" w:line="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September 30, 2024 and December 31, 2023, outstanding performance and payment bonds approximated $7.2 billion and $5.6 billion, respectively, and estimated costs to complete projects secured by these bonds totaled $2.2 billion and $1.6 billion, respectively. Included in these balances as of September 30, 2024 and December 31, 2023 are $826.3 million and $368.3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five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2024, the Company was not aware of material future claims against it in connection with these arrangements. Included in the Company’s cash balances as of September 30, 2024 and December 31, 2023 are amounts held by entities that are proportionately consolidated totaling $59.4 million and $38.1 million, respectively. These amounts are available to support the operations of those entities, but are not available for the Company’s other operations.</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other investment and strategic arrangements, under which it may incur costs or provide financing, performance, financial and/or other guarantees. See Note 4 – Fair Value of Financial Instruments and Note 13 – Related Party Transactions for additional information pertaining to the Company’s investment and strategic arrangements.</w:t>
      </w:r>
    </w:p>
    <w:p>
      <w:pPr>
        <w:spacing w:after="0" w:line="5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Self-Insurance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$2.1 million and $1.2 million as of September 30, 2024 and December 31, 2023, respectively, which amounts are generally not available for use in the Company’s other operations.</w:t>
      </w:r>
    </w:p>
    <w:p>
      <w:pPr>
        <w:spacing w:after="0" w:line="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MasTec’s estimated liability for unpaid claims and associated expenses, including incurred but not reported losses related to these policies, totaled $234.8 million and $209.7 million as of September 30, 2024 and December 31, 2023, respectively, of which $162.7 million and $141.0 million was reflected within other long-term liabilities in the consolidated balance sheets for the respective periods. MasTec also maintains an insurance policy with respect to employee group medical claims, which is subject to annual per employee maximum losses. MasTec’s estimated liability for employee group medical claims totaled $4.4 million and $4.1 million as of September 30, 2024 and December 31, 2023, respectively.</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$8.8 million and $9.6 million as of September 30, 2024 and December 31, 2023, respectively. Outstanding surety bonds related to self-insurance programs amounted to $198.9 million and $192.7 million as of September 30, 2024 and December 31, 2023, respectively.</w:t>
      </w:r>
    </w:p>
    <w:p>
      <w:pPr>
        <w:spacing w:after="0" w:line="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both September 30, 2024 and December 31, 2023, the Company had accrued project close-out liabilities of approximately $20 million. The Company is not aware of any other material asserted or unasserted claims in connection with its potential indemnity obligations.</w:t>
      </w:r>
    </w:p>
    <w:p>
      <w:pPr>
        <w:spacing w:after="0" w:line="2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Concentrations of Risk. </w:t>
      </w:r>
      <w:r>
        <w:rPr>
          <w:rFonts w:ascii="Times New Roman" w:cs="Times New Roman" w:eastAsia="Times New Roman" w:hAnsi="Times New Roman"/>
          <w:sz w:val="16"/>
          <w:szCs w:val="16"/>
          <w:color w:val="auto"/>
        </w:rPr>
        <w:t>The Company had approximately 1,135 customers for the nine month period ended September 30, 2024. As of September 30, 2024, no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customer represented greater than 10% of the Company’s consolidated net accounts receivable position, which is calculated as accounts receivable, net, less deferred revenue. As of December 31, 2023, one customer accounted for approximately 10% of the Company’s consolidated net accounts receivable position. The Company derived approximately 34% and 40% of its revenue from its top ten customers for the three month periods ended September 30, 2024 and 2023, respectively, and derived approximately 37% of such revenue for both the nine month periods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Note 13 – Related Party Transactions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September 30, 2024 and 2023, such payments to related party entities totaled approximately $6.8 million and $7.1 million, respectively, and for the nine month periods ended September 30, 2024 and 2023, such payments totaled approximately $25.4 million and $33.9 million, respectively. Payables associated with such arrangements totaled approximately $1.7 million and $2.7 million as of September 30, 2024 and December 31, 2023, respectively. Revenue from such related party arrangements totaled approximately $5.4 million and $3.5 million for the three month periods ended September 30, 2024 and 2023, respectively, and totaled approximately $14.0 million and $10.9 million for the nine month periods ended September 30, 2024 and 2023, respectively. As of September 30, 2024, accounts receivable, net, less deferred revenue related to these arrangements totaled a receivable of approximately $3.0 million, and as of December 31, 2023, totaled a liability of approximately $0.4 million.</w:t>
      </w:r>
    </w:p>
    <w:p>
      <w:pPr>
        <w:spacing w:after="0" w:line="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For the three month periods ended September 30, 2024 and 2023, MasTec paid CCI approximately $2.2 million and $1.2 million, respectively, and for the nine month periods ended September 30, 2024 and 2023, MasTec paid approximately $10.8 million and $2.5 million, respectively, for such equipment, supply and servicing expenses. Amounts payable to CCI totaled approximately $0.6 million and $4.6 million as of September 30, 2024 and December 31, 2023, respectively. The Company also rents equipment to CCI. For the three and nine month periods ended September 30, 2024, revenue from such equipment rentals to CCI totaled approximately $0.1 million and $0.3 million, respectively, and for both the three and nine month periods ended September 30, 2023, there was no revenue from such arrangements. As of September 30, 2024, related amounts receivable were de minimis, and as of December 31, 2023, there were no amounts outstanding.</w:t>
      </w:r>
    </w:p>
    <w:p>
      <w:pPr>
        <w:spacing w:after="0" w:line="2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and nine month periods ended September 30, 2024, MasTec incurred subcontracting expenses in connection with this arrangement of approximately $0.9 million and $5.8 million, respectively, and for the three and nine month periods ended September 30, 2023, subcontracting expenses totaled approximately $2.7 million and $3.1 million, respectively. Related amounts payable totaled approximately $0.5 million and $3.1 million as of September 30, 2024 and December 31, 2023, respectively.</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an aircraft leasing arrangement with an entity that is owned by Jorge Mas, under which a new leasing agreement was entered into in December of 2023. For the three month periods ended September 30, 2024 and 2023, payments related to this leasing arrangement totaled approximately $1.6 million and $0.7 million, respectively, and for the nine month periods ended September 30, 2024 and 2023, payments totaled approximately $4.5 million and $2.0 million, respectively. As of September 30, 2024, there were no amounts payable related to this arrangement, and as of December 31, 2023, related amounts payable totaled approximately $0.2 million.</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performs construction services on behalf of a professional Miami soccer franchise (the “Franchise”) in which Jorge Mas and José R. Mas are majority owners. Construction services include, and have included, the construction of a soccer facility and stadium as well as wireless infrastructure services. In the third quarter of 2023, construction services related to site preparation for a new soccer complex began. For the three month periods ended September 30, 2024 and 2023, revenue under these arrangements totaled approximately $5.0 million and $4.6 million, respectively, and totaled approximately $13.7 million and $4.8 million for the nine month periods ended September 30, 2024 and 2023, respectively. As of September 30, 2024 and December 31, 2023, amounts receivable related to these arrangements totaled approximately $4.3 million and $4.1 million, respectively. Payments for other expenses related to the Franchise totaled approximately $0.2 million and $0.3 million for the three month periods ended September 30, 2024 and 2023, respectively, and for the nine month periods ended September 30, 2024 and 2023, totaled approximately $0.8 million and $0.9 million, respectively. There were no amounts payable as of either September 30, 2024 or December 31, 2023.</w:t>
      </w:r>
    </w:p>
    <w:p>
      <w:pPr>
        <w:spacing w:after="0" w:line="78"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MasTec has a subcontracting arrangement to perform construction services for an entity, in which José R. Mas previously held a minority interest. On January 1, 2024, MasTec acquired José R. Mas’ interest in this entity for approximately $0.7 million.</w:t>
      </w:r>
    </w:p>
    <w:p>
      <w:pPr>
        <w:spacing w:after="0" w:line="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From time to time, the Company pays amounts on behalf of or to the former owners of acquired businesses, which, under the provisions of the related purchase agreements, the former owners are obligated to repay. For the three month period ended September 30, 2024, the Company made no payments under these arrangements, and for the nine month period ended September 30, 2024, such payments totaled approximately $0.3 million. The Company paid approximately $0.1 million and $0.2 million of such amounts for the three and nine month periods ended September 30, 2023, respectively. Amounts receivable for such payments, which are expected to be settled under customary terms associated with the related purchase agreements, totaled approximately $0.2 million and $2.6 million as of September 30, 2024 and December 31, 2023, respectively. Additionally, the Company has certain arrangements with an entity in which members of management have an ownership interest, including a fee arrangement in conjunction with a $15.0 million letter of credit issued by the Company on behalf of this entity. Income recognized in connection with these arrangements totaled approximately $0.3 million and $0.2 million for the three month periods ended September 30, 2024 and 2023, respectively, and totaled approximately $0.6 million for both the nine month periods ended September 30, 2024 and 2023. As of September 30, 2024 and December 31, 2023, related amounts receivable totaled approximately $0.6 million and $0.4 million, respectively.</w:t>
      </w:r>
    </w:p>
    <w:p>
      <w:pPr>
        <w:spacing w:after="0" w:line="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primarily in the Company’s Oil and Gas segment, including the ownership interests in two entities that the Company acquired in the second quarter of 2023, of which it sold certain minority interests to members of management of a MasTec subsidiary for $7.1 million of notes receivable in the fourth quarter of 2023. These notes, which bear interest at a rate of 5.0% per annum, and of which $4.1 million and $6.9 million was outstanding as of September 30, 2024 and December 31, 2023, respectively, are recorded within other current or long-term assets, as appropriate, in the consolidated balance sheets. For the three month period ended September 30, 2024, the amount of interest income recognized by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3" w:name="page24"/>
    <w:bookmarkEnd w:id="23"/>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related to these notes was de minimis. For the nine month period ended September 30, 2024, the Company recognized interest income related to these notes of $0.2 million. Additionally, in the first quarter of 2023, the Company acquired the remaining 15% equity interests in one of its subsidiaries, which interests were previously accounted for as non-controlling interests, from two members of subsidiary management for $10.0 million in cash, plus 120,000 shares of MasTec common stock, valued at approximately $11.6 million.</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Split Dollar Agreements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split dollar life insurance agreements with trusts, for one of which Jorge Mas is a trustee, and for the other of which José R. Mas is a trustee. For the nine month periods ended September 30, 2024 and 2023, the Company paid approximately $0.4 million, net, and $1.4 million, respectively, in connection with these agreements. As of September 30, 2024 and December 31, 2023, life insurance assets associated with these agreements totaled approximately $27.5 million and $27.2 million, respectively.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spacing w:after="0" w:line="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These risks and uncertainties include those described in “Management’s Discussion and Analysis of Financial Condition and Results of Operations,” and elsewhere in this report and in our 2023 Annual Report on Form 10-K (“2023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9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is a discussion and analysis of our business, financial condition and results of operations for the quarterly period ended September 30, 2024 and relevant prior periods.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2023 Form 10-K. In this MD&amp;A, “$” means U.S. dollars unless specified otherwise.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Market and Regulatory Conditions</w:t>
      </w:r>
    </w:p>
    <w:p>
      <w:pPr>
        <w:spacing w:after="0" w:line="1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have experienced, and may continue to experience, direct and indirect negative effects on our business and operations from economic, market and regulatory conditions. While the Federal Reserve decreased the Federal Funds rate to a range of 4.75% to 5.00% effective September 19, 2024, there continues to be uncertainty in the changing market and economic conditions, including the possibility of additional measures that could be taken by the Federal Reserve and other government agencies related to the overall macroeconomic environment. We expect the remainder of 2024 to continue to be a dynamic macroeconomic environment, with elevated market interest rates and continuing levels of cost inflation and potential market volatility, any or all of which could adversely affect our costs and customer demand. We will continue to monitor the market and economic conditions. The extent to which general economic, market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2023 Form 10-K.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approximately 95 years. For the twelve month period ended September 30, 2024, we had an average of approximately 33,000 employees and 800 locations. We offer our services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other service marks and we are ranked among the top five contractors within Engineering News-Record’s Top 400 Contractors.</w:t>
      </w:r>
    </w:p>
    <w:p>
      <w:pPr>
        <w:spacing w:after="0" w:line="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provide our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Clean Energy and Infrastructure; (3) Power Delivery; (4) Oil and Gas; and (5) Other. This structure is generally focused on broad end-user markets for our labor-based construction services. See Note 11 – Segments and Related Information and Note 12 – Commitments and Contingencies in the notes to the consolidated financial statements, which are incorporated by reference, for additional information regarding our segment reporting and significant customer concentrations.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25% of our estimated September 30, 2024 backlog in 2024. The following table presents 18-month estimated backlog by reportable segment as of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66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September 30, 2024, 54%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September 30, 2024, total 18-month backlog differed from the amount of our remaining performance obligations due primarily to the inclusion of $7.4 billion of estimated future revenue under master service and other service agreements within our backlog estimates, as described above, and the exclusion of approximately $3.0 billion of remaining performance obligations and estimated future revenue under master service and other service agreements in excess of 18 months, which amount is not included in the backlog estimates above. Backlog expected to be realized in 2024 differs from the amount of remaining performance obligations expected to be recognized for the same period due primarily to the inclusion of approximately $0.8 billion of estimated future revenue under master service and other service agreements included within our backlog estimate, which is not included within our remaining performance obligations for the same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closely monitor the effects of changes in economic, industry and market conditions on our customers,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2023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2023 Form 10-K.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2023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w:t>
      </w:r>
    </w:p>
    <w:p>
      <w:pPr>
        <w:spacing w:after="0" w:line="27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In connection with the restructuring in the first quarter of 2024 of the reporting units in the Power Delivery segment, management performed a quantitative assessment of the goodwill associated with each of the five reporting units of the Power Delivery operating segment. For</w:t>
      </w:r>
    </w:p>
    <w:p>
      <w:pPr>
        <w:sectPr>
          <w:pgSz w:w="11900" w:h="16838" w:orient="portrait"/>
          <w:cols w:equalWidth="0" w:num="1">
            <w:col w:w="11240"/>
          </w:cols>
          <w:pgMar w:left="320" w:top="10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type w:val="continuous"/>
        </w:sectPr>
      </w:pPr>
    </w:p>
    <w:bookmarkStart w:id="26" w:name="page27"/>
    <w:bookmarkEnd w:id="26"/>
    <w:p>
      <w:pPr>
        <w:jc w:val="both"/>
        <w:spacing w:after="0" w:line="280" w:lineRule="auto"/>
        <w:rPr>
          <w:sz w:val="20"/>
          <w:szCs w:val="20"/>
          <w:color w:val="auto"/>
        </w:rPr>
      </w:pPr>
      <w:r>
        <w:rPr>
          <w:rFonts w:ascii="Times New Roman" w:cs="Times New Roman" w:eastAsia="Times New Roman" w:hAnsi="Times New Roman"/>
          <w:sz w:val="16"/>
          <w:szCs w:val="16"/>
          <w:color w:val="auto"/>
        </w:rPr>
        <w:t>additional details of the restructuring and the related assessment, refer to Note 3 – Acquisitions, Goodwill and Other Intangible Assets, Net, in the notes to the consolidated financial statements, which is incorporated by reference.</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Based on the Company’s experience with the duration over which certain machinery and equipment can be utilized, the Company completed a review of the estimated useful lives of certain machinery and equipment during the third quarter of 2024, which resulted in a net increase in the estimated useful lives of such machinery and equipment. For additional details of the change in accounting estimate, including the net reduction in depreciation expense, refer to Note 1 – Business, Basis of Presentation and Significant Accounting Policies in the notes to the consolidated financial statements, which is incorporated by reference.</w:t>
      </w:r>
    </w:p>
    <w:p>
      <w:pPr>
        <w:spacing w:after="0" w:line="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Other than the update to the reporting unit structure of the Power Delivery operating segment and the change in the estimated useful lives of certain machinery and equipment, as described above, there were no material changes in our critical accounting estimates or policies during the nine month period ended September 30,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Comparison of Quarterly Results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our discussions, “acquisition” results are defined as results from acquired businesses for the first twelve months following the dates of the respective acquisitions, with the balance of results for a particular item attributed to “organic” activity.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640" w:type="dxa"/>
            <w:vAlign w:val="bottom"/>
          </w:tcPr>
          <w:p>
            <w:pPr>
              <w:spacing w:after="0"/>
              <w:rPr>
                <w:sz w:val="16"/>
                <w:szCs w:val="16"/>
                <w:color w:val="auto"/>
              </w:rPr>
            </w:pPr>
          </w:p>
        </w:tc>
      </w:tr>
      <w:tr>
        <w:trPr>
          <w:trHeight w:val="214"/>
        </w:trPr>
        <w:tc>
          <w:tcPr>
            <w:tcW w:w="3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640" w:type="dxa"/>
            <w:vAlign w:val="bottom"/>
            <w:tcBorders>
              <w:bottom w:val="single" w:sz="8" w:color="auto"/>
            </w:tcBorders>
          </w:tcPr>
          <w:p>
            <w:pPr>
              <w:spacing w:after="0"/>
              <w:rPr>
                <w:sz w:val="18"/>
                <w:szCs w:val="18"/>
                <w:color w:val="auto"/>
              </w:rPr>
            </w:pPr>
          </w:p>
        </w:tc>
      </w:tr>
      <w:tr>
        <w:trPr>
          <w:trHeight w:val="210"/>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1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88.4 %</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8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6"/>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07"/>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7"/>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854"/>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21"/>
        </w:trPr>
        <w:tc>
          <w:tcPr>
            <w:tcW w:w="3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11 – Segments and Related Information in the notes to the consolidated financial statements, which is incorporated by reference. Our reportable segments are: (1) Communications; (2) Clean Energy and Infrastructure; (3) Power Delivery; (4) Oil and Gas; and (5) Other. Management’s review of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The following table presents revenue, EBITDA and EBITDA margin by segment for the periods indicated (dollar amounts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0"/>
          </w:tcPr>
          <w:p>
            <w:pPr>
              <w:ind w:left="30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1760" w:type="dxa"/>
            <w:vAlign w:val="bottom"/>
            <w:gridSpan w:val="6"/>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180" w:type="dxa"/>
            <w:vAlign w:val="bottom"/>
          </w:tcPr>
          <w:p>
            <w:pPr>
              <w:spacing w:after="0"/>
              <w:rPr>
                <w:sz w:val="13"/>
                <w:szCs w:val="13"/>
                <w:color w:val="auto"/>
              </w:rPr>
            </w:pPr>
          </w:p>
        </w:tc>
        <w:tc>
          <w:tcPr>
            <w:tcW w:w="1500" w:type="dxa"/>
            <w:vAlign w:val="bottom"/>
            <w:gridSpan w:val="4"/>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For the Nine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left="339"/>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Months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8"/>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ind w:left="320"/>
              <w:spacing w:after="0" w:line="213" w:lineRule="exact"/>
              <w:rPr>
                <w:sz w:val="20"/>
                <w:szCs w:val="20"/>
                <w:color w:val="auto"/>
              </w:rPr>
            </w:pPr>
            <w:r>
              <w:rPr>
                <w:rFonts w:ascii="Times New Roman" w:cs="Times New Roman" w:eastAsia="Times New Roman" w:hAnsi="Times New Roman"/>
                <w:sz w:val="16"/>
                <w:szCs w:val="16"/>
                <w:b w:val="1"/>
                <w:bCs w:val="1"/>
                <w:color w:val="auto"/>
                <w:w w:val="91"/>
              </w:rPr>
              <w:t xml:space="preserve">2023 </w:t>
            </w:r>
            <w:r>
              <w:rPr>
                <w:rFonts w:ascii="Times New Roman" w:cs="Times New Roman" w:eastAsia="Times New Roman" w:hAnsi="Times New Roman"/>
                <w:sz w:val="21"/>
                <w:szCs w:val="21"/>
                <w:b w:val="1"/>
                <w:bCs w:val="1"/>
                <w:color w:val="auto"/>
                <w:w w:val="91"/>
                <w:vertAlign w:val="superscript"/>
              </w:rPr>
              <w:t>(a)</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ind w:left="360"/>
              <w:spacing w:after="0" w:line="213" w:lineRule="exact"/>
              <w:rPr>
                <w:sz w:val="20"/>
                <w:szCs w:val="20"/>
                <w:color w:val="auto"/>
              </w:rPr>
            </w:pPr>
            <w:r>
              <w:rPr>
                <w:rFonts w:ascii="Times New Roman" w:cs="Times New Roman" w:eastAsia="Times New Roman" w:hAnsi="Times New Roman"/>
                <w:sz w:val="16"/>
                <w:szCs w:val="16"/>
                <w:b w:val="1"/>
                <w:bCs w:val="1"/>
                <w:color w:val="auto"/>
                <w:w w:val="91"/>
              </w:rPr>
              <w:t xml:space="preserve">2023 </w:t>
            </w:r>
            <w:r>
              <w:rPr>
                <w:rFonts w:ascii="Times New Roman" w:cs="Times New Roman" w:eastAsia="Times New Roman" w:hAnsi="Times New Roman"/>
                <w:sz w:val="21"/>
                <w:szCs w:val="21"/>
                <w:b w:val="1"/>
                <w:bCs w:val="1"/>
                <w:color w:val="auto"/>
                <w:w w:val="91"/>
                <w:vertAlign w:val="superscript"/>
              </w:rPr>
              <w:t>(a)</w:t>
            </w:r>
          </w:p>
        </w:tc>
        <w:tc>
          <w:tcPr>
            <w:tcW w:w="4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Clean Energy and</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1,138.4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Infrastructure</w:t>
            </w: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14.9 %</w:t>
            </w: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55" w:lineRule="exact"/>
        <w:rPr>
          <w:sz w:val="20"/>
          <w:szCs w:val="20"/>
          <w:color w:val="auto"/>
        </w:rPr>
      </w:pPr>
    </w:p>
    <w:p>
      <w:pPr>
        <w:jc w:val="both"/>
        <w:ind w:left="340" w:hanging="332"/>
        <w:spacing w:after="0" w:line="275" w:lineRule="auto"/>
        <w:tabs>
          <w:tab w:leader="none" w:pos="42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 period ended September 30, 2023, Communications, Clean Energy and Infrastructure and Power Delivery EBITDA included $4.8 million, $15.3 million and $0.5 million, respectively, of acquisition and integration costs related to certain acquisitions, and Corporate EBITDA included $0.5 million of such costs, and, for the nine month period ended September 30, 2023, $18.3 million, $36.9 million, $2.5 million and $3.2 million of such costs were included in EBITDA of the segments and Corporate, respectively. These acquisition and integration activities were completed in the fourth quarter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 Compared to Three Months Ended September 30, 2023</w:t>
      </w:r>
    </w:p>
    <w:p>
      <w:pPr>
        <w:spacing w:after="0" w:line="16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 period ended September 30, 2024, consolidated revenue totaled $3,252 million as compared with $3,257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2023, a decrease of approximately $5 million. Revenue in our Oil and Gas segment decreased by approximately $174 million, or 26%, whereas revenue increased in our Communications segment by approximately $103 million, or 12%, in our Power Delivery segment by approximately $47 million, or 7%, and in our Clean Energy and Infrastructure segment by approximately $39 million, or 4%. See below for details of revenue by segment.</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$927 million for the three month period ended September 30, 2024 as compared with $824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2023, an increase of $103 million, or 12%. The increase in revenue was driven primarily by higher levels of wireless, wireline and utility project activity. These increases were offset, in part, by a decrease in our install-to-the-home activities due, in part, to changes in consumer behavior resulting in lower demand.</w:t>
      </w:r>
    </w:p>
    <w:p>
      <w:pPr>
        <w:spacing w:after="0" w:line="7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$1,138 million for the three month period ended September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$1,100 million for the same period in 2023, an increase of $39 million, or 4%, due primarily to higher levels of heavy civil project activity and certain industrial and other infrastructure project work, offset, in part, by lower levels of renewable work, due to various factors affecting timing of project work.</w:t>
      </w:r>
    </w:p>
    <w:p>
      <w:pPr>
        <w:spacing w:after="0" w:line="5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Power Delivery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Delivery revenue was $713 million for the three month period ended September 30, 2024, as compared with $665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2023, an increase of $47 million, or 7%. Acquisitions contributed $11 million of revenue for the three month period ended September 30, 2024, and organic revenue increased by approximately $37 million, as compared with the same period in 2023, due primarily to higher levels of project activity, including for transmission and substation-related project work, offset, in part, by a decrease in distribution-related project work, primarily due to regulatory effects.</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$498 million for the three month period ended September 30, 2024, as compared with $672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2023, a decrease of $174 million, or 26%, due primarily to lower levels of project activity, including from large-diameter project activity and pipeline integrity services, offset, in part, by an increase in midstream project activity due to improved market conditions.</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decreased by approximately $68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 to $2,789 million for the three month period ended September 30, 2024 from $2,857 million for the same period in 2023. Lower levels of revenue contributed a decrease of $4 million in costs of revenue, excluding depreciation and amortization, and improved productivity resulted in a decrease of approximately $64 million. Costs of revenue, excluding depreciation and amortization, as a percentage of revenue decreased by approximately 200 basis points to 85.8% of revenue for the three month period ended September 30, 2024 from 87.7% of revenue for the same period in 2023. The basis point decrease was due to a combination of improved project efficiencies and project mix, primarily within our Oil and Gas and Clean Energy and Infrastructure segments, and the positive effects of certain project close-outs, offset, in part, by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jc w:val="both"/>
        <w:spacing w:after="0" w:line="280" w:lineRule="auto"/>
        <w:rPr>
          <w:sz w:val="20"/>
          <w:szCs w:val="20"/>
          <w:color w:val="auto"/>
        </w:rPr>
      </w:pPr>
      <w:r>
        <w:rPr>
          <w:rFonts w:ascii="Times New Roman" w:cs="Times New Roman" w:eastAsia="Times New Roman" w:hAnsi="Times New Roman"/>
          <w:sz w:val="16"/>
          <w:szCs w:val="16"/>
          <w:color w:val="auto"/>
        </w:rPr>
        <w:t>effects of certain overhead costs incurred to maintain operating capacity in support of expected future project work. See “Analysis of EBITDA by Segment” below for discussion of operating capacity effects by segment.</w:t>
      </w:r>
    </w:p>
    <w:p>
      <w:pPr>
        <w:spacing w:after="0" w:line="6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$80 million, or 2.5% of revenue, for the three month period ended September 30, 2024, as compared with $115 million, or 3.5%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for the same period in 2023, a decrease of approximately $35 million, or 30%. As a percentage of revenue, depreciation decreased by approximately 110 basis points, due primarily to a net reduction of approximately $18 million related to a change in the depreciable lives of certain machinery and equipment to better align the respective assets’ lives with their expected useful lives, and, in part, from lower levels of property and equipment, net.</w:t>
      </w:r>
    </w:p>
    <w:p>
      <w:pPr>
        <w:spacing w:after="0" w:line="6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$34 million, or 1.1% of revenue, for the three month period ended September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$42 million, or 1.3% of revenue, for the same period in 2023, a decrease of approximately $8 million, or 19%, due to a combination of the effects of timing of amortization for certain assets and the completion of amortization for certain intangible assets associated with prior year acquisitions. As a percentage of revenue, amortization of intangible assets decreased by approximately 20 basis points as compared with the same period in 2023.</w:t>
      </w:r>
    </w:p>
    <w:p>
      <w:pPr>
        <w:spacing w:after="0" w:line="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totaled $169 million, or 5.2% of revenue, for the three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as compared with $181 million, or 5.5% of revenue, for the same period in 2023, a decrease of approximately $12 million, or 7%. The decrease in general and administrative expenses was primarily due to a reduction of $18 million in acquisition and integration costs, an increase in gains on sales of assets, net, and a decrease in various administrative costs, including information technology expenses, offset, in part, by an increase in compensation expense and the effects of timing of ordinary course legal matters. Overall, general and administrative expenses decreased by approximately 40 basis points as a percentage of revenue for the three month period ended September 30, 2024 as compared with the same period in 2023.</w:t>
      </w:r>
    </w:p>
    <w:p>
      <w:pPr>
        <w:spacing w:after="0" w:line="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approximately $47 million, or 1.4% of revenue, for the three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as compared with approximately $63 million, or 1.9% of revenue, for the same period in 2023, a decrease of approximately $16 million, or 25%. The decrease in interest expense, net, was primarily due to a reduction in our variable rate debt outstanding under our credit facility and term loans, offset, in part, by an increase in interest expense from our 5.900% Senior Notes and accounts receivable financing arrangements.</w:t>
      </w:r>
    </w:p>
    <w:p>
      <w:pPr>
        <w:spacing w:after="0" w:line="7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Equity in earnings or losses of unconsolidated affiliates includes our share of income or losses from equity method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For both the three month periods ended September 30, 2024 and 2023, equity in earnings from unconsolidated affiliates, net, totaled approximately $7 million, and related primarily to our investments in the Waha JVs.</w:t>
      </w:r>
    </w:p>
    <w:p>
      <w:pPr>
        <w:spacing w:after="0" w:line="5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expense (income), net. </w:t>
      </w:r>
      <w:r>
        <w:rPr>
          <w:rFonts w:ascii="Times New Roman" w:cs="Times New Roman" w:eastAsia="Times New Roman" w:hAnsi="Times New Roman"/>
          <w:sz w:val="16"/>
          <w:szCs w:val="16"/>
          <w:color w:val="auto"/>
        </w:rPr>
        <w:t>Other expense, net, was $3 million for the three month period ended September 30, 2024, as compared with $17 million of other income,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net for the same period in 2023. For the three month period ended September 30, 2024, other expense, net, included approximately $2 million of expense, net, from changes to estimated Earn-out accruals and approximately $2 million of expense, net, from the changes in the fair value of additional contingent payments to former owners of an acquired business, offset, in part, by other miscellaneous income, net, including from legal and other settlements. For the three month period ended September 30, 2023, other income, net, included approximately $5 million of income, net, from changes to estimated Earn-out accruals, and $7 million of other miscellaneous income, net, including from insurance and other settlements, $7 million of income from changes in the fair value of additional contingent payments to the former owners of an acquired business and approximately $3 million of impairment losses on an investment.</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$32 million for the three month period ended September 30, 2024, as compared with $8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2023. Pre-tax income totaled $137 million for the three month period ended September 30, 2024, as compared with $23 million for the same period in 2023. For the three month period ended September 30, 2024, our effective tax rate was 23.0% as compared with 33.1% for the same period in 2023. Our effective tax rate in the third quarter of 2024 included the effect of a lower state income tax rate partially offset by an increase in non-deductible expenses whereas the same period in 2023 included a benefit of approximately $4 million related to certain prior period tax return adjustments.</w:t>
      </w:r>
    </w:p>
    <w:p>
      <w:pPr>
        <w:spacing w:after="0" w:line="83"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$10 million for the three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2024, as compared with $1 million for the same period in 2023. The increase was primarily attributable to the results of certain acquisitions with minority interest holders.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Analysis of EBITDA by Segment</w:t>
      </w:r>
    </w:p>
    <w:p>
      <w:pPr>
        <w:spacing w:after="0" w:line="1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$107 million, or 11.5% of revenue, for the three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as compared with $73 million, or 8.9% of revenue, for the same period in 2023, an increase in EBITDA of approximately $33 million, or 45%. Higher levels of revenue resulted in an increase in EBITDA of approximately $9 million. As a percentage of revenue, EBITDA increased by approximately 260 basis points, or $24 million, due to improved efficiencies, including as a result of a reduction of approximately $5 million in certain acquisition and integration costs.</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$85 million, or 7.5% of revenue, for the three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September 30, 2024, as compared with $42 million, or 3.9% of revenue, for the same period in 2023, an increase in EBITDA of approximately $43 million, or 100%. As a percentage of revenue, EBITDA increased by approximately 360 basis points, or $41 million, due to a combination of improved productivity and efficiencies, including from certain renewable, industrial and infrastructure project work, and a reduction of approximately $15 million in certain acquisition and integration costs, offset, in part, by the effects of certain overhead costs incurred to maintain operating capacity in support of expected future project work. Higher levels of revenue resulted in an increase in EBITDA of approximately $1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Delivery Segment. </w:t>
      </w:r>
      <w:r>
        <w:rPr>
          <w:rFonts w:ascii="Times New Roman" w:cs="Times New Roman" w:eastAsia="Times New Roman" w:hAnsi="Times New Roman"/>
          <w:sz w:val="16"/>
          <w:szCs w:val="16"/>
          <w:color w:val="auto"/>
        </w:rPr>
        <w:t>EBITDA for our Power Delivery segment was $55 million, or 7.6% of revenue, for the three month period ended September 30,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compared with EBITDA of $57 million, or 8.5% of revenue, for the same period in 2023, a decrease in EBITDA of approximately $2 million, or 4%. As a percentage of revenue, EBITDA decreased by 80 basis points, or $6 million, primarily due to timing and mix of project activity, and effects of certain overhead costs incurred to maintain operating capacity in support of expected future project work, including due to regulatory effects, whereas higher levels of revenue resulted in an increase in EBITDA of approximately $4 million.</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$103 million, or 20.7% of revenue, for the three month period ended September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$97 million, or 14.5% of revenue, for the same period in 2023, an increase in EBITDA of $6 million, or 6%. As a percentage of revenue, EBITDA increased by approximately 620 basis points, or $31 million, due primarily to improved project efficiencies, as well as the effects of project mix. Lower levels of revenue contributed a decrease in EBITDA of approximately $25 million.</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totaled approximately $7 million and $4 million for the three month periods ended September 30, 2024 and 2023,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EBITDA from Other businesses relates primarily to equity in earnings from our investments in the Waha JVs, offset, in part, by losses from other businesses and investments.</w:t>
      </w:r>
    </w:p>
    <w:p>
      <w:pPr>
        <w:spacing w:after="0" w:line="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$58 million for the three month period ended September 30, 2024, as compared with EBITDA of negative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2023, for a decrease in EBITDA of approximately $27 million. For the three month period ended September 30, 2024, Corporate EBITDA included approximately $2 million of expense, net, from changes to estimated Earn-out accruals and approximately $2 million of expense, net, from the changes in the fair value of additional contingent payments to former owners of an acquired business. For the three month period ended September 30, 2023, Corporate EBITDA included approximately $5 million of income, net from changes to estimated Earn-out accruals and $7 million of income from changes in the fair value of additional contingent payments to former owners of an acquired business. Corporate expenses for the three month period ended September 30, 2024 not related to the above-described items increased by approximately $11 million as compared with the same period in 2023, due primarily to the effects of timing of ordinary course legal and other settlement matters and other administrative expenses.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 Compared to Nine Months Ended September 30, 2023</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 period ended September 30, 2024, consolidated revenue totaled $8,900 million as compared with $8,716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2023, an increase of approximately $185 million, or 2%. Revenue in our Oil and Gas segment increased by approximately $433 million, or 34%, whereas revenue decreased in our Power Delivery segment by approximately $157 million, or 8%, in our Clean Energy and Infrastructure segment by approximately $60 million, or 2%, and in our Communications segment by approximately $15 million, or 1%. See below for details of revenue by segment.</w:t>
      </w:r>
    </w:p>
    <w:p>
      <w:pPr>
        <w:spacing w:after="0" w:line="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$2,485 million for the nine month period ended September 30, 2024, as compared with $2,500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2023, a decrease of $15 million, or 1%. The decrease in revenue was driven primarily by lower levels of wireline and install-to-the-home project activity due, in part, to customer project timing in our wireline business and, for our install-to-the-home activities, changes in consumer behavior resulting in lower demand. These decreases were offset, in part, by an increase in wireless and utility project work.</w:t>
      </w:r>
    </w:p>
    <w:p>
      <w:pPr>
        <w:spacing w:after="0" w:line="6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$2,834 million for the nine month period ended September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$2,895 million for the same period in 2023, a decrease of $60 million, or 2%, due primarily to lower levels of renewable project work, due to various factors affecting timing of project work offset, in part, by higher levels of other infrastructure project work and heavy civil project activity.</w:t>
      </w:r>
    </w:p>
    <w:p>
      <w:pPr>
        <w:spacing w:after="0" w:line="7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Power Delivery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Delivery revenue was $1,920 million for the nine month period ended September 30, 2024, as compared with $2,077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2023, a decrease of $157 million, or 8%. Acquisitions contributed $11 million of revenue for the nine month period ended September 30, 2024, whereas organic revenue decreased by approximately $168 million, as compared with the same period in 2023, due primarily to lower levels of project activity in distribution-related project work, including due to regulatory effects, offset, in part, by an increase in transmission and substation-related project activity.</w:t>
      </w:r>
    </w:p>
    <w:p>
      <w:pPr>
        <w:spacing w:after="0" w:line="6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$1,704 million for the nine month period ended September 30, 2024, as compared with $1,271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2023, an increase of $433 million, or 34%, due primarily to higher levels of project activity, including from project timing-related increases in large-diameter and midstream project activity due to improved market and regulatory conditions, offset, in part, by a reduction in pipeline integrity services and other infrastructure-related work.</w:t>
      </w:r>
    </w:p>
    <w:p>
      <w:pPr>
        <w:spacing w:after="0" w:line="2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approximately $8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0.1%, to $7,709 million for the nine month period ended September 30, 2024 from $7,701 million for the same period in 2023. Higher levels of revenue contributed an increase of $163 million in costs of revenue, excluding depreciation and amortization, whereas improved productivity resulted in a decrease of approximately $155 million. Costs of revenue, excluding depreciation and amortization, as a percentage of revenue decreased by approximately 170 basis points to 86.6% of revenue for the nine month period ended September 30, 2024 from 88.4% of revenue for the same period in 2023. The basis point decrease was due to a combination of improved project efficiencies and project mix, primarily within our Oil and Gas and Clean Energy and Infrastructure segments, and the positive effects of certain project close-outs, offset, in part, by reduced productivity from the effects of certain overhead costs incurred to maintain operating capacity in support of expected future project work. See “Analysis of EBITDA by Segment” below for discussion of operating capacity effects by segment.</w:t>
      </w:r>
    </w:p>
    <w:p>
      <w:pPr>
        <w:spacing w:after="0" w:line="8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$290 million, or 3.3% of revenue, for the nine month period ended September 30, 2024, as compared with $325 million, or 3.7%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for the same period in 2023, a decrease of approximately $36 million, or 11%. As a percentage of revenue, depreciation decreased by approximately 50 basis points, due primarily to a net reduction of approximately $18 million related to a change in the depreciable lives of certain machinery and equipment to better align the respective assets’ lives with their expected useful lives, and, in part, from lower levels of property and equipment, net.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$102 million, or 1.1% of revenue, for the nine month period ended September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$126 million, or 1.4% of revenue, for the same period in 2023, a decrease of approximately $25 million, or 19%, due to a combination of the effects of timing of amortization for certain assets and the completion of amortization for certain intangible assets associated with prior year acquisitions. As a percentage of revenue, amortization of intangible assets decreased by approximately 30 basis points as compared with the same period in 2023.</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totaled $501 million, or 5.6% of revenue, for the nine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as compared with $521 million, or 6.0% of revenue, for the same period in 2023, a decrease of approximately $19 million, or 4%. The decrease in general and administrative expenses was primarily due to a $53 million reduction in acquisition and integration costs, an increase in gains on sales of assets, net, and a decrease in various administrative costs, including information technology expenses, offset, in part, by an increase in compensation expense, the provision for credit losses, an increase in other administrative expenses, and the effects of timing of ordinary course legal matters. Overall, general and administrative expenses decreased by approximately 30 basis points as a percentage of revenue for the nine month period ended September 30, 2024 as compared with the same period in 2023.</w:t>
      </w:r>
    </w:p>
    <w:p>
      <w:pPr>
        <w:spacing w:after="0" w:line="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approximately $150 million, or 1.7% of revenue, for the nine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as compared with approximately $175 million, or 2.0% of revenue, for the same period in 2023, a decrease of approximately $25 million, or 14%. The decrease in interest expense, net, was primarily due to a reduction in our variable rate debt outstanding under our credit facility and term loans, offset, in part, by an increase in interest expense from our 5.900% Senior Notes and accounts receivable financing arrangements.</w:t>
      </w:r>
    </w:p>
    <w:p>
      <w:pPr>
        <w:spacing w:after="0" w:line="65"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the nine month periods ended September 30, 2024 and 2023, equity in earnings from unconsolidated affiliates,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net, totaled approximately $22 million and $23 million, respectively, and related primarily to our investments in the Waha JVs.</w:t>
      </w:r>
    </w:p>
    <w:p>
      <w:pPr>
        <w:spacing w:after="0" w:line="35"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loss on debt extinguishment of approximately $11 million for the nine month period ended September 30, 2024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connection with the second quarter 2024 repayment of our 6.625% IEA Senior Notes and Three-Year Term Loan Facility.</w:t>
      </w:r>
    </w:p>
    <w:p>
      <w:pPr>
        <w:spacing w:after="0" w:line="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expense (income), net. </w:t>
      </w:r>
      <w:r>
        <w:rPr>
          <w:rFonts w:ascii="Times New Roman" w:cs="Times New Roman" w:eastAsia="Times New Roman" w:hAnsi="Times New Roman"/>
          <w:sz w:val="16"/>
          <w:szCs w:val="16"/>
          <w:color w:val="auto"/>
        </w:rPr>
        <w:t>Other expense, net, was $5 million for the nine month period ended September 30, 2024, as compared with $26 million of other income,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net, for the same period in 2023. For the nine month period ended September 30, 2024, other expense, net, included approximately $3 million of expense, net, from the changes in the fair value of additional contingent payments to former owners of an acquired business and approximately $10 million of asset impairment and other valuation adjustments related to certain fixed assets, offset, in part, by approximately $6 million of other miscellaneous income, net, including from legal and other settlements. For the nine month period ended September 30, 2023, other income, net, included approximately $7 million of income, net, from changes to estimated Earn-out accruals, approximately $3 million of income from the final settlement and expiration of certain warrants related to the acquisition of Infrastructure and Energy Alternatives, Inc. (“IEA”), approximately $19 million of other miscellaneous income, including from insurance and other settlements, and approximately $2 million of income from changes in the fair value of additional contingent payments to former owners of an acquired business, offset, in part, by approximately $3 million of impairment losses on an investment.</w:t>
      </w:r>
    </w:p>
    <w:p>
      <w:pPr>
        <w:spacing w:after="0" w:line="2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benefit from income taxes. </w:t>
      </w:r>
      <w:r>
        <w:rPr>
          <w:rFonts w:ascii="Times New Roman" w:cs="Times New Roman" w:eastAsia="Times New Roman" w:hAnsi="Times New Roman"/>
          <w:sz w:val="16"/>
          <w:szCs w:val="16"/>
          <w:color w:val="auto"/>
        </w:rPr>
        <w:t>Income tax expense was $40 million for the nine month period ended September 30, 2024, as compared with $34 million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income tax benefit for the same period in 2023. Pre-tax income totaled $155 million for the nine month period ended September 30, 2024, as compared with $83 million of pre-tax losses for the same period in 2023. For the nine month period ended September 30, 2024, our effective tax rate was 25.8% as compared with 41.4% for the same period in 2023. Our effective tax rate for both the nine month periods ended September 30, 2024 and 2023 included the effect of a lower state income tax rate partially offset by an increase in non-deductible expenses, whereas for the nine month period ended September 30, 2023, our effective tax rate also included a net tax benefit of approximately $9 million from share-based payment awards and a benefit of approximately $6 million related to certain prior period tax return adjustments.</w:t>
      </w:r>
    </w:p>
    <w:p>
      <w:pPr>
        <w:spacing w:after="0" w:line="6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$27 million for the nine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2024, as compared with $2 million for the same period in 2023. The increase was primarily attributable to the results of certain acquisitions with minority interest 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Analysis of EBITDA by Segment</w:t>
      </w:r>
    </w:p>
    <w:p>
      <w:pPr>
        <w:spacing w:after="0" w:line="11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$237 million, or 9.5% of revenue, for the nine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as compared with $216 million, or 8.6% of revenue, for the same period in 2023, an increase in EBITDA of approximately $22 million, or 10%. As a percentage of revenue, EBITDA increased by approximately 90 basis points, or $23 million, due to improved efficiencies, including as a result of a reduction of approximately $18 million in certain acquisition and integration costs. Lower levels of revenue resulted in a decrease in EBITDA of approximately $1 million.</w:t>
      </w:r>
    </w:p>
    <w:p>
      <w:pPr>
        <w:spacing w:after="0" w:line="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$153 million, or 5.4% of revenue, for the nine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September 30, 2024, as compared with $81 million, or 2.8% of revenue, for the same period in 2023, an increase in EBITDA of approximately $72 million, or 89%. As a percentage of revenue, EBITDA increased by approximately 260 basis points, or $74 million, due to a combination of improved productivity and efficiencies, including from certain renewable, industrial and infrastructure project work, and a reduction of approximately $37 million in certain acquisition and integration costs, offset, in part, by the effects of certain overhead costs incurred to maintain operating capacity in support of expected future project work. Lower levels of revenue resulted in a decrease in EBITDA of approximately $2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Delivery Segment. </w:t>
      </w:r>
      <w:r>
        <w:rPr>
          <w:rFonts w:ascii="Times New Roman" w:cs="Times New Roman" w:eastAsia="Times New Roman" w:hAnsi="Times New Roman"/>
          <w:sz w:val="16"/>
          <w:szCs w:val="16"/>
          <w:color w:val="auto"/>
        </w:rPr>
        <w:t>EBITDA for our Power Delivery segment was $133 million, or 6.9% of revenue, for the nine month period ended September 30,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compared with EBITDA of $161 million, or 7.8% of revenue, for the same period in 2023, a decrease in EBITDA of approximately $28 million, or 17%. As a percentage of revenue, EBITDA decreased by approximately 80 basis points, or $16 million, due to a combination of reduced project efficiencies and mix, including from the effects of certain overhead costs incurred to maintain operating capacity in support of expected future project work, including due to regulatory effects, offset, in part, by a reduction of approximately $3 million in certain acquisition and integration costs. Lower levels of revenue resulted in a decrease in EBITDA of approximately $12 million.</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$331 million or 19.4% of revenue, for the nine month period ended September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$189 million, or 14.9% of revenue, for the same period in 2023, an increase in EBITDA of $142 million, or 75%. As a percentage of revenue, EBITDA increased by approximately 460 basis points, or $78 million, due primarily to improved productivity, as well as the effects of project mix. Higher levels of revenue contributed an increase in EBITDA of approximately $64 million.</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totaled approximately $17 million for the nine month period ended September 30, 2024, as compared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EBITDA of $18 million for the same period in 2023. EBITDA from Other businesses relates primarily to equity in earnings from our investments in the Waha JVs, offset, in part, by losses from other businesses and investments.</w:t>
      </w:r>
    </w:p>
    <w:p>
      <w:pPr>
        <w:spacing w:after="0" w:line="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$176 million for the nine month period ended September 30, 2024, as compared with EBITDA of negative $121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2023, for a decrease in EBITDA of approximately $55 million. For the nine month period ended September 30, 2024, Corporate EBITDA included approximately $11 million of a loss on debt extinguishment and approximately $3 million of expense, net, from the changes in the fair value of additional contingent payments to former owners of an acquired business. For the nine month period ended September 30, 2023, Corporate EBITDA included approximately $7 million of income, net, from changes to estimated Earn-out accruals, $3 million of income from the final settlement and expiration of certain warrants related to the acquisition of IEA, and $2 million of income from the changes in the fair value of additional contingent payments to former owners of an acquired business. Corporate expenses for the nine month period ended September 30, 2024 not related to the above-described items increased by approximately $29 million as compared with the same period in 2023, due primarily to the effects of timing of ordinary course legal and other settlement matters, increases in compensation expense, information technology, travel, and other administrative expenses, offset, in part, a reduction in professional fees and certain acquisition and integration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adjusted net income attributable to MasTec, Inc. (“Adjusted Net Income Attributable to MasTec, Inc.”) and adjusted diluted earnings per share (“Adjusted Diluted Earnings Per Share”). These “adjusted” non-U.S. GAAP measures exclude, as applicable to the respective periods, non-cash stock-based compensation expense; the loss on debt extinguishment; acquisition and integration costs related to certain acquisition activity; and fair value gains or losses, net, on an investment; and, for Adjusted Net Income, Adjusted Net Income Attributable to MasTec, Inc.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Adjusted Net Income Attributable to MasTec Inc.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We also use these adjusted measures to allocate resources.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In 2021, we initiated a significant transformation of our end-market business operations to focus on the nation’s transition to low-carbon energy sources and position the Company for expected future opportunities. This transformation included significant acquisition activity to expand our scale and capacity in renewable energy, power delivery, heavy civil and telecommunications services, and resulted in significant acquisition and integration costs. Due to the extent of the acquisition costs related to this acquisition activity and the extent of the efforts that were required to integrate these acquisitions, we have excluded acquisition and integration costs related to this acquisition activity in our computation of Adjusted EBITDA, Adjusted Net Income, Adjusted Net Income Attributable to MasTec, Inc. and Adjusted Diluted Earnings Per Share. These acquisition and integration activities were completed in the fourth quarter of 2023.</w:t>
      </w:r>
    </w:p>
    <w:p>
      <w:pPr>
        <w:spacing w:after="0" w:line="27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Our adjusted results also exclude fair value gains or losses, net, for our investment in American Virtual Cloud Technologies, Inc. (“AVCT”). We believe that fair value gains or losses for our investment in AVCT, a company in which we had no active involvement and for which fair value activity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w:t>
      </w:r>
    </w:p>
    <w:p>
      <w:pPr>
        <w:spacing w:after="0" w:line="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exclude intangible asset amortization from our non-U.S. GAAP financial measures due to its non-operational nature and inherent volatility, as acquisition activity varies from period to period. We believe that this presentation is common practice within our industry and improves comparability of our results with those of our peers. Note that while intangible asset amortization related to the assets of acquired entities is excluded from our non-U.S. GAAP financial measures, the revenue and all other expenses of the acquired entities are included within our non-U.S. GAAP financial measures, unless otherwise stated.</w:t>
      </w:r>
    </w:p>
    <w:p>
      <w:pPr>
        <w:spacing w:after="0" w:line="8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spacing w:after="0" w:line="260" w:lineRule="auto"/>
        <w:rPr>
          <w:sz w:val="20"/>
          <w:szCs w:val="20"/>
          <w:color w:val="auto"/>
        </w:rPr>
      </w:pPr>
      <w:r>
        <w:rPr>
          <w:rFonts w:ascii="Times New Roman" w:cs="Times New Roman" w:eastAsia="Times New Roman" w:hAnsi="Times New Roman"/>
          <w:sz w:val="16"/>
          <w:szCs w:val="16"/>
          <w:color w:val="auto"/>
        </w:rPr>
        <w:t>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(dollar amounts in millions) may contain slight summation differences due to rounding.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11"/>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80" w:type="dxa"/>
            <w:vAlign w:val="bottom"/>
          </w:tcPr>
          <w:p>
            <w:pPr>
              <w:spacing w:after="0"/>
              <w:rPr>
                <w:sz w:val="18"/>
                <w:szCs w:val="18"/>
                <w:color w:val="auto"/>
              </w:rPr>
            </w:pPr>
          </w:p>
        </w:tc>
        <w:tc>
          <w:tcPr>
            <w:tcW w:w="3300" w:type="dxa"/>
            <w:vAlign w:val="bottom"/>
            <w:gridSpan w:val="10"/>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4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r>
      <w:tr>
        <w:trPr>
          <w:trHeight w:val="21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2"/>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on fair value of investment</w:t>
            </w:r>
          </w:p>
        </w:tc>
        <w:tc>
          <w:tcPr>
            <w:tcW w:w="14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bl>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EBITDA and EBITDA margin to Adjusted EBITDA and Adjusted EBITDA margin by segment for the periods indicated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gridSpan w:val="11"/>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60" w:type="dxa"/>
            <w:vAlign w:val="bottom"/>
          </w:tcPr>
          <w:p>
            <w:pPr>
              <w:spacing w:after="0"/>
              <w:rPr>
                <w:sz w:val="18"/>
                <w:szCs w:val="18"/>
                <w:color w:val="auto"/>
              </w:rPr>
            </w:pPr>
          </w:p>
        </w:tc>
        <w:tc>
          <w:tcPr>
            <w:tcW w:w="3320" w:type="dxa"/>
            <w:vAlign w:val="bottom"/>
            <w:gridSpan w:val="10"/>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4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6"/>
        </w:trPr>
        <w:tc>
          <w:tcPr>
            <w:tcW w:w="41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Acquisition and integration costs </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6"/>
        </w:trPr>
        <w:tc>
          <w:tcPr>
            <w:tcW w:w="41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Losses on fair value of investment </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Power Delivery</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Oil and Gas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69"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stock-based compensation expense, loss on extinguishment of debt and losses on the fair value of an investment are included within Corporate EBITDA.</w:t>
      </w:r>
    </w:p>
    <w:p>
      <w:pPr>
        <w:spacing w:after="0" w:line="1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 period ended September 30, 2023, Communications, Clean Energy and Infrastructure and Power Delivery EBITDA included $4.8 million, $15.3 million and $0.5</w:t>
      </w:r>
    </w:p>
    <w:p>
      <w:pPr>
        <w:spacing w:after="0" w:line="11" w:lineRule="exact"/>
        <w:rPr>
          <w:sz w:val="20"/>
          <w:szCs w:val="20"/>
          <w:color w:val="auto"/>
        </w:rPr>
      </w:pPr>
    </w:p>
    <w:p>
      <w:pPr>
        <w:ind w:left="340" w:right="20"/>
        <w:spacing w:after="0" w:line="283" w:lineRule="auto"/>
        <w:rPr>
          <w:sz w:val="20"/>
          <w:szCs w:val="20"/>
          <w:color w:val="auto"/>
        </w:rPr>
      </w:pPr>
      <w:r>
        <w:rPr>
          <w:rFonts w:ascii="Times New Roman" w:cs="Times New Roman" w:eastAsia="Times New Roman" w:hAnsi="Times New Roman"/>
          <w:sz w:val="14"/>
          <w:szCs w:val="14"/>
          <w:color w:val="auto"/>
        </w:rPr>
        <w:t>million, respectively, of acquisition and integration costs related to certain acquisitions, as described above, and Corporate EBITDA included $0.5 million of such costs, and for the nine month period ended September 30, 2023, $18.3 million, $36.9 million, $2.5 million and $3.2 million of such costs were included in EBITDA of the segments and Corporate,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firstLine="648"/>
        <w:spacing w:after="0" w:line="260" w:lineRule="auto"/>
        <w:rPr>
          <w:sz w:val="20"/>
          <w:szCs w:val="20"/>
          <w:color w:val="auto"/>
        </w:rPr>
      </w:pPr>
      <w:r>
        <w:rPr>
          <w:rFonts w:ascii="Times New Roman" w:cs="Times New Roman" w:eastAsia="Times New Roman" w:hAnsi="Times New Roman"/>
          <w:sz w:val="16"/>
          <w:szCs w:val="16"/>
          <w:color w:val="auto"/>
        </w:rPr>
        <w:t>The tables below, which may contain slight summation differences due to rounding, reconcile reported net income and reported diluted earnings per share, the most directly comparable U.S. GAAP financial measures, to Adjusted Net Income, Adjusted Net Income Attributable to MasTec, Inc. and Adjusted Diluted Earnings Per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82"/>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24"/>
                <w:szCs w:val="24"/>
                <w:color w:val="auto"/>
              </w:rPr>
            </w:pPr>
          </w:p>
        </w:tc>
        <w:tc>
          <w:tcPr>
            <w:tcW w:w="212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on fair value of investment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w:t>
            </w:r>
          </w:p>
        </w:tc>
      </w:tr>
      <w:tr>
        <w:trPr>
          <w:trHeight w:val="25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MasTec,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388"/>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24"/>
                <w:szCs w:val="24"/>
                <w:color w:val="auto"/>
              </w:rPr>
            </w:pPr>
          </w:p>
        </w:tc>
        <w:tc>
          <w:tcPr>
            <w:tcW w:w="212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on fair value of investment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5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bl>
    <w:p>
      <w:pPr>
        <w:spacing w:after="0" w:line="112" w:lineRule="exact"/>
        <w:rPr>
          <w:sz w:val="20"/>
          <w:szCs w:val="20"/>
          <w:color w:val="auto"/>
        </w:rPr>
      </w:pPr>
    </w:p>
    <w:p>
      <w:pPr>
        <w:jc w:val="both"/>
        <w:ind w:left="340" w:hanging="332"/>
        <w:spacing w:after="0" w:line="266" w:lineRule="auto"/>
        <w:tabs>
          <w:tab w:leader="none" w:pos="33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and nine month periods ended September 30, 2024, our consolidated tax amounts were expenses, with effective tax rates, as reported, of 23.0% and 25.8%, respectively, and as adjusted, were expenses with effective tax rates of 22.4% and 24.2%, respectively. For the three and nine month periods ended September 30, 2023, our consolidated effective tax amounts were an expense and a benefit, with effective tax rates, as reported, of 33.1% and 41.4%, respectively, and as adjusted, were expenses with effective tax rates of 18.8% and 18.9%,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 See Note 6 – Debt in the notes to the consolidated financial statements in this Form 10-Q, which is incorporated by reference, for details of our $550 million offering of 5.900% Senior Notes and the repayments of our Three-Year Term Loan during the second quarter of 2024 and our 6.625% IEA Senior Notes in the second and third quarters of 2024.</w:t>
      </w:r>
    </w:p>
    <w:p>
      <w:pPr>
        <w:spacing w:after="0" w:line="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 period ended September 30, 2024, we spent approximately $101 million on capital expenditures, or $52 million, net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 disposals, and incurred approximately $100 million of equipment purchases under finance leases and other financing arrangements. We estimate that we will spend approximately $140 million to $165 million on capital expenditures, or approximately $80 million to $105 million, net of asset disposals, in 2024, and we expect to incur approximately $135 million to $160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Acquisitions and Earn-Out Liabilities. </w:t>
      </w:r>
      <w:r>
        <w:rPr>
          <w:rFonts w:ascii="Times New Roman" w:cs="Times New Roman" w:eastAsia="Times New Roman" w:hAnsi="Times New Roman"/>
          <w:sz w:val="16"/>
          <w:szCs w:val="16"/>
          <w:color w:val="auto"/>
        </w:rPr>
        <w:t>We typically utilize cash for business acquisitions and other strategic arrangements. In addition, in most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acquisitions, we have agreed to make future payments to the sellers that are contingent upon the future earnings performance of the acquired businesses, which we also refer to as “Earn-out” payments. Additionally, from time to time, our acquisitions may contain certain additional payments based upon specified conditions. Earn-out payments may be paid in cash or, under specific circumstances, MasTec common stock, or a combination thereof, generally at our option. The estimated total value of future Earn-out liabilities as of September 30, 2024 was approximately $82 million. Of this amount, approximately $12 million represents the liability for earned amounts. The remainder is management’s estimate of Earn-out liabilities that are contingent upon future performance. For the nine month periods ended September 30, 2024 and 2023, we made $26 million and $39 million, respectively, of payments related to our Earn-out liabilities.</w:t>
      </w:r>
    </w:p>
    <w:p>
      <w:pPr>
        <w:spacing w:after="0" w:line="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nine month periods ended September 30, 2024 and 2023, tax payments, net of tax refunds totaled approximately $45 million and $15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respectively. Our tax payments vary with changes in taxable income and earnings based on estimates of full year taxable income activity and estimated tax rates.</w:t>
      </w:r>
    </w:p>
    <w:p>
      <w:pPr>
        <w:spacing w:after="0" w:line="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and other variations in our business, primarily related to the effects of weather conditions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September 30, 2024, we expect that substantially all of our unbilled receivables will be billed to customers in the normal course of business within the next twelve months. Total accounts receivable, which consists of contract billings, unbilled receivables and retainage, net of allowance, were generally flat at approximately $3.1 billion as of both September 30, 2024 and December 31, 2023.</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are contractually due to subcontractors only after we are paid by our customers.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Sources and Uses of Cash</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As of September 30, 2024, we had approximately $685 million in working capital, defined as current assets less current liabilities, as compared with $1,137 million as of December 31, 2023, a decrease of approximately $452 million. Cash and cash equivalents totaled approximately $181 million and $530 million as of September 30, 2024 and December 31, 2023, respectively, for a decrease of approximately $348 million. See discussion below for further detail regarding our cash flows and related activity.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95"/>
        </w:trPr>
        <w:tc>
          <w:tcPr>
            <w:tcW w:w="8220" w:type="dxa"/>
            <w:vAlign w:val="bottom"/>
          </w:tcPr>
          <w:p>
            <w:pPr>
              <w:spacing w:after="0"/>
              <w:rPr>
                <w:sz w:val="24"/>
                <w:szCs w:val="24"/>
                <w:color w:val="auto"/>
              </w:rPr>
            </w:pPr>
          </w:p>
        </w:tc>
        <w:tc>
          <w:tcPr>
            <w:tcW w:w="30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8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196.6</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(171.7)</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(181.6)</w:t>
            </w:r>
          </w:p>
        </w:tc>
      </w:tr>
    </w:tbl>
    <w:p>
      <w:pPr>
        <w:spacing w:after="0" w:line="2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nine month period ended September 30, 2024 was $650 million, as compared with $197 million of net cash provided by operating activities for the same period in 2023, for an increase in net cash provided by operating activities of approximately $453 million, due primarily to (i) changes in working capital compared with the prior period, including from the positive effect of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jc w:val="both"/>
        <w:spacing w:after="0" w:line="280" w:lineRule="auto"/>
        <w:rPr>
          <w:sz w:val="20"/>
          <w:szCs w:val="20"/>
          <w:color w:val="auto"/>
        </w:rPr>
      </w:pPr>
      <w:r>
        <w:rPr>
          <w:rFonts w:ascii="Times New Roman" w:cs="Times New Roman" w:eastAsia="Times New Roman" w:hAnsi="Times New Roman"/>
          <w:sz w:val="16"/>
          <w:szCs w:val="16"/>
          <w:color w:val="auto"/>
        </w:rPr>
        <w:t>timing-related changes in accounts receivable, net and contract liabilities, offset, in part, by the negative effect of timing-related changes in accounts payable and accrued expenses; and (ii) an increase in net income as compared with the prior period.</w:t>
      </w:r>
    </w:p>
    <w:p>
      <w:pPr>
        <w:spacing w:after="0" w:line="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Days sales outstanding, net of contract liabilities, which we refer to as “DSO,”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68 as of September 30, 2024 as compared with DSO of 74 as of December 31, 2023. Our DSOs can fluctuate from period to period due to timing of billings, billing terms, collections and settlements, timing of project close-outs and retainage collections, changes in project and customer mix and the effect of working capital initiatives, including certain accounts receivable financing arrangements. The decrease in DSO as of September 30, 2024 as compared with December 31, 2023 was due to timing of ordinary course billing and collection activities, as well as the effects of certain accounts receivable financing arrangements. Other than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7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decreased by approximately $91 million to $81 million for the nine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from $172 million for the same period in 2023. Capital expenditures totaled $101 million, or $52 million, net of asset disposals, for the nine month period ended September 30, 2024, as compared with $157 million, or $101 million, net of asset disposals, for the same period in 2023, for a decrease in cash used in investing activities of approximately $50 million, due primarily to lower levels of equipment purchases. Cash used in investing activities from acquisition activity decreased by $35 million for the nine month period ended September 30, 2024 as compared with the same period in 2023.</w:t>
      </w:r>
    </w:p>
    <w:p>
      <w:pPr>
        <w:spacing w:after="0" w:line="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nine month period ended September 30, 2024 was $917 million, as compared with $182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2023, for an increase in cash used in financing activities of approximately $735 million. The increase was primarily due to repayments, net of borrowings, of our credit facility and term loans, which increased by $1,033 million for the nine month period ended September 30, 2024 as compared with the same period in 2023, and the repayment of $224 million of our 6.625% Senior Notes, of which $204 million was repaid in the second quarter of 2024 and the remaining outstanding amount was repaid in the third quarter of 2024 in connection with the redemption of the remaining aggregate principal amount of the 6.625% IEA Senior Notes. These repayments were partially offset by $550 million of net proceeds received from the issuance of our 5.900% Senior Notes in the second quarter of 2024.</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a $2.25 billion senior unsecured credit facility (as amended from time to time, the “Credit Facility”), which is composed of $1.9 billion of revolving commitments and a Term Loan with an original principal amount of $350 million, and matures on November 1, 2026. As of September 30, 2024, aggregate outstanding revolving borrowings totaled approximately $0.2 billion and availability for revolving loans totaled $1.7 billion. Borrowings under our Credit Facility are used for working capital requirements, capital expenditures and other corporate purposes, including acquisitions, equity investments or other strategic arrangements, and/or the repurchase or prepayment of indebtedness, among other corporate borrowing requirements, including potential share repurchases.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2023 Form 10-K.</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4.500% Senior Notes</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have $600 million aggregate principal amount of 4.500% senior unsecured notes due August 15, 2028 (the “4.500% Senior Notes”). The 4.500% Senior Notes are subject to certain provisions and covenants, as more fully described in Note 7 – Debt in the notes to the audited consolidated financial statements included in our 2023 Form 10-K.</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5.900% Senior Notes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June 10, 2024, we completed an offering of $550 million aggregate principal amount of 5.900% senior unsecured notes due June 15, 2029 (the “5.900% Senior Notes”). We used a portion of the proceeds from the 5.900% Senior Notes offering to purchase $204 million in aggregate principal amount of 6.625% IEA Senior Notes tendered at a price equal to 100.0% of the principal amount of the 6.625% IEA Senior Notes. The remaining net proceeds from the 5.900% Senior Notes offering were used, along with available cash, for the repayment of the Company’s $400.0 million Three-Year Term Loan Facility. See Note 6 – Debt in the notes to the consolidated financial statements, which is incorporated by reference.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6.625% Senior Notes</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have $75 million aggregate principal amount of 6.625% senior unsecured notes due August 15, 2029 (the “6.625% Senior Notes”). The 6.625% Senior Notes were previously composed of 6.625% IEA senior notes (the “6.625% IEA Senior Notes”) and 6.625% MasTec senior notes (the “6.625% MasTec Senior Notes”). In the third quarter of 2024, IEA LLC exercised its right under the indenture that governs the 6.625% IEA Senior Notes to redeem the remaining $21 million in aggregate principal amount of the 6.625% IEA Senior Notes at a price equal to 95.0% of the principal amount, which approximated their carrying value. The $75 million of 6.625% MasTec Senior Notes are subject to certain provisions and covenants, as more fully described in Note 7 – Debt in the notes to the audited consolidated financial statements included in our 2023 Form 10-K.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Five-Year Term Loan Facility</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September 30, 2024, we had $288.8 million outstanding of an unsecured five-year term loan (the “Five-Year Term Loan”) that is due October 7, 2027. The Five-Year Term Loan is subject to certain provisions and covenants, as more fully described in Note 7 – Debt in the notes to the audited consolidated financial statements included in our 2023 Form 10-K.</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September 30, 2024, and we expect to be in compliance with these provisions and covenants for the next twelve months.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7 – Debt in the notes to the audited consolidated financial statements included in our 2023 Form 10-K. Also, see Note 6 – Debt in the notes to the consolidated financial statements in this Form 10-Q, which is incorporated by reference, for current period balances, rates of interest and related discussion.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12 – Commitments and Contingencies, Note 4 – Fair Value of Financial Instruments and Note 13 – Related Party Transactions in the notes to the consolidated financial statements in this Form 10-Q, which are incorporated by reference, and see Management’s Discussion and Analysis of Financial Condition and Results of Operations contained in our 2023 Form 10-K for additional information related to our off-balance sheet arrangements.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1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Over the past years, inflation, supply chain and labor constraints have had a significant impact on the global economy, including on the construction industry in the United States. As described above under “General Economic, Market and Regulatory Conditions,” while the Federal Reserve decreased the Federal Funds rate in September, there continues to be uncertainty in the changing market and economic conditions, including the possibility of additional measures that could be taken. We expect elevated market interest rates and continuing levels of cost inflation for the foreseeable future. Elevated levels of labor, material and fuel costs have negatively affected our project margins to the extent that we have been unable to pass such cost increases along to our customers. If current inflationary conditions persist, our profitability could continue to be affected in the future. Market and economic volatility and/or uncertainty can also affect our customers’ investment decisions and subject us to project cancellations, deferrals or unexpected changes in the timing of project work. Additionally, as discussed within “Interest Rate Risk” below, the current inflationary environment has resulted in an increase in market interest rates, which has increased the rates of interest on our variable rate debt and, correspondingly, our interest expense. Increased market interest rates could also have an adverse effect on the capital expenditure budgets of our customers, which could result in reduced or deferred demand for our services.</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 For additional information regarding the effects of inflation on our business, see Management’s Discussion and Analysis of Financial Condition and Results of Operations contained in our 2023 Form 10-K.</w:t>
      </w:r>
    </w:p>
    <w:p>
      <w:pPr>
        <w:spacing w:after="0" w:line="83" w:lineRule="exact"/>
        <w:rPr>
          <w:sz w:val="20"/>
          <w:szCs w:val="20"/>
          <w:color w:val="auto"/>
        </w:rPr>
      </w:pPr>
    </w:p>
    <w:p>
      <w:pPr>
        <w:ind w:right="4660"/>
        <w:spacing w:after="0" w:line="388"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interest expense is affected by the overall interest rate environment. Although the Federal Reserve lowered interest rates by 50 basis points effective September 19, 2024, interest rates remain elevated and the timing, direction and extent of any future interest rate changes remain uncertain. In a period of declining interest rates, the interest we are charged on our variable-rate debt may decrease. Interest we are charged on our fixed-rate debt would not change. We manage interest rate risk by maintaining a mix of fixed and variable rate debt obligations. Our variable rate debt subjects us to risk from increases in prevailing interest rates. As of September 30, 2024, our variable rate debt consisted primarily of approximately $145 million of revolving loans outstanding under our Credit Facility with a weighted average interest rate of 6.68%, a $335 million Term Loan under our Credit Facility with a weighted average interest rate of 6.22%, and a $289 million Five-Year Term Loan with a weighted average interest rate of 6.25%. An additional 100 basis point increase in the applicable interest rates under our Credit Facility and Five-Year Term Loan would have increased our interest expense by approximately $9 million for the nine month period ended September 30, 2024.</w:t>
      </w:r>
    </w:p>
    <w:p>
      <w:pPr>
        <w:spacing w:after="0" w:line="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As of September 30, 2024, our fixed rate debt primarily included $600 million aggregate principal amount of 4.500% Senior Notes, $550 million aggregate principal amount of 5.900% Senior Notes, $75 million aggregate principal amount of 6.625% Senior Notes and $289 million of finance lease obligations, which accrued interest at a weighted average interest rate of 4.7%. None of this fixed rate debt subjects us to interest rate risk, but we may be subject to changes in interest rates if and when we refinance this debt at maturity or otherwise.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1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approximately 1% of our total revenue for the nine month period ended September 30, 2024.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jc w:val="both"/>
        <w:spacing w:after="0" w:line="263" w:lineRule="auto"/>
        <w:rPr>
          <w:sz w:val="20"/>
          <w:szCs w:val="20"/>
          <w:color w:val="auto"/>
        </w:rPr>
      </w:pPr>
      <w:r>
        <w:rPr>
          <w:rFonts w:ascii="Times New Roman" w:cs="Times New Roman" w:eastAsia="Times New Roman" w:hAnsi="Times New Roman"/>
          <w:sz w:val="16"/>
          <w:szCs w:val="16"/>
          <w:color w:val="auto"/>
        </w:rPr>
        <w:t>currency exchange rates when transactions are denominated in currencies other than the functional currencies and for our foreign operations with a functional currency other than the local currency. Such activity was not material to our operations for the nine month period ended September 30, 2024. Translation gains or losses, which are recorded in other comprehensive income or loss, result from translation of the assets and liabilities of our foreign subsidiaries into U.S. dollars. For the nine month period ended September 30, 2024, foreign currency translation losses, net, totaled approximately $1.7 million and related primarily to our activities in Canada and Mexico.</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2024. We may enter into foreign currency derivative contracts in the future to manage such exposure.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Quarterly Report on Form 10-Q, our management,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September 30, 2024.</w:t>
      </w:r>
    </w:p>
    <w:p>
      <w:pPr>
        <w:spacing w:after="0" w:line="69"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There have been no changes in the Company’s internal control over financial reporting during the quarter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Refer to Note 12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2023 Form 10-K.</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9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Subject to the potential effects of general economic and market conditions, including levels of inflation, interest rates and other market and geopolitical conditions, including regulatory matters, political unrest and military conflicts, on certain of the risks we normally face in operating our business, including those disclosed in our 2023 Form 10-K, there have been no material changes to either the cautionary statement regarding forward-looking statements or to any of the risk factors disclosed in our 2023 Form 10-K, as updated by our Quarterly Reports on Form 10-Q and other filings we make with the SEC.</w:t>
      </w:r>
    </w:p>
    <w:p>
      <w:pPr>
        <w:spacing w:after="0" w:line="19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three month period ended September 30, 2024:</w:t>
      </w:r>
    </w:p>
    <w:p>
      <w:pPr>
        <w:sectPr>
          <w:pgSz w:w="11900" w:h="16838" w:orient="portrait"/>
          <w:cols w:equalWidth="0" w:num="1">
            <w:col w:w="11240"/>
          </w:cols>
          <w:pgMar w:left="320" w:top="1109" w:right="339" w:bottom="1440" w:gutter="0" w:footer="0" w:header="0"/>
        </w:sect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July 1 through July 31</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August 1 through August 31</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September 1 through September 30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restart"/>
          </w:tcPr>
          <w:p>
            <w:pPr>
              <w:jc w:val="center"/>
              <w:ind w:right="44"/>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5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108"/>
        </w:trPr>
        <w:tc>
          <w:tcPr>
            <w:tcW w:w="21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Program</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jc w:val="center"/>
              <w:ind w:right="44"/>
              <w:spacing w:after="0" w:line="108" w:lineRule="exact"/>
              <w:rPr>
                <w:sz w:val="20"/>
                <w:szCs w:val="20"/>
                <w:color w:val="auto"/>
              </w:rPr>
            </w:pPr>
            <w:r>
              <w:rPr>
                <w:rFonts w:ascii="Times New Roman" w:cs="Times New Roman" w:eastAsia="Times New Roman" w:hAnsi="Times New Roman"/>
                <w:sz w:val="11"/>
                <w:szCs w:val="11"/>
                <w:b w:val="1"/>
                <w:bCs w:val="1"/>
                <w:color w:val="auto"/>
              </w:rPr>
              <w:t>(b)</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6"/>
        </w:trPr>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6640" w:space="120"/>
            <w:col w:w="4480"/>
          </w:cols>
          <w:pgMar w:left="320" w:top="1109" w:right="339" w:bottom="1440" w:gutter="0" w:footer="0" w:header="0"/>
          <w:type w:val="continuous"/>
        </w:sectPr>
      </w:pPr>
    </w:p>
    <w:p>
      <w:pPr>
        <w:ind w:left="340" w:hanging="332"/>
        <w:spacing w:after="0" w:line="282" w:lineRule="auto"/>
        <w:tabs>
          <w:tab w:leader="none" w:pos="3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6,963, 6,453 and 7,320 shares reacquired by the Company on the open market pursuant to the Amended ESPPs in July, August and September of 2024, respectively, and 361 shares withheld for income tax purposes in connection with shares issued under compensation and benefit programs in August of 2024.</w:t>
      </w:r>
    </w:p>
    <w:p>
      <w:pPr>
        <w:spacing w:after="0" w:line="13"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the remaining amount available for share repurchases under our March 2020 $150 million share repurchase program, which was publicly announced on March 19, 2020, totaled $77.3 million.</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1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 xml:space="preserve">The information concerning mine safety violations or other regulatory matters required by Section 1503(a) of the Dodd-Frank Wall Street Reform and Consumer Protection Act and Item 104 of Regulation S-K is included in </w:t>
      </w:r>
      <w:r>
        <w:rPr>
          <w:rFonts w:ascii="Times New Roman" w:cs="Times New Roman" w:eastAsia="Times New Roman" w:hAnsi="Times New Roman"/>
          <w:sz w:val="16"/>
          <w:szCs w:val="16"/>
          <w:u w:val="single" w:color="auto"/>
          <w:color w:val="0000FF"/>
        </w:rPr>
        <w:t>Exhibit 95.1</w:t>
      </w:r>
      <w:r>
        <w:rPr>
          <w:rFonts w:ascii="Times New Roman" w:cs="Times New Roman" w:eastAsia="Times New Roman" w:hAnsi="Times New Roman"/>
          <w:sz w:val="16"/>
          <w:szCs w:val="16"/>
          <w:color w:val="auto"/>
        </w:rPr>
        <w:t xml:space="preserve"> to this Quarterly Report on Form 10-Q.</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three month period ended September 30, 2024, except as provided below,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Type of Plan</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Duration of Plan</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 Securities</w:t>
            </w:r>
          </w:p>
        </w:tc>
        <w:tc>
          <w:tcPr>
            <w:tcW w:w="0" w:type="dxa"/>
            <w:vAlign w:val="bottom"/>
          </w:tcPr>
          <w:p>
            <w:pPr>
              <w:spacing w:after="0"/>
              <w:rPr>
                <w:sz w:val="1"/>
                <w:szCs w:val="1"/>
                <w:color w:val="auto"/>
              </w:rPr>
            </w:pPr>
          </w:p>
        </w:tc>
      </w:tr>
      <w:tr>
        <w:trPr>
          <w:trHeight w:val="104"/>
        </w:trPr>
        <w:tc>
          <w:tcPr>
            <w:tcW w:w="196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2320" w:type="dxa"/>
            <w:vAlign w:val="bottom"/>
            <w:gridSpan w:val="2"/>
            <w:vMerge w:val="continue"/>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Covered Under the Plan</w:t>
            </w: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 Robert Campbell</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Rule 10b5-1</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9/30/2024</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12/29/2024   -   9/30/2026</w:t>
            </w:r>
          </w:p>
        </w:tc>
        <w:tc>
          <w:tcPr>
            <w:tcW w:w="8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Sale of up to 15,000 shares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12"/>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028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40" w:type="dxa"/>
            <w:vAlign w:val="bottom"/>
            <w:gridSpan w:val="9"/>
          </w:tcPr>
          <w:p>
            <w:pPr>
              <w:ind w:left="100"/>
              <w:spacing w:after="0"/>
              <w:rPr>
                <w:sz w:val="20"/>
                <w:szCs w:val="20"/>
                <w:color w:val="auto"/>
              </w:rPr>
            </w:pPr>
            <w:r>
              <w:rPr>
                <w:rFonts w:ascii="Times New Roman" w:cs="Times New Roman" w:eastAsia="Times New Roman" w:hAnsi="Times New Roman"/>
                <w:sz w:val="16"/>
                <w:szCs w:val="16"/>
                <w:color w:val="auto"/>
              </w:rPr>
              <w:t>The Exhibit Index below contains a list of exhibits filed or furnished with this Form 10-Q.</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Exhibits</w:t>
            </w:r>
          </w:p>
        </w:tc>
        <w:tc>
          <w:tcPr>
            <w:tcW w:w="580" w:type="dxa"/>
            <w:vAlign w:val="bottom"/>
          </w:tcPr>
          <w:p>
            <w:pPr>
              <w:spacing w:after="0"/>
              <w:rPr>
                <w:sz w:val="24"/>
                <w:szCs w:val="24"/>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31.1*</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32.1**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4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95.1*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4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580" w:type="dxa"/>
            <w:vAlign w:val="bottom"/>
          </w:tcPr>
          <w:p>
            <w:pPr>
              <w:spacing w:after="0"/>
              <w:rPr>
                <w:sz w:val="15"/>
                <w:szCs w:val="15"/>
                <w:color w:val="auto"/>
              </w:rPr>
            </w:pPr>
          </w:p>
        </w:tc>
        <w:tc>
          <w:tcPr>
            <w:tcW w:w="970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97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7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580" w:type="dxa"/>
            <w:vAlign w:val="bottom"/>
          </w:tcPr>
          <w:p>
            <w:pPr>
              <w:spacing w:after="0"/>
              <w:rPr>
                <w:sz w:val="18"/>
                <w:szCs w:val="18"/>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101.CAL</w:t>
            </w:r>
          </w:p>
        </w:tc>
        <w:tc>
          <w:tcPr>
            <w:tcW w:w="580" w:type="dxa"/>
            <w:vAlign w:val="bottom"/>
          </w:tcPr>
          <w:p>
            <w:pPr>
              <w:spacing w:after="0"/>
              <w:rPr>
                <w:sz w:val="18"/>
                <w:szCs w:val="18"/>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101.DEF</w:t>
            </w:r>
          </w:p>
        </w:tc>
        <w:tc>
          <w:tcPr>
            <w:tcW w:w="580" w:type="dxa"/>
            <w:vAlign w:val="bottom"/>
          </w:tcPr>
          <w:p>
            <w:pPr>
              <w:spacing w:after="0"/>
              <w:rPr>
                <w:sz w:val="21"/>
                <w:szCs w:val="21"/>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101.LAB</w:t>
            </w:r>
          </w:p>
        </w:tc>
        <w:tc>
          <w:tcPr>
            <w:tcW w:w="580" w:type="dxa"/>
            <w:vAlign w:val="bottom"/>
          </w:tcPr>
          <w:p>
            <w:pPr>
              <w:spacing w:after="0"/>
              <w:rPr>
                <w:sz w:val="19"/>
                <w:szCs w:val="19"/>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101.PRE</w:t>
            </w:r>
          </w:p>
        </w:tc>
        <w:tc>
          <w:tcPr>
            <w:tcW w:w="580" w:type="dxa"/>
            <w:vAlign w:val="bottom"/>
          </w:tcPr>
          <w:p>
            <w:pPr>
              <w:spacing w:after="0"/>
              <w:rPr>
                <w:sz w:val="18"/>
                <w:szCs w:val="18"/>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300" w:hanging="1234"/>
        <w:spacing w:after="0" w:line="180" w:lineRule="auto"/>
        <w:tabs>
          <w:tab w:leader="none" w:pos="1300" w:val="left"/>
        </w:tabs>
        <w:numPr>
          <w:ilvl w:val="0"/>
          <w:numId w:val="1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The cover page of MasTec, Inc.’s Quarterly Report on Form 10-Q for the quarter ended September 30, 2024, formatted in Inline XBRL (included with the Exhibit 101 attachments).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6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8"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9" w:right="519" w:bottom="1440" w:gutter="0" w:footer="0" w:header="0"/>
        </w:sectPr>
      </w:pPr>
    </w:p>
    <w:bookmarkStart w:id="40" w:name="page41"/>
    <w:bookmarkEnd w:id="40"/>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50"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MASTEC,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31, 2024</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T. MICHAEL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 Michael Love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240"/>
          </w:cols>
          <w:pgMar w:left="320" w:top="113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31, 2024</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DiMarco,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31, 2024</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2024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31, 2024</w:t>
      </w:r>
    </w:p>
    <w:p>
      <w:pPr>
        <w:spacing w:after="0" w:line="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21590</wp:posOffset>
            </wp:positionV>
            <wp:extent cx="33604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2024,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2024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31, 2024</w:t>
      </w:r>
    </w:p>
    <w:p>
      <w:pPr>
        <w:spacing w:after="0" w:line="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2024,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5" w:name="page46"/>
    <w:bookmarkEnd w:id="45"/>
    <w:p>
      <w:pPr>
        <w:ind w:left="10160"/>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5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 xml:space="preserve">We operate aggregate mines that are subject to regulation by the federal Mine Safety and Health Administration (“MSHA”) under the Federal Mine Safety and Health Act of 1977, 30 U.S.C. § 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“Mine Act”). Set forth below is the required information regarding certain mining safety and health matters for the quarter ended September 30, 2024. Citations and orders may be contested and appealed, and in that process, may be reduced in severity and amount, and are sometimes dismissed. The table below includes references to specific sections of the Mine Act.</w:t>
      </w:r>
    </w:p>
    <w:p>
      <w:pPr>
        <w:spacing w:after="0" w:line="66"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information in the table below is presented by mine, consistent with the manner in which we maintain safety and compliance information about our mining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Pending</w:t>
            </w: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w w:val="97"/>
              </w:rPr>
              <w:t>104(d)</w:t>
            </w:r>
          </w:p>
        </w:tc>
        <w:tc>
          <w:tcPr>
            <w:tcW w:w="11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Proposed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7"/>
              </w:rPr>
              <w:t>104</w:t>
            </w: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104(b)</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Citations and</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110(b)(2)</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107(a)</w:t>
            </w:r>
          </w:p>
        </w:tc>
        <w:tc>
          <w:tcPr>
            <w:tcW w:w="13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Legal</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Mine Name / ID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Citations</w:t>
            </w:r>
            <w:r>
              <w:rPr>
                <w:rFonts w:ascii="Times New Roman" w:cs="Times New Roman" w:eastAsia="Times New Roman" w:hAnsi="Times New Roman"/>
                <w:sz w:val="19"/>
                <w:szCs w:val="19"/>
                <w:b w:val="1"/>
                <w:bCs w:val="1"/>
                <w:color w:val="auto"/>
                <w:w w:val="95"/>
                <w:vertAlign w:val="superscript"/>
              </w:rPr>
              <w:t>(a)</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4"/>
              </w:rPr>
              <w:t>Orders</w:t>
            </w:r>
            <w:r>
              <w:rPr>
                <w:rFonts w:ascii="Times New Roman" w:cs="Times New Roman" w:eastAsia="Times New Roman" w:hAnsi="Times New Roman"/>
                <w:sz w:val="19"/>
                <w:szCs w:val="19"/>
                <w:b w:val="1"/>
                <w:bCs w:val="1"/>
                <w:color w:val="auto"/>
                <w:w w:val="94"/>
                <w:vertAlign w:val="superscript"/>
              </w:rPr>
              <w:t>(b)</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Orders</w:t>
            </w:r>
            <w:r>
              <w:rPr>
                <w:rFonts w:ascii="Times New Roman" w:cs="Times New Roman" w:eastAsia="Times New Roman" w:hAnsi="Times New Roman"/>
                <w:sz w:val="19"/>
                <w:szCs w:val="19"/>
                <w:b w:val="1"/>
                <w:bCs w:val="1"/>
                <w:color w:val="auto"/>
                <w:w w:val="93"/>
                <w:vertAlign w:val="superscript"/>
              </w:rPr>
              <w:t>(c)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Violations</w:t>
            </w:r>
            <w:r>
              <w:rPr>
                <w:rFonts w:ascii="Times New Roman" w:cs="Times New Roman" w:eastAsia="Times New Roman" w:hAnsi="Times New Roman"/>
                <w:sz w:val="19"/>
                <w:szCs w:val="19"/>
                <w:b w:val="1"/>
                <w:bCs w:val="1"/>
                <w:color w:val="auto"/>
                <w:w w:val="96"/>
                <w:vertAlign w:val="superscript"/>
              </w:rPr>
              <w:t>(d)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Orders</w:t>
            </w:r>
            <w:r>
              <w:rPr>
                <w:rFonts w:ascii="Times New Roman" w:cs="Times New Roman" w:eastAsia="Times New Roman" w:hAnsi="Times New Roman"/>
                <w:sz w:val="19"/>
                <w:szCs w:val="19"/>
                <w:b w:val="1"/>
                <w:bCs w:val="1"/>
                <w:color w:val="auto"/>
                <w:w w:val="96"/>
                <w:vertAlign w:val="superscript"/>
              </w:rPr>
              <w:t>(e)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Assessments</w:t>
            </w:r>
            <w:r>
              <w:rPr>
                <w:rFonts w:ascii="Times New Roman" w:cs="Times New Roman" w:eastAsia="Times New Roman" w:hAnsi="Times New Roman"/>
                <w:sz w:val="19"/>
                <w:szCs w:val="19"/>
                <w:b w:val="1"/>
                <w:bCs w:val="1"/>
                <w:color w:val="auto"/>
                <w:w w:val="97"/>
                <w:vertAlign w:val="superscript"/>
              </w:rPr>
              <w:t>(f)</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Fatalities</w:t>
            </w:r>
            <w:r>
              <w:rPr>
                <w:rFonts w:ascii="Times New Roman" w:cs="Times New Roman" w:eastAsia="Times New Roman" w:hAnsi="Times New Roman"/>
                <w:sz w:val="19"/>
                <w:szCs w:val="19"/>
                <w:b w:val="1"/>
                <w:bCs w:val="1"/>
                <w:color w:val="auto"/>
                <w:w w:val="97"/>
                <w:vertAlign w:val="superscript"/>
              </w:rPr>
              <w:t>(g)</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Action</w:t>
            </w:r>
            <w:r>
              <w:rPr>
                <w:rFonts w:ascii="Times New Roman" w:cs="Times New Roman" w:eastAsia="Times New Roman" w:hAnsi="Times New Roman"/>
                <w:sz w:val="19"/>
                <w:szCs w:val="19"/>
                <w:b w:val="1"/>
                <w:bCs w:val="1"/>
                <w:color w:val="auto"/>
                <w:w w:val="96"/>
                <w:vertAlign w:val="superscript"/>
              </w:rPr>
              <w:t>(h)</w:t>
            </w:r>
          </w:p>
        </w:tc>
        <w:tc>
          <w:tcPr>
            <w:tcW w:w="0" w:type="dxa"/>
            <w:vAlign w:val="bottom"/>
          </w:tcPr>
          <w:p>
            <w:pPr>
              <w:spacing w:after="0"/>
              <w:rPr>
                <w:sz w:val="1"/>
                <w:szCs w:val="1"/>
                <w:color w:val="auto"/>
              </w:rPr>
            </w:pPr>
          </w:p>
        </w:tc>
      </w:tr>
      <w:tr>
        <w:trPr>
          <w:trHeight w:val="207"/>
        </w:trPr>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FNF Crushing 1 / 02-03091</w:t>
            </w:r>
          </w:p>
        </w:tc>
        <w:tc>
          <w:tcPr>
            <w:tcW w:w="8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2 / 02-02622</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3 / 02-02774</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4 / 02-03036</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5 / 29-02226</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6 / 02-02589</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7 / 02-03079</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8 / 02-03035</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Topaz Mine 26-02440</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Mesquite Wash Plant 26-02774</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Oklahoma / B7441 (1)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Tennessee / B7441 (1)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Texas / B7441 (1)</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 / B7441 (1)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Texas / C4778 (1)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Wisconsin / A6370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WCC State St Quarry 1103011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Alabama / 1KJ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where we are working as an "independent contractor" at another operator's mine.</w:t>
      </w:r>
    </w:p>
    <w:p>
      <w:pPr>
        <w:spacing w:after="0" w:line="69" w:lineRule="exact"/>
        <w:rPr>
          <w:sz w:val="20"/>
          <w:szCs w:val="20"/>
          <w:color w:val="auto"/>
        </w:rPr>
      </w:pPr>
    </w:p>
    <w:p>
      <w:pPr>
        <w:ind w:left="260" w:hanging="252"/>
        <w:spacing w:after="0" w:line="301" w:lineRule="auto"/>
        <w:tabs>
          <w:tab w:leader="none" w:pos="35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for unwarrantable failure of the mine operator to comply with mandatory health or safety standards under Section 104(d) of the Mine Act.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under Section 110(b)(2)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imminent danger orders issued under Section 107(a)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dollar value of proposed assessments from the MSHA under the Mine Act.</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mining-related fatalities.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legal action before the Federal Mine Safety and Health Review Commission involving the applicable mine(s).</w:t>
      </w:r>
    </w:p>
    <w:p>
      <w:pPr>
        <w:spacing w:after="0" w:line="1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quarter ended September 30, 2024,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04"/>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2024-10-31T16:08:35Z</dcterms:created>
  <dcterms:modified xsi:type="dcterms:W3CDTF">2024-10-31T16:08:35Z</dcterms:modified>
</cp:coreProperties>
</file>