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firstLine="8"/>
        <w:spacing w:after="0" w:line="270" w:lineRule="auto"/>
        <w:tabs>
          <w:tab w:leader="none" w:pos="364"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7" w:lineRule="exact"/>
        <w:rPr>
          <w:sz w:val="24"/>
          <w:szCs w:val="24"/>
          <w:color w:val="auto"/>
        </w:rPr>
      </w:pPr>
    </w:p>
    <w:p>
      <w:pPr>
        <w:ind w:firstLine="8"/>
        <w:spacing w:after="0" w:line="260" w:lineRule="auto"/>
        <w:tabs>
          <w:tab w:leader="none" w:pos="351"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154940</wp:posOffset>
            </wp:positionV>
            <wp:extent cx="94297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2975" cy="18859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22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26"/>
              <w:spacing w:after="0"/>
              <w:rPr>
                <w:sz w:val="20"/>
                <w:szCs w:val="20"/>
                <w:color w:val="auto"/>
              </w:rPr>
            </w:pPr>
            <w:r>
              <w:rPr>
                <w:rFonts w:ascii="Arial" w:cs="Arial" w:eastAsia="Arial" w:hAnsi="Arial"/>
                <w:sz w:val="13"/>
                <w:szCs w:val="13"/>
                <w:b w:val="1"/>
                <w:bCs w:val="1"/>
                <w:i w:val="1"/>
                <w:iCs w:val="1"/>
                <w:color w:val="auto"/>
                <w:w w:val="94"/>
              </w:rPr>
              <w:t>(I.R.S. Employer Identification No.)</w:t>
            </w:r>
          </w:p>
        </w:tc>
      </w:tr>
      <w:tr>
        <w:trPr>
          <w:trHeight w:val="427"/>
        </w:trPr>
        <w:tc>
          <w:tcPr>
            <w:tcW w:w="6180" w:type="dxa"/>
            <w:vAlign w:val="bottom"/>
          </w:tcPr>
          <w:p>
            <w:pPr>
              <w:jc w:val="center"/>
              <w:ind w:right="2764"/>
              <w:spacing w:after="0"/>
              <w:rPr>
                <w:sz w:val="20"/>
                <w:szCs w:val="20"/>
                <w:color w:val="auto"/>
              </w:rPr>
            </w:pPr>
            <w:r>
              <w:rPr>
                <w:rFonts w:ascii="Arial" w:cs="Arial" w:eastAsia="Arial" w:hAnsi="Arial"/>
                <w:sz w:val="16"/>
                <w:szCs w:val="16"/>
                <w:b w:val="1"/>
                <w:bCs w:val="1"/>
                <w:color w:val="auto"/>
                <w:w w:val="90"/>
              </w:rPr>
              <w:t>800 S. Douglas Road, 12th Floor</w:t>
            </w:r>
          </w:p>
        </w:tc>
        <w:tc>
          <w:tcPr>
            <w:tcW w:w="2120" w:type="dxa"/>
            <w:vAlign w:val="bottom"/>
          </w:tcPr>
          <w:p>
            <w:pPr>
              <w:spacing w:after="0"/>
              <w:rPr>
                <w:sz w:val="24"/>
                <w:szCs w:val="24"/>
                <w:color w:val="auto"/>
              </w:rPr>
            </w:pPr>
          </w:p>
        </w:tc>
      </w:tr>
      <w:tr>
        <w:trPr>
          <w:trHeight w:val="270"/>
        </w:trPr>
        <w:tc>
          <w:tcPr>
            <w:tcW w:w="6180" w:type="dxa"/>
            <w:vAlign w:val="bottom"/>
          </w:tcPr>
          <w:p>
            <w:pPr>
              <w:ind w:left="82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22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184"/>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16"/>
                <w:szCs w:val="16"/>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6" w:lineRule="exact"/>
        <w:rPr>
          <w:sz w:val="24"/>
          <w:szCs w:val="24"/>
          <w:color w:val="auto"/>
        </w:rPr>
      </w:pPr>
    </w:p>
    <w:tbl>
      <w:tblPr>
        <w:tblLayout w:type="fixed"/>
        <w:tblInd w:w="144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1400" w:type="dxa"/>
            <w:vAlign w:val="bottom"/>
          </w:tcPr>
          <w:p>
            <w:pPr>
              <w:spacing w:after="0"/>
              <w:rPr>
                <w:sz w:val="12"/>
                <w:szCs w:val="12"/>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244"/>
        </w:trPr>
        <w:tc>
          <w:tcPr>
            <w:tcW w:w="294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1"/>
              </w:rPr>
              <w:t>Common Stock, $0.10 Par Value</w:t>
            </w:r>
          </w:p>
        </w:tc>
        <w:tc>
          <w:tcPr>
            <w:tcW w:w="7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400" w:type="dxa"/>
            <w:vAlign w:val="bottom"/>
          </w:tcPr>
          <w:p>
            <w:pPr>
              <w:spacing w:after="0"/>
              <w:rPr>
                <w:sz w:val="21"/>
                <w:szCs w:val="21"/>
                <w:color w:val="auto"/>
              </w:rPr>
            </w:pPr>
          </w:p>
        </w:tc>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3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86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right="28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2020, MasTec, Inc. had 73,818,180 shares of common stock outstanding.</w:t>
      </w:r>
    </w:p>
    <w:p>
      <w:pPr>
        <w:sectPr>
          <w:pgSz w:w="11900" w:h="16838" w:orient="portrait"/>
          <w:cols w:equalWidth="0" w:num="1">
            <w:col w:w="11240"/>
          </w:cols>
          <w:pgMar w:left="320" w:top="5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JUNE 30,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Page</w:t>
            </w:r>
          </w:p>
        </w:tc>
      </w:tr>
      <w:tr>
        <w:trPr>
          <w:trHeight w:val="271"/>
        </w:trPr>
        <w:tc>
          <w:tcPr>
            <w:tcW w:w="8760" w:type="dxa"/>
            <w:vAlign w:val="bottom"/>
            <w:gridSpan w:val="2"/>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Part I. FINANCIAL INFORMATION</w:t>
              </w:r>
            </w:hyperlink>
          </w:p>
        </w:tc>
        <w:tc>
          <w:tcPr>
            <w:tcW w:w="1860" w:type="dxa"/>
            <w:vAlign w:val="bottom"/>
          </w:tcPr>
          <w:p>
            <w:pPr>
              <w:spacing w:after="0"/>
              <w:rPr>
                <w:sz w:val="23"/>
                <w:szCs w:val="23"/>
                <w:color w:val="auto"/>
              </w:rPr>
            </w:pPr>
          </w:p>
        </w:tc>
        <w:tc>
          <w:tcPr>
            <w:tcW w:w="300" w:type="dxa"/>
            <w:vAlign w:val="bottom"/>
            <w:tcBorders>
              <w:top w:val="single" w:sz="8" w:color="auto"/>
            </w:tcBorders>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7700" w:type="dxa"/>
            <w:vAlign w:val="bottom"/>
          </w:tcPr>
          <w:p>
            <w:pPr>
              <w:ind w:left="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Consolidated Statements of Operations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Comprehensive Income</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Balance Sheets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Equity</w:t>
              </w:r>
            </w:hyperlink>
          </w:p>
        </w:tc>
        <w:tc>
          <w:tcPr>
            <w:tcW w:w="2160" w:type="dxa"/>
            <w:vAlign w:val="bottom"/>
            <w:gridSpan w:val="2"/>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Consolidated Statements of Cash Flows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Consolidated Financial Statements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9</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Item 2</w:t>
              </w:r>
            </w:hyperlink>
          </w:p>
        </w:tc>
        <w:tc>
          <w:tcPr>
            <w:tcW w:w="7700" w:type="dxa"/>
            <w:vAlign w:val="bottom"/>
          </w:tcPr>
          <w:p>
            <w:pPr>
              <w:ind w:left="6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Management’s Discussion and Analysis of Financial Condition and Results of Operations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tc>
      </w:tr>
      <w:tr>
        <w:trPr>
          <w:trHeight w:val="256"/>
        </w:trPr>
        <w:tc>
          <w:tcPr>
            <w:tcW w:w="1060" w:type="dxa"/>
            <w:vAlign w:val="bottom"/>
          </w:tcPr>
          <w:p>
            <w:pPr>
              <w:ind w:left="2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3</w:t>
              </w:r>
            </w:hyperlink>
          </w:p>
        </w:tc>
        <w:tc>
          <w:tcPr>
            <w:tcW w:w="7700" w:type="dxa"/>
            <w:vAlign w:val="bottom"/>
          </w:tcPr>
          <w:p>
            <w:pPr>
              <w:ind w:left="6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Quantitative and Qualitative Disclosures About Market Risk</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4</w:t>
              </w:r>
            </w:hyperlink>
          </w:p>
        </w:tc>
        <w:tc>
          <w:tcPr>
            <w:tcW w:w="7700" w:type="dxa"/>
            <w:vAlign w:val="bottom"/>
          </w:tcPr>
          <w:p>
            <w:pPr>
              <w:ind w:left="6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Controls and Procedures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38</w:t>
              </w:r>
            </w:hyperlink>
          </w:p>
        </w:tc>
      </w:tr>
      <w:tr>
        <w:trPr>
          <w:trHeight w:val="257"/>
        </w:trPr>
        <w:tc>
          <w:tcPr>
            <w:tcW w:w="8760" w:type="dxa"/>
            <w:vAlign w:val="bottom"/>
            <w:gridSpan w:val="2"/>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Part II. OTHER INFORMATION</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Item 1</w:t>
              </w:r>
            </w:hyperlink>
          </w:p>
        </w:tc>
        <w:tc>
          <w:tcPr>
            <w:tcW w:w="7700" w:type="dxa"/>
            <w:vAlign w:val="bottom"/>
          </w:tcPr>
          <w:p>
            <w:pPr>
              <w:ind w:left="6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Legal Proceedings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256"/>
        </w:trPr>
        <w:tc>
          <w:tcPr>
            <w:tcW w:w="1060" w:type="dxa"/>
            <w:vAlign w:val="bottom"/>
          </w:tcPr>
          <w:p>
            <w:pPr>
              <w:ind w:left="2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Item 1A</w:t>
              </w:r>
            </w:hyperlink>
          </w:p>
        </w:tc>
        <w:tc>
          <w:tcPr>
            <w:tcW w:w="7700" w:type="dxa"/>
            <w:vAlign w:val="bottom"/>
          </w:tcPr>
          <w:p>
            <w:pPr>
              <w:ind w:left="6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Risk Factors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2</w:t>
              </w:r>
            </w:hyperlink>
          </w:p>
        </w:tc>
        <w:tc>
          <w:tcPr>
            <w:tcW w:w="7700" w:type="dxa"/>
            <w:vAlign w:val="bottom"/>
          </w:tcPr>
          <w:p>
            <w:pPr>
              <w:ind w:left="6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Unregistered Sales of Equity Securities and Use of Proceeds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40</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4</w:t>
              </w:r>
            </w:hyperlink>
          </w:p>
        </w:tc>
        <w:tc>
          <w:tcPr>
            <w:tcW w:w="7700" w:type="dxa"/>
            <w:vAlign w:val="bottom"/>
          </w:tcPr>
          <w:p>
            <w:pPr>
              <w:ind w:left="6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Mine Safety Disclosures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40</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6</w:t>
              </w:r>
            </w:hyperlink>
          </w:p>
        </w:tc>
        <w:tc>
          <w:tcPr>
            <w:tcW w:w="7700" w:type="dxa"/>
            <w:vAlign w:val="bottom"/>
          </w:tcPr>
          <w:p>
            <w:pPr>
              <w:ind w:left="6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Exhibits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40</w:t>
              </w:r>
            </w:hyperlink>
          </w:p>
        </w:tc>
      </w:tr>
      <w:tr>
        <w:trPr>
          <w:trHeight w:val="256"/>
        </w:trPr>
        <w:tc>
          <w:tcPr>
            <w:tcW w:w="1060" w:type="dxa"/>
            <w:vAlign w:val="bottom"/>
          </w:tcPr>
          <w:p>
            <w:pPr>
              <w:spacing w:after="0"/>
              <w:rPr>
                <w:rFonts w:ascii="Arial" w:cs="Arial" w:eastAsia="Arial" w:hAnsi="Arial"/>
                <w:sz w:val="16"/>
                <w:szCs w:val="16"/>
                <w:u w:val="single" w:color="auto"/>
                <w:color w:val="0000EE"/>
                <w:w w:val="99"/>
              </w:rPr>
            </w:pPr>
            <w:hyperlink w:anchor="page41">
              <w:r>
                <w:rPr>
                  <w:rFonts w:ascii="Arial" w:cs="Arial" w:eastAsia="Arial" w:hAnsi="Arial"/>
                  <w:sz w:val="16"/>
                  <w:szCs w:val="16"/>
                  <w:u w:val="single" w:color="auto"/>
                  <w:color w:val="0000EE"/>
                  <w:w w:val="99"/>
                </w:rPr>
                <w:t>SIGNATURES</w:t>
              </w:r>
            </w:hyperlink>
          </w:p>
        </w:tc>
        <w:tc>
          <w:tcPr>
            <w:tcW w:w="7700" w:type="dxa"/>
            <w:vAlign w:val="bottom"/>
          </w:tcPr>
          <w:p>
            <w:pPr>
              <w:spacing w:after="0"/>
              <w:rPr>
                <w:sz w:val="22"/>
                <w:szCs w:val="22"/>
                <w:color w:val="auto"/>
              </w:rPr>
            </w:pPr>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tc>
      </w:tr>
      <w:tr>
        <w:trPr>
          <w:trHeight w:val="635"/>
        </w:trPr>
        <w:tc>
          <w:tcPr>
            <w:tcW w:w="1060" w:type="dxa"/>
            <w:vAlign w:val="bottom"/>
          </w:tcPr>
          <w:p>
            <w:pPr>
              <w:spacing w:after="0"/>
              <w:rPr>
                <w:sz w:val="24"/>
                <w:szCs w:val="24"/>
                <w:color w:val="auto"/>
              </w:rPr>
            </w:pPr>
          </w:p>
        </w:tc>
        <w:tc>
          <w:tcPr>
            <w:tcW w:w="7700" w:type="dxa"/>
            <w:vAlign w:val="bottom"/>
          </w:tcPr>
          <w:p>
            <w:pPr>
              <w:ind w:left="4360"/>
              <w:spacing w:after="0"/>
              <w:rPr>
                <w:sz w:val="20"/>
                <w:szCs w:val="20"/>
                <w:color w:val="auto"/>
              </w:rPr>
            </w:pPr>
            <w:r>
              <w:rPr>
                <w:rFonts w:ascii="Arial" w:cs="Arial" w:eastAsia="Arial" w:hAnsi="Arial"/>
                <w:sz w:val="16"/>
                <w:szCs w:val="16"/>
                <w:color w:val="auto"/>
              </w:rPr>
              <w:t>2</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920"/>
          </w:cols>
          <w:pgMar w:left="480" w:top="504" w:right="4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June 30,</w:t>
            </w:r>
          </w:p>
        </w:tc>
      </w:tr>
      <w:tr>
        <w:trPr>
          <w:trHeight w:val="33"/>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1,569,297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1,939,006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2,985,901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3,457,346</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1,341,825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1,633,400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2,568,122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2,945,448</w:t>
            </w:r>
          </w:p>
        </w:tc>
      </w:tr>
      <w:tr>
        <w:trPr>
          <w:trHeight w:val="33"/>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109,504</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9,793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9,471</w:t>
            </w:r>
          </w:p>
        </w:tc>
      </w:tr>
      <w:tr>
        <w:trPr>
          <w:trHeight w:val="33"/>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143,436</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14,808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31,812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38,881</w:t>
            </w:r>
          </w:p>
        </w:tc>
      </w:tr>
      <w:tr>
        <w:trPr>
          <w:trHeight w:val="33"/>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8,317</w:t>
            </w:r>
          </w:p>
        </w:tc>
      </w:tr>
      <w:tr>
        <w:trPr>
          <w:trHeight w:val="33"/>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215,100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(51,770)</w:t>
            </w:r>
          </w:p>
        </w:tc>
      </w:tr>
      <w:tr>
        <w:trPr>
          <w:trHeight w:val="33"/>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162,823</w:t>
            </w:r>
          </w:p>
        </w:tc>
      </w:tr>
      <w:tr>
        <w:trPr>
          <w:trHeight w:val="290"/>
        </w:trPr>
        <w:tc>
          <w:tcPr>
            <w:tcW w:w="68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 (Note 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75,088</w:t>
            </w:r>
          </w:p>
        </w:tc>
      </w:tr>
      <w:tr>
        <w:trPr>
          <w:trHeight w:val="210"/>
        </w:trPr>
        <w:tc>
          <w:tcPr>
            <w:tcW w:w="6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72,777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75,747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74,135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75,661</w:t>
            </w:r>
          </w:p>
        </w:tc>
      </w:tr>
      <w:tr>
        <w:trPr>
          <w:trHeight w:val="33"/>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5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gains,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6860" w:type="dxa"/>
            <w:vAlign w:val="bottom"/>
          </w:tcPr>
          <w:p>
            <w:pPr>
              <w:ind w:left="200"/>
              <w:spacing w:after="0"/>
              <w:rPr>
                <w:sz w:val="20"/>
                <w:szCs w:val="20"/>
                <w:color w:val="auto"/>
              </w:rPr>
            </w:pPr>
            <w:r>
              <w:rPr>
                <w:rFonts w:ascii="Arial" w:cs="Arial" w:eastAsia="Arial" w:hAnsi="Arial"/>
                <w:sz w:val="16"/>
                <w:szCs w:val="16"/>
                <w:color w:val="auto"/>
              </w:rPr>
              <w:t>Unrealized losses on equity investee activity, net of tax</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(14,194)</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149,149</w:t>
            </w:r>
          </w:p>
        </w:tc>
      </w:tr>
      <w:tr>
        <w:trPr>
          <w:trHeight w:val="217"/>
        </w:trPr>
        <w:tc>
          <w:tcPr>
            <w:tcW w:w="6860" w:type="dxa"/>
            <w:vAlign w:val="bottom"/>
          </w:tcPr>
          <w:p>
            <w:pPr>
              <w:ind w:left="20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148,642</w:t>
            </w: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5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71,427</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Accounts receivable, net of allowance</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927,764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850,326</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1,024,568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104,893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100,069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45,728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75,169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2,173,559</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972,177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905,835</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229,903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1,227,405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1,221,440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211,528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252,346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254,741</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4,989,985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4,997,006</w:t>
            </w:r>
          </w:p>
        </w:tc>
      </w:tr>
      <w:tr>
        <w:trPr>
          <w:trHeight w:val="231"/>
        </w:trPr>
        <w:tc>
          <w:tcPr>
            <w:tcW w:w="822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Current portion of long-term debt, including finance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126,697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118,429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81,561</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630,456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535,029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87,562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accrued expenses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163,629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115,581</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206,180</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68,267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74,784</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1,219,126</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Long-term debt, including finance leases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1,115,839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1,314,030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154,553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267,525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296,326</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221,280</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3,239,149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3,205,315</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220" w:type="dxa"/>
            <w:vAlign w:val="bottom"/>
          </w:tcPr>
          <w:p>
            <w:pPr>
              <w:ind w:left="180"/>
              <w:spacing w:after="0"/>
              <w:rPr>
                <w:sz w:val="20"/>
                <w:szCs w:val="20"/>
                <w:color w:val="auto"/>
              </w:rPr>
            </w:pPr>
            <w:r>
              <w:rPr>
                <w:rFonts w:ascii="Arial" w:cs="Arial" w:eastAsia="Arial" w:hAnsi="Arial"/>
                <w:sz w:val="16"/>
                <w:szCs w:val="16"/>
                <w:color w:val="auto"/>
                <w:w w:val="93"/>
              </w:rPr>
              <w:t>Common stock, $0.10 par value: authorized shares - 145,000,000; issued shares - 92,665,097 and 91,909,430 (including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220" w:type="dxa"/>
            <w:vAlign w:val="bottom"/>
          </w:tcPr>
          <w:p>
            <w:pPr>
              <w:ind w:left="180"/>
              <w:spacing w:after="0"/>
              <w:rPr>
                <w:sz w:val="20"/>
                <w:szCs w:val="20"/>
                <w:color w:val="auto"/>
              </w:rPr>
            </w:pPr>
            <w:r>
              <w:rPr>
                <w:rFonts w:ascii="Arial" w:cs="Arial" w:eastAsia="Arial" w:hAnsi="Arial"/>
                <w:sz w:val="16"/>
                <w:szCs w:val="16"/>
                <w:color w:val="auto"/>
              </w:rPr>
              <w:t>1,734,554 and 1,221,593 of unvested stock awards) as of June 30, 2020 and December 31, 2019, respectively</w:t>
            </w:r>
          </w:p>
        </w:tc>
        <w:tc>
          <w:tcPr>
            <w:tcW w:w="2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9,191</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809,753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1,603,944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1,510,709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(75,706)</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w w:val="90"/>
              </w:rPr>
              <w:t>Treasury stock, at cost: 18,941,926 shares and 15,344,917 shares as of June 30, 2020 and December 31, 2019, respectively</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(586,955)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(466,727)</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1,787,220</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4,471</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1,750,836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1,791,691</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4,989,985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4,997,006</w:t>
            </w: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504"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04"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72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Other</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MasTec, Inc.</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1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Shareholders’</w:t>
            </w:r>
          </w:p>
        </w:tc>
        <w:tc>
          <w:tcPr>
            <w:tcW w:w="9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Surplus</w:t>
            </w: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2020</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7"/>
              </w:rPr>
              <w:t>Balance as of March 31,</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2020</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92,618,032</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$ 9,262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(18,914,841)</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$(586,153)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$814,425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$1,546,939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(98,963)</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1,685,510</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4,303</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$1,689,813</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56,827</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5,850</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Forfeiture of restricted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6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(27,085)</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92,665,097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$ 9,267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(18,941,926)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$(586,955)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$821,584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$1,603,944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1,746,711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$1,750,836</w:t>
            </w:r>
          </w:p>
        </w:tc>
        <w:tc>
          <w:tcPr>
            <w:tcW w:w="0" w:type="dxa"/>
            <w:vAlign w:val="bottom"/>
          </w:tcPr>
          <w:p>
            <w:pPr>
              <w:spacing w:after="0"/>
              <w:rPr>
                <w:sz w:val="1"/>
                <w:szCs w:val="1"/>
                <w:color w:val="auto"/>
              </w:rPr>
            </w:pPr>
          </w:p>
        </w:tc>
      </w:tr>
      <w:tr>
        <w:trPr>
          <w:trHeight w:val="291"/>
        </w:trPr>
        <w:tc>
          <w:tcPr>
            <w:tcW w:w="17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2019</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7"/>
              </w:rPr>
              <w:t>Balance as of March 31,</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2019</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91,591,398</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$ 9,159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$793,748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$1,161,487</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(66,056)</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1,431,611</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$1,433,732</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120,223</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(8,619)</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35,531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w w:val="95"/>
              </w:rPr>
              <w:t>Contributions from non-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controlling interests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91,626,986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$ 9,163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$799,162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$1,281,198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1,548,121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$1,551,338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5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6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Other</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MasTec, Inc.</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120"/>
              <w:spacing w:after="0" w:line="182"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1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Shareholders’</w:t>
            </w:r>
          </w:p>
        </w:tc>
        <w:tc>
          <w:tcPr>
            <w:tcW w:w="9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Surplus</w:t>
            </w: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Six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2020</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5"/>
              </w:rPr>
              <w:t>Balance as of December</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31, 2019</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91,909,430</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$ 9,191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$809,753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$1,510,709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(75,706)</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1,787,220</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$1,791,691</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92,889</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(25,423)</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9,899</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693,355</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62,312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(3,597,009)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(120,228)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(120,228)</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92,665,097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$ 9,267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(18,941,926)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$(586,955)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$821,584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$1,603,944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1,746,711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$1,750,836</w:t>
            </w:r>
          </w:p>
        </w:tc>
        <w:tc>
          <w:tcPr>
            <w:tcW w:w="0" w:type="dxa"/>
            <w:vAlign w:val="bottom"/>
          </w:tcPr>
          <w:p>
            <w:pPr>
              <w:spacing w:after="0"/>
              <w:rPr>
                <w:sz w:val="1"/>
                <w:szCs w:val="1"/>
                <w:color w:val="auto"/>
              </w:rPr>
            </w:pPr>
          </w:p>
        </w:tc>
      </w:tr>
      <w:tr>
        <w:trPr>
          <w:trHeight w:val="290"/>
        </w:trPr>
        <w:tc>
          <w:tcPr>
            <w:tcW w:w="17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Six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2019</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5"/>
              </w:rPr>
              <w:t>Balance as of December</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31, 2018</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91,327,009</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$ 9,133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(15,329,817)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$(466,125)</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$789,009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$1,118,375</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(60,494)</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1,389,898</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$1,392,024</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(14,181)</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233,419</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Contributions from non-</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controlling interests</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504" w:right="339" w:bottom="1440" w:gutter="0" w:footer="0" w:header="0"/>
        </w:sectPr>
      </w:pPr>
    </w:p>
    <w:p>
      <w:pPr>
        <w:ind w:left="40"/>
        <w:spacing w:after="0" w:line="293" w:lineRule="auto"/>
        <w:rPr>
          <w:sz w:val="20"/>
          <w:szCs w:val="20"/>
          <w:color w:val="auto"/>
        </w:rPr>
      </w:pPr>
      <w:r>
        <w:rPr>
          <w:rFonts w:ascii="Arial" w:cs="Arial" w:eastAsia="Arial" w:hAnsi="Arial"/>
          <w:sz w:val="16"/>
          <w:szCs w:val="16"/>
          <w:color w:val="auto"/>
        </w:rPr>
        <w:t>Balance as of June 30, 2019</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spacing w:after="0"/>
              <w:rPr>
                <w:sz w:val="20"/>
                <w:szCs w:val="20"/>
                <w:color w:val="auto"/>
              </w:rPr>
            </w:pPr>
            <w:r>
              <w:rPr>
                <w:rFonts w:ascii="Arial" w:cs="Arial" w:eastAsia="Arial" w:hAnsi="Arial"/>
                <w:sz w:val="16"/>
                <w:szCs w:val="16"/>
                <w:color w:val="auto"/>
                <w:w w:val="92"/>
              </w:rPr>
              <w:t>91,626,986</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$ 9,163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$799,162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$1,281,198</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(74,675)</w:t>
            </w: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96"/>
              </w:rPr>
              <w:t>$  1,548,121</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$1,551,338</w:t>
            </w:r>
          </w:p>
        </w:tc>
      </w:tr>
      <w:tr>
        <w:trPr>
          <w:trHeight w:val="47"/>
        </w:trPr>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7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15"/>
          </w:tcPr>
          <w:p>
            <w:pPr>
              <w:ind w:left="10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1480" w:space="260"/>
            <w:col w:w="9500"/>
          </w:cols>
          <w:pgMar w:left="320" w:top="504" w:right="339" w:bottom="1440" w:gutter="0" w:footer="0" w:header="0"/>
          <w:type w:val="continuous"/>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92,889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163,330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110,776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109,504</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Benefit from deferred income taxes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(14,190)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Gains on sales of assets,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(6,074)</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items,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(2,899)</w:t>
            </w:r>
          </w:p>
        </w:tc>
      </w:tr>
      <w:tr>
        <w:trPr>
          <w:trHeight w:val="237"/>
        </w:trPr>
        <w:tc>
          <w:tcPr>
            <w:tcW w:w="8220" w:type="dxa"/>
            <w:vAlign w:val="bottom"/>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Contract assets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64,321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113,827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6,187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130,784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(12,278)</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496,502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351,461</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(94,647)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17,861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19,567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other investments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14,705</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(136,673)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(122,802)</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1,235,935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1,627,909</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(1,754,043)</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(Repayments of) proceeds from other borrowings,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finance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(38,646)</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(29,267)</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stock-based awards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2,311</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stock-based awards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(120,228)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(5,652)</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(196,825)</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Effect of currency translation on cash</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31,754</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27,422</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59,176</w:t>
            </w:r>
          </w:p>
        </w:tc>
      </w:tr>
      <w:tr>
        <w:trPr>
          <w:trHeight w:val="128"/>
        </w:trPr>
        <w:tc>
          <w:tcPr>
            <w:tcW w:w="8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22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33,046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43,102</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payments, net of refunds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39,417</w:t>
            </w:r>
          </w:p>
        </w:tc>
      </w:tr>
      <w:tr>
        <w:trPr>
          <w:trHeight w:val="237"/>
        </w:trPr>
        <w:tc>
          <w:tcPr>
            <w:tcW w:w="822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from finance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44,987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110,164</w:t>
            </w:r>
          </w:p>
        </w:tc>
      </w:tr>
      <w:tr>
        <w:trPr>
          <w:trHeight w:val="33"/>
        </w:trPr>
        <w:tc>
          <w:tcPr>
            <w:tcW w:w="8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504" w:right="339" w:bottom="404"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504" w:right="339" w:bottom="404"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from renewable sources; heavy civil; and industrial infrastructure. MasTec’s customers are primarily in these industries. MasTec reports its results under five reportable segments: (1) Communications; (2) Oil and Gas; (3) Electrical Transmission; (4) Clean Energy and Infrastructure; and (5) Other. During the second quarter of 2020, the Company renamed its Power Generation and Industrial segment as the Clean Energy and Infrastructure segment to better represent the nature of the segment’s operations, end markets and customer characteristics. There was no change to the composition of the segment or its historical results.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2019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2019 contained in the Company’s 2019 Annual Report on Form 10-K (the “2019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including the potential future effects of the COVID-19 pandemic and other relevant global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other liabilities, equity investments and other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50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The Company derives revenue primarily from construction projects performed under: (i) master and other service agreements, which provide a menu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36% and 33% of consolidated revenue for the three month periods ended June 30, 2020 and 2019, respectively, and totaled 39% and 36% for the six month periods ended June 30, 2020 and 2019, respectively.</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For each of the three and six month periods ended June 30, 2020 and 2019, point in time revenue accounted for approximately 5% of consolidated revenue. Substantially all of the Company’s other revenue is recognized over time.</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six month periods ended June 30, 2020 and 2019, project profit was affected by less than 5% as a result of changes in contract estimates included in projects that were in process as of December 31, 2019 and 2018. Revenue recognized for the three month periods ended June 30, 2020 and 2019 as a result of changes in total contract transaction price estimates, including for variable consideration, from performance obligations satisfied or partially satisfied in prior periods, totaled approximately $5.4 million and $22.6 million, respectively, and totaled $15.8 million and $28.9 million for the six month periods ended June 30, 2020 and 2019, respectively.</w:t>
      </w:r>
    </w:p>
    <w:p>
      <w:pPr>
        <w:spacing w:after="0" w:line="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not material for the three or six month periods ended June 30, 2020 or 2019.</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2020, the amount of the Company’s remaining performance obligations was $5.3 billion. Based on current expectations, the Company expects to recognize approximately $2.8 billion of its remaining performance obligations as revenue during 2020, with the remainder to be recognized primarily in 2021.</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June 30, 2020 and December 31, 2019, the Company included approximately $40 million and $27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June 30, 2020 and December 31, 2019, these change orders and/or claims were primarily related to certain projects in the Company’s Oil and Gas and Electrical Transmission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See the recent accounting pronouncements discussion below for information pertaining to the effects of recently adopted and other recent accounting pronouncements, as updated from the discussion in the Company’s 2019 Form 10-K.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Accounting Pronouncements Adopted in 2020</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252525"/>
        </w:rPr>
        <w:t xml:space="preserve">In August 2018, the Financial Accounting Standards Board (“FASB”) issued Accounting Standard Update (“ASU”) 2018-15, </w:t>
      </w:r>
      <w:r>
        <w:rPr>
          <w:rFonts w:ascii="Arial" w:cs="Arial" w:eastAsia="Arial" w:hAnsi="Arial"/>
          <w:sz w:val="15"/>
          <w:szCs w:val="15"/>
          <w:i w:val="1"/>
          <w:iCs w:val="1"/>
          <w:color w:val="252525"/>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5"/>
          <w:szCs w:val="15"/>
          <w:color w:val="252525"/>
        </w:rPr>
        <w:t>(“ASU</w:t>
      </w:r>
      <w:r>
        <w:rPr>
          <w:rFonts w:ascii="Arial" w:cs="Arial" w:eastAsia="Arial" w:hAnsi="Arial"/>
          <w:sz w:val="15"/>
          <w:szCs w:val="15"/>
          <w:i w:val="1"/>
          <w:iCs w:val="1"/>
          <w:color w:val="252525"/>
        </w:rPr>
        <w:t xml:space="preserve"> </w:t>
      </w:r>
      <w:r>
        <w:rPr>
          <w:rFonts w:ascii="Arial" w:cs="Arial" w:eastAsia="Arial" w:hAnsi="Arial"/>
          <w:sz w:val="15"/>
          <w:szCs w:val="15"/>
          <w:color w:val="252525"/>
        </w:rPr>
        <w:t>2018-15”) to reduce diversity in practice in accounting for the costs of 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which the Company adopted on a prospective basis during the first quarter of 2020, did not have a material effect on the Company’s consolidated financial statements.</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 Disclosure Requiremen</w:t>
      </w:r>
      <w:r>
        <w:rPr>
          <w:rFonts w:ascii="Arial" w:cs="Arial" w:eastAsia="Arial" w:hAnsi="Arial"/>
          <w:sz w:val="15"/>
          <w:szCs w:val="15"/>
          <w:i w:val="1"/>
          <w:iCs w:val="1"/>
          <w:color w:val="252525"/>
        </w:rPr>
        <w:t>ts for Fair</w:t>
      </w:r>
      <w:r>
        <w:rPr>
          <w:rFonts w:ascii="Arial" w:cs="Arial" w:eastAsia="Arial" w:hAnsi="Arial"/>
          <w:sz w:val="15"/>
          <w:szCs w:val="15"/>
          <w:color w:val="auto"/>
        </w:rPr>
        <w:t xml:space="preserve"> </w:t>
      </w:r>
      <w:r>
        <w:rPr>
          <w:rFonts w:ascii="Arial" w:cs="Arial" w:eastAsia="Arial" w:hAnsi="Arial"/>
          <w:sz w:val="15"/>
          <w:szCs w:val="15"/>
          <w:i w:val="1"/>
          <w:iCs w:val="1"/>
          <w:color w:val="252525"/>
        </w:rPr>
        <w:t xml:space="preserve">Value Measurement </w:t>
      </w:r>
      <w:r>
        <w:rPr>
          <w:rFonts w:ascii="Arial" w:cs="Arial" w:eastAsia="Arial" w:hAnsi="Arial"/>
          <w:sz w:val="15"/>
          <w:szCs w:val="15"/>
          <w:color w:val="252525"/>
        </w:rPr>
        <w:t>(“ASU 2018-13”). ASU 2018-13, which is intended to improve the effectiveness of fair value measurement disclosures, modifies the disclosure</w:t>
      </w:r>
      <w:r>
        <w:rPr>
          <w:rFonts w:ascii="Arial" w:cs="Arial" w:eastAsia="Arial" w:hAnsi="Arial"/>
          <w:sz w:val="15"/>
          <w:szCs w:val="15"/>
          <w:i w:val="1"/>
          <w:iCs w:val="1"/>
          <w:color w:val="252525"/>
        </w:rPr>
        <w:t xml:space="preserve"> </w:t>
      </w:r>
      <w:r>
        <w:rPr>
          <w:rFonts w:ascii="Arial" w:cs="Arial" w:eastAsia="Arial" w:hAnsi="Arial"/>
          <w:sz w:val="15"/>
          <w:szCs w:val="15"/>
          <w:color w:val="252525"/>
        </w:rPr>
        <w:t>requirements for certain estimates and assumptions used in determining the fair value of assets and liabilities. ASU 2018-13, which the Company adopted during the first quarter of 2020, did not have a material effect on the Company’s consolidated financial statements. See Note 4 - Fair Value of Financial Instruments for disclosure updates pertaining to significant unobservable inputs used to develop fair value estimates for certain of the Company’s Level 3 financial instruments.</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252525"/>
        </w:rPr>
        <w:t>. This</w:t>
      </w:r>
      <w:r>
        <w:rPr>
          <w:rFonts w:ascii="Arial" w:cs="Arial" w:eastAsia="Arial" w:hAnsi="Arial"/>
          <w:sz w:val="15"/>
          <w:szCs w:val="15"/>
          <w:color w:val="auto"/>
        </w:rPr>
        <w:t xml:space="preserve"> </w:t>
      </w:r>
      <w:r>
        <w:rPr>
          <w:rFonts w:ascii="Arial" w:cs="Arial" w:eastAsia="Arial" w:hAnsi="Arial"/>
          <w:sz w:val="15"/>
          <w:szCs w:val="15"/>
          <w:color w:val="252525"/>
        </w:rPr>
        <w:t xml:space="preserve">ASU, together with its related clarifying ASUs (collectively, “ASU 2016-13”), introduced an expected credit loss methodology for the measurement and recognition of credit losses on most financial assets, including financial assets arising from revenue transactions, such as accounts receivable and contract assets. The new expected credit loss methodology, which is based on historical experience, current conditions and reasonable and supportable forecasts, replaced the incurred loss model for measuring and recognizing expected credit losses. </w:t>
      </w:r>
      <w:r>
        <w:rPr>
          <w:rFonts w:ascii="Arial" w:cs="Arial" w:eastAsia="Arial" w:hAnsi="Arial"/>
          <w:sz w:val="15"/>
          <w:szCs w:val="15"/>
          <w:color w:val="000000"/>
        </w:rPr>
        <w:t>The Company adopted this ASU in the first quarter of 2020 and incorporated this guidance into its methodology for estimating its</w:t>
      </w:r>
      <w:r>
        <w:rPr>
          <w:rFonts w:ascii="Arial" w:cs="Arial" w:eastAsia="Arial" w:hAnsi="Arial"/>
          <w:sz w:val="15"/>
          <w:szCs w:val="15"/>
          <w:color w:val="252525"/>
        </w:rPr>
        <w:t xml:space="preserve"> </w:t>
      </w:r>
      <w:r>
        <w:rPr>
          <w:rFonts w:ascii="Arial" w:cs="Arial" w:eastAsia="Arial" w:hAnsi="Arial"/>
          <w:sz w:val="15"/>
          <w:szCs w:val="15"/>
          <w:color w:val="000000"/>
        </w:rPr>
        <w:t xml:space="preserve">accounts receivable allowances. Based on historical trends, the financial condition of the Company’s customers and management’s expectations of economic and industry factors affecting the Company’s customers, ASU 2016-13 did not have a material effect on the Company’s consolidated financial statements upon adoption. Future credit loss expectations could be affected by changes in estimates or developing trends, including from changes in credit quality of the Company’s customers, changes in specific risks associated with the Company’s financial assets, or from changes in management’s expectations of future economic and industry conditions or other factors. Management actively monitors the economic environment, including any potential effects from the COVID-19 pandemic and/or volatility in the oil and gas markets on the credit quality of the Company’s customers and/or its financial assets. </w:t>
      </w:r>
      <w:r>
        <w:rPr>
          <w:rFonts w:ascii="Arial" w:cs="Arial" w:eastAsia="Arial" w:hAnsi="Arial"/>
          <w:sz w:val="15"/>
          <w:szCs w:val="15"/>
          <w:color w:val="252525"/>
        </w:rPr>
        <w:t>For additional information about the Company’s accounts receivable and related allowances, see Note</w:t>
      </w:r>
      <w:r>
        <w:rPr>
          <w:rFonts w:ascii="Arial" w:cs="Arial" w:eastAsia="Arial" w:hAnsi="Arial"/>
          <w:sz w:val="15"/>
          <w:szCs w:val="15"/>
          <w:color w:val="000000"/>
        </w:rPr>
        <w:t xml:space="preserve"> </w:t>
      </w:r>
      <w:r>
        <w:rPr>
          <w:rFonts w:ascii="Arial" w:cs="Arial" w:eastAsia="Arial" w:hAnsi="Arial"/>
          <w:sz w:val="15"/>
          <w:szCs w:val="15"/>
          <w:color w:val="252525"/>
        </w:rPr>
        <w:t>5 - Accounts Receivable, Net of Allowance, and Contract Assets and Liabilities.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252525"/>
        </w:rPr>
        <w:t xml:space="preserve">In March 2020, the Securities and Exchange Commission (the “SEC”) issued a final rule, </w:t>
      </w:r>
      <w:r>
        <w:rPr>
          <w:rFonts w:ascii="Arial" w:cs="Arial" w:eastAsia="Arial" w:hAnsi="Arial"/>
          <w:sz w:val="16"/>
          <w:szCs w:val="16"/>
          <w:i w:val="1"/>
          <w:iCs w:val="1"/>
          <w:color w:val="252525"/>
        </w:rPr>
        <w:t>Financial Disclosures about Guarantors and Issuers of Guaranteed</w:t>
      </w:r>
      <w:r>
        <w:rPr>
          <w:rFonts w:ascii="Arial" w:cs="Arial" w:eastAsia="Arial" w:hAnsi="Arial"/>
          <w:sz w:val="16"/>
          <w:szCs w:val="16"/>
          <w:color w:val="252525"/>
        </w:rPr>
        <w:t xml:space="preserve"> </w:t>
      </w:r>
      <w:r>
        <w:rPr>
          <w:rFonts w:ascii="Arial" w:cs="Arial" w:eastAsia="Arial" w:hAnsi="Arial"/>
          <w:sz w:val="16"/>
          <w:szCs w:val="16"/>
          <w:i w:val="1"/>
          <w:iCs w:val="1"/>
          <w:color w:val="252525"/>
        </w:rPr>
        <w:t>Securities and Affiliates Whose Securities Collateralize a Registrant’s Securities</w:t>
      </w:r>
      <w:r>
        <w:rPr>
          <w:rFonts w:ascii="Arial" w:cs="Arial" w:eastAsia="Arial" w:hAnsi="Arial"/>
          <w:sz w:val="16"/>
          <w:szCs w:val="16"/>
          <w:color w:val="252525"/>
        </w:rPr>
        <w:t>, that simplifies the disclosure requirements related to registered debt securities under Rule</w:t>
      </w:r>
      <w:r>
        <w:rPr>
          <w:rFonts w:ascii="Arial" w:cs="Arial" w:eastAsia="Arial" w:hAnsi="Arial"/>
          <w:sz w:val="16"/>
          <w:szCs w:val="16"/>
          <w:i w:val="1"/>
          <w:iCs w:val="1"/>
          <w:color w:val="252525"/>
        </w:rPr>
        <w:t xml:space="preserve"> </w:t>
      </w:r>
      <w:r>
        <w:rPr>
          <w:rFonts w:ascii="Arial" w:cs="Arial" w:eastAsia="Arial" w:hAnsi="Arial"/>
          <w:sz w:val="16"/>
          <w:szCs w:val="16"/>
          <w:color w:val="252525"/>
        </w:rPr>
        <w:t>3-10 of Regulation S-X. Among other updates, the final rule replaces the requirement to provide condensed consolidating financial information with a requirement to provide summarized financial information of the issuers and guarantors, reduces the periods for which summarized financial information is required to the most recent annual period and year-to-date interim period, and permits the disclosures to be located outside the financial statements. The Company early adopted the reporting requirements of the final rule in the second quarter of 2020, and the disclosure required thereby is included within Item 2, Management’s Discussion and Analysis of Financial Condition and Results of Operations for related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252525"/>
        </w:rPr>
        <w:t xml:space="preserve">In March 2020, the FASB issued ASU 2020-04, </w:t>
      </w:r>
      <w:r>
        <w:rPr>
          <w:rFonts w:ascii="Arial" w:cs="Arial" w:eastAsia="Arial" w:hAnsi="Arial"/>
          <w:sz w:val="16"/>
          <w:szCs w:val="16"/>
          <w:i w:val="1"/>
          <w:iCs w:val="1"/>
          <w:color w:val="252525"/>
        </w:rPr>
        <w:t>Reference Reform Rate (Topic 848): Facilitation of the Effects of Reference Rate Reform on Financial Reporting</w:t>
      </w:r>
      <w:r>
        <w:rPr>
          <w:rFonts w:ascii="Arial" w:cs="Arial" w:eastAsia="Arial" w:hAnsi="Arial"/>
          <w:sz w:val="16"/>
          <w:szCs w:val="16"/>
          <w:color w:val="252525"/>
        </w:rPr>
        <w:t xml:space="preserve"> (“ASU 2020-04”)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The guidance in ASU 2020-04 may be implemented over time as reference rate reform activities occur. The Company is currently evaluating the impact of reference rate reform and the potential application of this guidance.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16"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4"/>
              </w:rPr>
              <w:t>For the Three Months Ended</w:t>
            </w:r>
          </w:p>
        </w:tc>
        <w:tc>
          <w:tcPr>
            <w:tcW w:w="120" w:type="dxa"/>
            <w:vAlign w:val="bottom"/>
          </w:tcPr>
          <w:p>
            <w:pPr>
              <w:spacing w:after="0"/>
              <w:rPr>
                <w:sz w:val="17"/>
                <w:szCs w:val="17"/>
                <w:color w:val="auto"/>
              </w:rPr>
            </w:pPr>
          </w:p>
        </w:tc>
        <w:tc>
          <w:tcPr>
            <w:tcW w:w="19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87"/>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87"/>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70"/>
        </w:trPr>
        <w:tc>
          <w:tcPr>
            <w:tcW w:w="686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57,005</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119,710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93,235</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162,823</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72,045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75,183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73,392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75,088</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r>
      <w:tr>
        <w:trPr>
          <w:trHeight w:val="217"/>
        </w:trPr>
        <w:tc>
          <w:tcPr>
            <w:tcW w:w="686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72,777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75,747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75,661</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six month period ended June 30, 2020, there were 88,462 anti-dilutive common stock equivalents.</w:t>
      </w:r>
    </w:p>
    <w:p>
      <w:pPr>
        <w:spacing w:after="0" w:line="11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The Company repurchased approximately 3.6 million shares of its common stock during the six month period ended June 30, 2020, as discussed in Note 11 - Equity. The effect of these repurchases on the Company’s weighted average shares outstanding for the six month period ended June 30, 2020 was a reduction of 2.2 million shares, due to the timing of the repurchases.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June 30, 2020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Clean Energy</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2"/>
              </w:rPr>
              <w:t>Electrical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and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2"/>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Transmission</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6"/>
              </w:rPr>
              <w:t>Infrastructure</w:t>
            </w: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Total Goodwill</w:t>
            </w:r>
          </w:p>
        </w:tc>
      </w:tr>
      <w:tr>
        <w:trPr>
          <w:trHeight w:val="254"/>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547.5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493.6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152.7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1,343.9</w:t>
            </w:r>
          </w:p>
        </w:tc>
      </w:tr>
      <w:tr>
        <w:trPr>
          <w:trHeight w:val="246"/>
        </w:trPr>
        <w:tc>
          <w:tcPr>
            <w:tcW w:w="474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(116.5)</w:t>
            </w:r>
          </w:p>
        </w:tc>
      </w:tr>
      <w:tr>
        <w:trPr>
          <w:trHeight w:val="250"/>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547.5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377.1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150.1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152.7</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1,227.4</w:t>
            </w:r>
          </w:p>
        </w:tc>
      </w:tr>
    </w:tbl>
    <w:p>
      <w:pPr>
        <w:spacing w:after="0" w:line="200" w:lineRule="exact"/>
        <w:rPr>
          <w:sz w:val="20"/>
          <w:szCs w:val="20"/>
          <w:color w:val="auto"/>
        </w:rPr>
      </w:pPr>
    </w:p>
    <w:p>
      <w:pPr>
        <w:spacing w:after="0" w:line="2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six month period ended June 30, 2020, goodwill included additions of $5.2 million from new business combinations and a net increase of $1.4 million from measurement period adjustments. Currency translation effects related to goodwill and accumulated impairment losses for the six month period ended June 30, 2020 totaled approximately $5.6 million of losses and $5.0 million of gains, respectively.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Other Intangible Assets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rPr>
              <w:t>Non-Amortizing</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Amortizing</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1"/>
              </w:rPr>
              <w:t>Customer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00"/>
              <w:spacing w:after="0" w:line="162" w:lineRule="exact"/>
              <w:rPr>
                <w:sz w:val="20"/>
                <w:szCs w:val="20"/>
                <w:color w:val="auto"/>
              </w:rPr>
            </w:pPr>
            <w:r>
              <w:rPr>
                <w:rFonts w:ascii="Arial" w:cs="Arial" w:eastAsia="Arial" w:hAnsi="Arial"/>
                <w:sz w:val="15"/>
                <w:szCs w:val="15"/>
                <w:b w:val="1"/>
                <w:bCs w:val="1"/>
                <w:color w:val="auto"/>
              </w:rPr>
              <w:t>Trade</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Relationships</w:t>
            </w:r>
          </w:p>
        </w:tc>
        <w:tc>
          <w:tcPr>
            <w:tcW w:w="100" w:type="dxa"/>
            <w:vAlign w:val="bottom"/>
          </w:tcPr>
          <w:p>
            <w:pPr>
              <w:spacing w:after="0"/>
              <w:rPr>
                <w:sz w:val="14"/>
                <w:szCs w:val="14"/>
                <w:color w:val="auto"/>
              </w:rPr>
            </w:pPr>
          </w:p>
        </w:tc>
        <w:tc>
          <w:tcPr>
            <w:tcW w:w="1220" w:type="dxa"/>
            <w:vAlign w:val="bottom"/>
            <w:gridSpan w:val="2"/>
          </w:tcPr>
          <w:p>
            <w:pPr>
              <w:ind w:left="360"/>
              <w:spacing w:after="0" w:line="162" w:lineRule="exact"/>
              <w:rPr>
                <w:sz w:val="20"/>
                <w:szCs w:val="20"/>
                <w:color w:val="auto"/>
              </w:rPr>
            </w:pPr>
            <w:r>
              <w:rPr>
                <w:rFonts w:ascii="Arial" w:cs="Arial" w:eastAsia="Arial" w:hAnsi="Arial"/>
                <w:sz w:val="15"/>
                <w:szCs w:val="15"/>
                <w:b w:val="1"/>
                <w:bCs w:val="1"/>
                <w:color w:val="auto"/>
              </w:rPr>
              <w:t>Pre-</w:t>
            </w:r>
          </w:p>
        </w:tc>
        <w:tc>
          <w:tcPr>
            <w:tcW w:w="120" w:type="dxa"/>
            <w:vAlign w:val="bottom"/>
          </w:tcPr>
          <w:p>
            <w:pPr>
              <w:spacing w:after="0"/>
              <w:rPr>
                <w:sz w:val="14"/>
                <w:szCs w:val="14"/>
                <w:color w:val="auto"/>
              </w:rPr>
            </w:pPr>
          </w:p>
        </w:tc>
        <w:tc>
          <w:tcPr>
            <w:tcW w:w="7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89"/>
              </w:rPr>
              <w:t xml:space="preserve">Other </w:t>
            </w:r>
            <w:r>
              <w:rPr>
                <w:rFonts w:ascii="Arial" w:cs="Arial" w:eastAsia="Arial" w:hAnsi="Arial"/>
                <w:sz w:val="25"/>
                <w:szCs w:val="25"/>
                <w:b w:val="1"/>
                <w:bCs w:val="1"/>
                <w:color w:val="auto"/>
                <w:w w:val="89"/>
                <w:vertAlign w:val="superscript"/>
              </w:rPr>
              <w:t>(a)</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Names</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4"/>
              </w:rPr>
              <w:t>Pre-Qualifications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9"/>
              </w:rPr>
              <w:t>and Backlog</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Qualifications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420.2</w:t>
            </w:r>
          </w:p>
        </w:tc>
        <w:tc>
          <w:tcPr>
            <w:tcW w:w="0" w:type="dxa"/>
            <w:vAlign w:val="bottom"/>
          </w:tcPr>
          <w:p>
            <w:pPr>
              <w:spacing w:after="0"/>
              <w:rPr>
                <w:sz w:val="1"/>
                <w:szCs w:val="1"/>
                <w:color w:val="auto"/>
              </w:rPr>
            </w:pPr>
          </w:p>
        </w:tc>
      </w:tr>
      <w:tr>
        <w:trPr>
          <w:trHeight w:val="266"/>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w:t>
            </w:r>
          </w:p>
        </w:tc>
        <w:tc>
          <w:tcPr>
            <w:tcW w:w="0" w:type="dxa"/>
            <w:vAlign w:val="bottom"/>
          </w:tcPr>
          <w:p>
            <w:pPr>
              <w:spacing w:after="0"/>
              <w:rPr>
                <w:sz w:val="1"/>
                <w:szCs w:val="1"/>
                <w:color w:val="auto"/>
              </w:rPr>
            </w:pPr>
          </w:p>
        </w:tc>
      </w:tr>
      <w:tr>
        <w:trPr>
          <w:trHeight w:val="254"/>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72.9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95.3</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246"/>
        </w:trPr>
        <w:tc>
          <w:tcPr>
            <w:tcW w:w="440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74"/>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Classification changes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(c)</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66"/>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expense</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92.7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6" w:lineRule="exact"/>
        <w:rPr>
          <w:rFonts w:ascii="Arial" w:cs="Arial" w:eastAsia="Arial" w:hAnsi="Arial"/>
          <w:sz w:val="14"/>
          <w:szCs w:val="14"/>
          <w:color w:val="auto"/>
        </w:rPr>
      </w:pPr>
    </w:p>
    <w:p>
      <w:pPr>
        <w:jc w:val="both"/>
        <w:ind w:left="340" w:hanging="332"/>
        <w:spacing w:after="0" w:line="265"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connection with its first quarter assessment of goodwill and indefinite-lived intangible assets, management reassessed the indefinite-life classification of its two pre-qualification intangible assets. Management determined that, based on changes in the assets’ characteristics, including current and expected changes in the customer mix of the associated reporting units, a finite-life classification for these assets was more appropriate. As a result, in the first quarter of 2020, the Company changed the classification of these pre-qualification intangible assets from indefinite-lived to finite-lived and began amortizing them on an accelerated basis, with an estimated remaining weighted average useful life of approximately 12 years.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2020 Acquisitions. </w:t>
      </w:r>
      <w:r>
        <w:rPr>
          <w:rFonts w:ascii="Arial" w:cs="Arial" w:eastAsia="Arial" w:hAnsi="Arial"/>
          <w:sz w:val="15"/>
          <w:szCs w:val="15"/>
          <w:color w:val="auto"/>
        </w:rPr>
        <w:t>For the six month period ended June 30, 2020, MasTec completed four acquisitions, including, through a 96%-owned consolidated subsidiary,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all of the equity interests in a heavy civil infrastructure construction company that is included within the Company’s Clean Energy and Infrastructure segment, and all of the equity interests </w:t>
      </w:r>
      <w:r>
        <w:rPr>
          <w:rFonts w:ascii="Arial" w:cs="Arial" w:eastAsia="Arial" w:hAnsi="Arial"/>
          <w:sz w:val="15"/>
          <w:szCs w:val="15"/>
          <w:color w:val="26282A"/>
        </w:rPr>
        <w:t>in</w:t>
      </w:r>
      <w:r>
        <w:rPr>
          <w:rFonts w:ascii="Arial" w:cs="Arial" w:eastAsia="Arial" w:hAnsi="Arial"/>
          <w:sz w:val="15"/>
          <w:szCs w:val="15"/>
          <w:color w:val="auto"/>
        </w:rPr>
        <w:t xml:space="preserve"> a utility service and telecommunications construction contractor that is </w:t>
      </w:r>
      <w:r>
        <w:rPr>
          <w:rFonts w:ascii="Arial" w:cs="Arial" w:eastAsia="Arial" w:hAnsi="Arial"/>
          <w:sz w:val="15"/>
          <w:szCs w:val="15"/>
          <w:color w:val="26282A"/>
        </w:rPr>
        <w:t>included</w:t>
      </w:r>
      <w:r>
        <w:rPr>
          <w:rFonts w:ascii="Arial" w:cs="Arial" w:eastAsia="Arial" w:hAnsi="Arial"/>
          <w:sz w:val="15"/>
          <w:szCs w:val="15"/>
          <w:color w:val="auto"/>
        </w:rPr>
        <w:t xml:space="preserve"> within the Company’s Communications segment</w:t>
      </w:r>
      <w:r>
        <w:rPr>
          <w:rFonts w:ascii="Arial" w:cs="Arial" w:eastAsia="Arial" w:hAnsi="Arial"/>
          <w:sz w:val="15"/>
          <w:szCs w:val="15"/>
          <w:color w:val="26282A"/>
        </w:rPr>
        <w:t>. The Company also</w:t>
      </w:r>
      <w:r>
        <w:rPr>
          <w:rFonts w:ascii="Arial" w:cs="Arial" w:eastAsia="Arial" w:hAnsi="Arial"/>
          <w:sz w:val="15"/>
          <w:szCs w:val="15"/>
          <w:color w:val="auto"/>
        </w:rPr>
        <w:t xml:space="preserve"> </w:t>
      </w:r>
      <w:r>
        <w:rPr>
          <w:rFonts w:ascii="Arial" w:cs="Arial" w:eastAsia="Arial" w:hAnsi="Arial"/>
          <w:sz w:val="15"/>
          <w:szCs w:val="15"/>
          <w:color w:val="26282A"/>
        </w:rPr>
        <w:t xml:space="preserve">acquired the assets of </w:t>
      </w:r>
      <w:r>
        <w:rPr>
          <w:rFonts w:ascii="Arial" w:cs="Arial" w:eastAsia="Arial" w:hAnsi="Arial"/>
          <w:sz w:val="15"/>
          <w:szCs w:val="15"/>
          <w:color w:val="000000"/>
        </w:rPr>
        <w:t>two</w:t>
      </w:r>
      <w:r>
        <w:rPr>
          <w:rFonts w:ascii="Arial" w:cs="Arial" w:eastAsia="Arial" w:hAnsi="Arial"/>
          <w:sz w:val="15"/>
          <w:szCs w:val="15"/>
          <w:color w:val="26282A"/>
        </w:rPr>
        <w:t xml:space="preserve"> entities, </w:t>
      </w:r>
      <w:r>
        <w:rPr>
          <w:rFonts w:ascii="Arial" w:cs="Arial" w:eastAsia="Arial" w:hAnsi="Arial"/>
          <w:sz w:val="15"/>
          <w:szCs w:val="15"/>
          <w:color w:val="000000"/>
        </w:rPr>
        <w:t>one</w:t>
      </w:r>
      <w:r>
        <w:rPr>
          <w:rFonts w:ascii="Arial" w:cs="Arial" w:eastAsia="Arial" w:hAnsi="Arial"/>
          <w:sz w:val="15"/>
          <w:szCs w:val="15"/>
          <w:color w:val="26282A"/>
        </w:rPr>
        <w:t xml:space="preserve"> that sp</w:t>
      </w:r>
      <w:r>
        <w:rPr>
          <w:rFonts w:ascii="Arial" w:cs="Arial" w:eastAsia="Arial" w:hAnsi="Arial"/>
          <w:sz w:val="15"/>
          <w:szCs w:val="15"/>
          <w:color w:val="000000"/>
        </w:rPr>
        <w:t>ecializes in wireless telecommunications and one that specializes in electrical transmission services.</w:t>
      </w:r>
    </w:p>
    <w:p>
      <w:pPr>
        <w:sectPr>
          <w:pgSz w:w="11900" w:h="16838" w:orient="portrait"/>
          <w:cols w:equalWidth="0" w:num="1">
            <w:col w:w="11240"/>
          </w:cols>
          <w:pgMar w:left="320" w:top="616" w:right="3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616" w:right="339" w:bottom="1440" w:gutter="0" w:footer="0" w:header="0"/>
          <w:type w:val="continuous"/>
        </w:sectPr>
      </w:pPr>
    </w:p>
    <w:bookmarkStart w:id="12" w:name="page13"/>
    <w:bookmarkEnd w:id="12"/>
    <w:p>
      <w:pPr>
        <w:jc w:val="both"/>
        <w:ind w:firstLine="648"/>
        <w:spacing w:after="0" w:line="252" w:lineRule="auto"/>
        <w:rPr>
          <w:sz w:val="20"/>
          <w:szCs w:val="20"/>
          <w:color w:val="auto"/>
        </w:rPr>
      </w:pPr>
      <w:r>
        <w:rPr>
          <w:rFonts w:ascii="Arial" w:cs="Arial" w:eastAsia="Arial" w:hAnsi="Arial"/>
          <w:sz w:val="16"/>
          <w:szCs w:val="16"/>
          <w:color w:val="26282A"/>
        </w:rPr>
        <w:t xml:space="preserve">The aggregate purchase price for these entities was composed of approximately </w:t>
      </w:r>
      <w:r>
        <w:rPr>
          <w:rFonts w:ascii="Arial" w:cs="Arial" w:eastAsia="Arial" w:hAnsi="Arial"/>
          <w:sz w:val="16"/>
          <w:szCs w:val="16"/>
          <w:color w:val="000000"/>
        </w:rPr>
        <w:t>$9.8 million</w:t>
      </w:r>
      <w:r>
        <w:rPr>
          <w:rFonts w:ascii="Arial" w:cs="Arial" w:eastAsia="Arial" w:hAnsi="Arial"/>
          <w:sz w:val="16"/>
          <w:szCs w:val="16"/>
          <w:color w:val="26282A"/>
        </w:rPr>
        <w:t xml:space="preserve"> in cash, net of cash acquired, with an additional </w:t>
      </w:r>
      <w:r>
        <w:rPr>
          <w:rFonts w:ascii="Arial" w:cs="Arial" w:eastAsia="Arial" w:hAnsi="Arial"/>
          <w:sz w:val="16"/>
          <w:szCs w:val="16"/>
          <w:color w:val="000000"/>
        </w:rPr>
        <w:t>$2.8 million</w:t>
      </w:r>
      <w:r>
        <w:rPr>
          <w:rFonts w:ascii="Arial" w:cs="Arial" w:eastAsia="Arial" w:hAnsi="Arial"/>
          <w:sz w:val="16"/>
          <w:szCs w:val="16"/>
          <w:color w:val="26282A"/>
        </w:rPr>
        <w:t xml:space="preserve"> due through 2023, subject to certain indemnification provisions, and a </w:t>
      </w:r>
      <w:r>
        <w:rPr>
          <w:rFonts w:ascii="Arial" w:cs="Arial" w:eastAsia="Arial" w:hAnsi="Arial"/>
          <w:sz w:val="16"/>
          <w:szCs w:val="16"/>
          <w:color w:val="000000"/>
        </w:rPr>
        <w:t>five</w:t>
      </w:r>
      <w:r>
        <w:rPr>
          <w:rFonts w:ascii="Arial" w:cs="Arial" w:eastAsia="Arial" w:hAnsi="Arial"/>
          <w:sz w:val="16"/>
          <w:szCs w:val="16"/>
          <w:color w:val="26282A"/>
        </w:rPr>
        <w:t xml:space="preserve">-year earn-out liability valued at approximately </w:t>
      </w:r>
      <w:r>
        <w:rPr>
          <w:rFonts w:ascii="Arial" w:cs="Arial" w:eastAsia="Arial" w:hAnsi="Arial"/>
          <w:sz w:val="16"/>
          <w:szCs w:val="16"/>
          <w:color w:val="000000"/>
        </w:rPr>
        <w:t>$7.2 million</w:t>
      </w:r>
      <w:r>
        <w:rPr>
          <w:rFonts w:ascii="Arial" w:cs="Arial" w:eastAsia="Arial" w:hAnsi="Arial"/>
          <w:sz w:val="16"/>
          <w:szCs w:val="16"/>
          <w:color w:val="26282A"/>
        </w:rPr>
        <w:t>. E</w:t>
      </w:r>
      <w:r>
        <w:rPr>
          <w:rFonts w:ascii="Arial" w:cs="Arial" w:eastAsia="Arial" w:hAnsi="Arial"/>
          <w:sz w:val="16"/>
          <w:szCs w:val="16"/>
          <w:color w:val="000000"/>
        </w:rPr>
        <w:t>arn-outs are generally payable annually</w:t>
      </w:r>
      <w:r>
        <w:rPr>
          <w:rFonts w:ascii="Arial" w:cs="Arial" w:eastAsia="Arial" w:hAnsi="Arial"/>
          <w:sz w:val="16"/>
          <w:szCs w:val="16"/>
          <w:color w:val="26282A"/>
        </w:rPr>
        <w:t xml:space="preserve"> </w:t>
      </w:r>
      <w:r>
        <w:rPr>
          <w:rFonts w:ascii="Arial" w:cs="Arial" w:eastAsia="Arial" w:hAnsi="Arial"/>
          <w:sz w:val="16"/>
          <w:szCs w:val="16"/>
          <w:color w:val="000000"/>
        </w:rPr>
        <w:t>and are recorded within other current and other long-term liabilities in the consolidated balance sheets. As of June 30, 2020, the range of remaining potential undiscounted Earn-out liabilities for the 2020 acquisitions was estimated to be up to $12 million; however, there is no maximum payment amount. Determination of the estimated fair values of the net assets acquired and the estimated Earn-out liabilities for these acquisitions was preliminary as of June 30, 2020; as a result, further adjustments to these estimates may occur.</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2019 Acquisitions. </w:t>
      </w:r>
      <w:r>
        <w:rPr>
          <w:rFonts w:ascii="Arial" w:cs="Arial" w:eastAsia="Arial" w:hAnsi="Arial"/>
          <w:sz w:val="16"/>
          <w:szCs w:val="16"/>
          <w:color w:val="auto"/>
        </w:rPr>
        <w:t>During 2019, MasTec completed six acquisitions, one of which specializes in water infrastructure for pipeline companies and is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w:t>
      </w:r>
      <w:r>
        <w:rPr>
          <w:rFonts w:ascii="Arial" w:cs="Arial" w:eastAsia="Arial" w:hAnsi="Arial"/>
          <w:sz w:val="16"/>
          <w:szCs w:val="16"/>
          <w:color w:val="26282A"/>
        </w:rPr>
        <w:t>Company’s Oil and Gas segment,</w:t>
      </w:r>
      <w:r>
        <w:rPr>
          <w:rFonts w:ascii="Arial" w:cs="Arial" w:eastAsia="Arial" w:hAnsi="Arial"/>
          <w:sz w:val="16"/>
          <w:szCs w:val="16"/>
          <w:color w:val="auto"/>
        </w:rPr>
        <w:t xml:space="preserve"> four o</w:t>
      </w:r>
      <w:r>
        <w:rPr>
          <w:rFonts w:ascii="Arial" w:cs="Arial" w:eastAsia="Arial" w:hAnsi="Arial"/>
          <w:sz w:val="16"/>
          <w:szCs w:val="16"/>
          <w:color w:val="26282A"/>
        </w:rPr>
        <w:t>f which are</w:t>
      </w:r>
      <w:r>
        <w:rPr>
          <w:rFonts w:ascii="Arial" w:cs="Arial" w:eastAsia="Arial" w:hAnsi="Arial"/>
          <w:sz w:val="16"/>
          <w:szCs w:val="16"/>
          <w:color w:val="auto"/>
        </w:rPr>
        <w:t xml:space="preserv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Clean Energy and Infrastructure segment</w:t>
      </w:r>
      <w:r>
        <w:rPr>
          <w:rFonts w:ascii="Arial" w:cs="Arial" w:eastAsia="Arial" w:hAnsi="Arial"/>
          <w:sz w:val="16"/>
          <w:szCs w:val="16"/>
          <w:color w:val="26282A"/>
        </w:rPr>
        <w:t>. For all but one of these acquisitions, the Company</w:t>
      </w:r>
      <w:r>
        <w:rPr>
          <w:rFonts w:ascii="Arial" w:cs="Arial" w:eastAsia="Arial" w:hAnsi="Arial"/>
          <w:sz w:val="16"/>
          <w:szCs w:val="16"/>
          <w:color w:val="auto"/>
        </w:rPr>
        <w:t xml:space="preserve"> </w:t>
      </w:r>
      <w:r>
        <w:rPr>
          <w:rFonts w:ascii="Arial" w:cs="Arial" w:eastAsia="Arial" w:hAnsi="Arial"/>
          <w:sz w:val="16"/>
          <w:szCs w:val="16"/>
          <w:color w:val="26282A"/>
        </w:rPr>
        <w:t>acquired all of the equity interests in the related entities. For the telecommunications company specializing in wireless telecommunications solutions, the Company acquired 96% of the entity’s equity interests, with the obligation to acquire the balance over time.</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26282A"/>
        </w:rPr>
        <w:t xml:space="preserve">The aggregate purchase price for these entities, as adjusted, was composed of approximately </w:t>
      </w:r>
      <w:r>
        <w:rPr>
          <w:rFonts w:ascii="Arial" w:cs="Arial" w:eastAsia="Arial" w:hAnsi="Arial"/>
          <w:sz w:val="15"/>
          <w:szCs w:val="15"/>
          <w:color w:val="000000"/>
        </w:rPr>
        <w:t>$175.9 million</w:t>
      </w:r>
      <w:r>
        <w:rPr>
          <w:rFonts w:ascii="Arial" w:cs="Arial" w:eastAsia="Arial" w:hAnsi="Arial"/>
          <w:sz w:val="15"/>
          <w:szCs w:val="15"/>
          <w:color w:val="26282A"/>
        </w:rPr>
        <w:t xml:space="preserve"> in cash, net of cash acquired, plus earn-out liabilities and a mandatorily redeemable non-controlling interest valued at approximately </w:t>
      </w:r>
      <w:r>
        <w:rPr>
          <w:rFonts w:ascii="Arial" w:cs="Arial" w:eastAsia="Arial" w:hAnsi="Arial"/>
          <w:sz w:val="15"/>
          <w:szCs w:val="15"/>
          <w:color w:val="000000"/>
        </w:rPr>
        <w:t>$22.3 million</w:t>
      </w:r>
      <w:r>
        <w:rPr>
          <w:rFonts w:ascii="Arial" w:cs="Arial" w:eastAsia="Arial" w:hAnsi="Arial"/>
          <w:sz w:val="15"/>
          <w:szCs w:val="15"/>
          <w:color w:val="26282A"/>
        </w:rPr>
        <w:t xml:space="preserve"> and </w:t>
      </w:r>
      <w:r>
        <w:rPr>
          <w:rFonts w:ascii="Arial" w:cs="Arial" w:eastAsia="Arial" w:hAnsi="Arial"/>
          <w:sz w:val="15"/>
          <w:szCs w:val="15"/>
          <w:color w:val="000000"/>
        </w:rPr>
        <w:t>$17.8 million</w:t>
      </w:r>
      <w:r>
        <w:rPr>
          <w:rFonts w:ascii="Arial" w:cs="Arial" w:eastAsia="Arial" w:hAnsi="Arial"/>
          <w:sz w:val="15"/>
          <w:szCs w:val="15"/>
          <w:color w:val="26282A"/>
        </w:rPr>
        <w:t xml:space="preserve">, respectively. </w:t>
      </w:r>
      <w:r>
        <w:rPr>
          <w:rFonts w:ascii="Arial" w:cs="Arial" w:eastAsia="Arial" w:hAnsi="Arial"/>
          <w:sz w:val="15"/>
          <w:szCs w:val="15"/>
          <w:color w:val="000000"/>
        </w:rPr>
        <w:t>The Company refers to its traditional earn-out</w:t>
      </w:r>
      <w:r>
        <w:rPr>
          <w:rFonts w:ascii="Arial" w:cs="Arial" w:eastAsia="Arial" w:hAnsi="Arial"/>
          <w:sz w:val="15"/>
          <w:szCs w:val="15"/>
          <w:color w:val="26282A"/>
        </w:rPr>
        <w:t xml:space="preserve"> </w:t>
      </w:r>
      <w:r>
        <w:rPr>
          <w:rFonts w:ascii="Arial" w:cs="Arial" w:eastAsia="Arial" w:hAnsi="Arial"/>
          <w:sz w:val="15"/>
          <w:szCs w:val="15"/>
          <w:color w:val="000000"/>
        </w:rPr>
        <w:t>arrangements and the mandatorily redeemable non-controlling interest collectively as “Earn-outs.” Earn-outs for the 2019 acquisitions have terms ranging from three to five years. As of June 30, 2020, the range of remaining potential undiscounted Earn-out liabilities for the 2019 acquisitions was estimated to be between $2 million and $72 million; however, there is no maximum payment amount. Determination of the estimated fair values of the net assets acquired and the estimated Earn-out liabilities for these acquisitions was preliminary as of June 30, 2020; as a result, further adjustments to these estimates may occur.</w:t>
      </w:r>
    </w:p>
    <w:p>
      <w:pPr>
        <w:spacing w:after="0" w:line="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Pro Forma Financial Information and Acquisition Results. </w:t>
      </w:r>
      <w:r>
        <w:rPr>
          <w:rFonts w:ascii="Arial" w:cs="Arial" w:eastAsia="Arial" w:hAnsi="Arial"/>
          <w:sz w:val="15"/>
          <w:szCs w:val="15"/>
          <w:color w:val="auto"/>
        </w:rPr>
        <w:t>For the three month periods ended June 30, 2020 and 2019, unaudited supplemental pro forma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totaled approximately $1.6 billion and $2.0 billion, respectively, and unaudited supplemental pro forma net income totaled approximately $59.4 million and $126.2 million, respectively. For the six month periods ended June 30, 2020 and 2019, unaudited supplemental pro forma revenue totaled approximately $3.0 billion and $3.6 billion, respectively, and unaudited supplemental pro forma net income totaled approximately $95.0 million and $173.3 million, respectively.</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For the three and six month periods ended June 30, 2020, the Company’s consolidated results of operations included acquisition-related revenue of approximately $63.5 million and $113.0 million, respectively, and included acquisition-related net income of approximately $0.4 million and acquisition-related net losses of approximately $0.5 million, respectively, based on the Company’s consolidated effective tax rates. For the three and six month periods ended June 30, 2019, the Company’s consolidated results of operations included acquisition-related revenue of approximately $35.5 million and $75.1 million, respectively, and included acquisition-related net losses of approximately $1.4 million and $7.4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Company’s financial instruments include cash and cash equivalents, accounts and notes receivable, cash collateral deposited with insurance carriers, life insurance assets, equity investments, investments in convertible debt securities and warrants, deferred compensation plan assets and liabilities, accounts payable and other current liabilities, acquisition-related contingent consideration, mandatorily redeemable non-controlling interests and debt obligations.</w:t>
      </w:r>
    </w:p>
    <w:p>
      <w:pPr>
        <w:spacing w:after="0" w:line="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that are contingent upon the acquired business achieving certain levels of earnings in the future. As of June 30, 2020 and December 31, 2019, the estimated fair value of the Company’s Earn-out liabilities totaled $132.8 million and $173.2 million, respectively, of which $47.1 million and $54.1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ranged from 12.0% to 24.7%, with a weighted average rate of 15.3% based on the relative fair value of each instrument as of June 30, 2020, and probability-weighted projections of earnings before interest, taxes, depreciation and amortization (“EBITDA”). Significant changes in any of these assumptions could result in significantly higher or lower potential Earn-out liabilities. The ultimate payout of Earn-out liabilities will be based on actual results achieved. As of June 30, 2020, the range of potential undiscounted Earn-out liabilities was estimated to be between $20 million and $206 million; however, there is no maximum payment amount.</w:t>
      </w:r>
    </w:p>
    <w:p>
      <w:pPr>
        <w:spacing w:after="0" w:line="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values of the Company’s traditional earn-out liabilities are reflected as other income or expense, as appropriate, and, for the mandatorily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616" w:right="339" w:bottom="1440" w:gutter="0" w:footer="0" w:header="0"/>
        </w:sectPr>
      </w:pPr>
    </w:p>
    <w:bookmarkStart w:id="13" w:name="page14"/>
    <w:bookmarkEnd w:id="13"/>
    <w:p>
      <w:pPr>
        <w:jc w:val="both"/>
        <w:spacing w:after="0" w:line="349" w:lineRule="auto"/>
        <w:rPr>
          <w:sz w:val="20"/>
          <w:szCs w:val="20"/>
          <w:color w:val="auto"/>
        </w:rPr>
      </w:pPr>
      <w:r>
        <w:rPr>
          <w:rFonts w:ascii="Arial" w:cs="Arial" w:eastAsia="Arial" w:hAnsi="Arial"/>
          <w:sz w:val="14"/>
          <w:szCs w:val="14"/>
          <w:color w:val="auto"/>
        </w:rPr>
        <w:t>redeemable non-controlling interest, are recorded as interest expense, net. Earn-out payments, to the extent they relate to estimated liabilities as of the date of acquisition, are reflected within financing activities in the consolidated statements of cash flows. Payments in excess of acquisition date liabilities are classified within operating activities.</w:t>
      </w:r>
    </w:p>
    <w:p>
      <w:pPr>
        <w:spacing w:after="0" w:line="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Additions to acquisition-related contingent consideration and other liabilities from new business combinations totaled $7.2 million for both the three and six month periods ended June 30, 2020, and for the three and six month periods ended June 30, 2019, additions from new business combinations totaled $1.0 million and $16.2 million, respectively. There were no measurement period adjustments for the three month period ended June 30, 2020, and measurement period adjustments for the six month period ended June 30, 2020 totaled an increase of approximately $1.1 million, and related to a business in the Company’s Communications segment. There were no measurement period adjustments for the three or six month periods ended June 30, 2019. Fair value adjustments, net, were de minimis for the three month period ended June 30, 2020, and totaled a net increase of approximately $1.7 million for the six month period ended June 30, 2020, and related to businesses in the Company’s Oil and Gas and Communications segments. Fair value adjustments, including those related to finalization of completed earn-out arrangements, totaled a net increase of approximately $29.2 million and $36.5 million for the three and six month periods ended June 30, 2019, respectively, and related to businesses in the Company’s Oil and Gas and Communications segments. Earn-out payments totaled $50.4 million for both the three and six month periods ended June 30, 2020, and totaled $30.0 million for both the three and six month periods ended June 30, 2019.</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Company’s equity investments as of June 30, 2020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American Virtual Cloud Technologies, Inc., or “AVCT” (formerly named Pensare Acquisition Corp.); and (v) certain other equity investments.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Investment Arrangements</w:t>
      </w:r>
      <w:r>
        <w:rPr>
          <w:rFonts w:ascii="Arial" w:cs="Arial" w:eastAsia="Arial" w:hAnsi="Arial"/>
          <w:sz w:val="16"/>
          <w:szCs w:val="16"/>
          <w:color w:val="auto"/>
        </w:rPr>
        <w:t>. From time to time, the Company may participate in selected investment or strategic arrangements, including equity interests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entities and participation in contractual joint ventures, some of which may involve the extension of loans or other types of financing arrangements. As of June 30, 2020, the Company determined that certain of its investment arrangements were variable interest entities (“VIEs”).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As of June 30, 2020 and December 31, 2019, the aggregate carrying value of the Company’s equity investments totaled approximately $197 million and $196 million, respectively, including approximately $17 million and $18 million of equity investments measured on an adjusted cost basis as of June 30, 2020 and December 31, 2019, respectively. There were no material changes in the fair values of, or impairments related to, these investments during either of the six month periods ended June 30, 2020 or 2019.</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two pipelines and a header system that transport natural gas to the Mexican border for export. Equity in earnings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the Company’s proportionate share of income from the Waha JVs, which is included within the Company’s Other segment, totaled approximately $7.6 million and $6.6 million for the three month periods ended June 30, 2020 and 2019, respectively, and totaled $15.3 million and $12.9 million for the six month periods ended June 30, 2020 and 2019, respectively. Cumulative undistributed earnings from the Waha JVs, which represents cumulative equity in earnings for the Waha JVs less distributions of earnings, totaled $55.4 million as of June 30, 2020. Distributions of earnings from the Waha JVs, which are included within operating cash flows, totaled $5.2 million and $2.1 million for the three month periods ended June 30, 2020 and 2019, respectively, and totaled $7.9 million and $6.0 million for the six month periods ended June 30, 2020 and 2019, respectively. The Company’s net investment in the Waha JVs, which differs from its proportionate share of the net assets of the Waha JVs due primarily to capitalized investment costs, totaled approximately $157 million and $174 million as of June 30, 2020 and December 31, 2019, respectively.</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2020, the Company’s proportionate share of unrecognized unrealized activity on these interest rate swaps totaled losses of approximately $1.7 million, or $1.3 million, net of tax, and $32.0 million, or $24.3 million, net of tax, respectively. For the three and six month periods ended June 30, 2019, the Company’s proportionate share of unrecognized unrealized activity on these interest rate swaps totaled losses of approximately $11.6 million, or $8.7 million, net of tax, and $18.8 million, or $14.2 million, net of tax, respectively.</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The Company’s investments in AVCT (collectively, the “AVCT securities”) as of June 30, 2020 consist of: (i) approximately 1.7 million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AVCT common stock (the “AVCT shares”); (ii) warrants to purchase 2.0 million shares of AVCT common stock at $11.50 per share (the “initial warrants”); (iii) warrants to purchase 0.3 million shares of AVCT common stock at $0.01 per share (the “AVCT warrants”); and (iv) approximately $3.0 million in principal amount of AVCT Series A convertible debentures (the “AVCT convertible debentures”), convertible into AVCT common stock at $3.45 per share, subject to customary anti-dilution adjustments. All of the AVCT securities are included within other long-term assets in the Company’s consolidated financial statements. As of June 30, 2020 and December 31, 2019, the Company’s ownership interest in AVCT’s common stock represented by the AVCT shares totaled approximately 9% and 21%, respectively, and its aggregate beneficial ownership interest, assuming the exercise and conversion of all exercisable warrants and convertible debt into AVCT common stock, totaled approximately 21% for both periods. José R. Mas, MasTec’s Chief Executive Officer, was a director of AVCT through the end of March 2020. The Company does not have the ability to exert significant influence over the operating and financial policies of AVCT.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16" w:right="3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5"/>
          <w:szCs w:val="15"/>
          <w:color w:val="auto"/>
        </w:rPr>
        <w:t>The Company paid $2.0 million for the AVCT shares and initial warrants in 2017. The AVCT shares are not transferable or salable until April 7, 2021, with limited exceptions. The initial warrants are exercisable at any time from May 7, 2020, until the earlier to occur of April 7, 2025 and the liquidation of AVCT, subject to extension. In April 2020, concurrent with the completion of AVCT’s business combination with Stratos Management Systems, Inc., MasTec invested $3.0 million for the AVCT warrants and AVCT convertible debentures. The AVCT warrants are exercisable at any time from April 7, 2020 through April 7, 2025. The AVCT convertible debentures have a stated annual interest rate of 10%, which is paid in-kind on a quarterly basis until maturity. Maturity will occur upon the earlier of MasTec’s demand, which may occur on or after October 7, 2022, or upon a change of control of AVCT. The AVCT convertible debentures may be converted in whole or in part at any time from April 7, 2020 until full payment thereof, subject to mandatory conversion of the convertible debentures, pursuant to the terms thereof.</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June 30, 2020, the fair value of the Company’s issued AVCT shares approximated $5 million, which was determined based on the market price of identical securities, adjusted for the restrictions on sale, a Level 3 input. The initial warrants and the AVCT warrants, for which the aggregate fair value was not material as of June 30, 2020, are derivative financial instruments. The AVCT convertible debentures are available-for-sale securities. Interest on the AVCT convertible debentures is recognized in earnings and changes in fair value are recognized in other comprehensive income or loss, as appropriate, neither of which was material for the three month period ended June 30, 2020. As of December 31, 2019, the AVCT shares were measured on an adjusted cost basis as their fair value was not readily determinable. The aggregate carrying value of the Company’s investment in AVCT as of December 31, 2019, including the AVCT shares and initial warrants, was approximately $2 million. For the three month period ended June 30, 2020, following completion of the AVCT transactions, the Company recorded a net fair value measurement gain on the AVCT securities within other income totaling approximately $3.8 million, primarily related to the AVCT shares.</w:t>
      </w:r>
    </w:p>
    <w:p>
      <w:pPr>
        <w:spacing w:after="0" w:line="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equity interests in three telecommunications entities that provide certain services to MasTec. For the three and six month periods ended June 30, 2020, expense recognized in connection with these arrangements totaled $3.6 million and $6.3 million, respectively, and related amounts payable were $0.4 million as of June 30, 2020.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As of both June 30, 2020 and December 31, 2019, the gross carrying amount of the Company’s 4.875% senior notes due March 15, 2023 (the “4.875% Senior Notes”), which are measured at fair value on a non-recurring basis, totaled $400 million. As of June 30, 2020 and December 31, 2019, the estimated fair value of the 4.875% Senior Notes, based on Level 1 inputs, totaled $396.0 million and $404.5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allowance</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850.3</w:t>
            </w:r>
          </w:p>
        </w:tc>
      </w:tr>
      <w:tr>
        <w:trPr>
          <w:trHeight w:val="290"/>
        </w:trPr>
        <w:tc>
          <w:tcPr>
            <w:tcW w:w="8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Retainage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Unbilled receivables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679.4</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Contract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1,024.6</w:t>
            </w:r>
          </w:p>
        </w:tc>
      </w:tr>
      <w:tr>
        <w:trPr>
          <w:trHeight w:val="20"/>
        </w:trPr>
        <w:tc>
          <w:tcPr>
            <w:tcW w:w="8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Contract billings represent the amount of performance obligations that have been billed but not yet collected.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six month period ended June 30, 2020, provisions for credit losses totaled $12.3 million and include potential credit losses resulting from current economic uncertainty, as compared with credit losses of $0.9 million for the six month period ended June 30, 2019. Impairment losses on contract assets were not material in either period.</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$338.2 million and $206.2 million as of June 30, 2020 and December 31, 2019, respectively, of which deferred revenue comprised approximately $316.7 million and $184.1 million, respectively. The increase in deferred revenue was primarily driven by timing of billings for projects in the Company’s Oil and Gas and Clean Energy and Infrastructure segments. For the three and six month periods ended June 30, 2020, the Company recognized revenue of approximately $23.7 million and $129.3 million, respectively, related to amounts that were included in deferred revenue as of December 31, 2019, resulting primarily from the advancement of physical progress on the related projects during the period.</w:t>
      </w:r>
    </w:p>
    <w:p>
      <w:pPr>
        <w:spacing w:after="0" w:line="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$1.4 million and $2.8 million for the three month periods ended June 30, 2020 and 2019, respectively, and totaled $3.2 million and $5.7 million for the six month periods ended June 30, 2020 and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1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197.3</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1,923.5</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(1,017.7)</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905.8</w:t>
            </w: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$146.5 million and $138.2 million as of June 30, 2020 and December 31, 2019, respectively. Capitalized internal-use software, net of accumulated amortization, totaled $33.1 million and $31.5 million as of June 30, 2020 and December 31, 2019, respectively. The effects of accrued capital expenditures are excluded from the Company’s consolidated statements of cash flows given their non-cash nature.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576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274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September 19, 2024</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27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339.2</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7"/>
        </w:trPr>
        <w:tc>
          <w:tcPr>
            <w:tcW w:w="576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274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Finance lease and other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r>
      <w:tr>
        <w:trPr>
          <w:trHeight w:val="21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Total debt obligations</w:t>
            </w:r>
          </w:p>
        </w:tc>
        <w:tc>
          <w:tcPr>
            <w:tcW w:w="24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1,444.8</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24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1,432.4</w:t>
            </w:r>
          </w:p>
        </w:tc>
      </w:tr>
      <w:tr>
        <w:trPr>
          <w:trHeight w:val="33"/>
        </w:trPr>
        <w:tc>
          <w:tcPr>
            <w:tcW w:w="5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w:t>
            </w:r>
          </w:p>
        </w:tc>
      </w:tr>
      <w:tr>
        <w:trPr>
          <w:trHeight w:val="217"/>
        </w:trPr>
        <w:tc>
          <w:tcPr>
            <w:tcW w:w="576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24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1,115.8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1,314.0</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Company’s senior secured credit facility (the “Credit Facility”) has aggregate borrowing commitments totaling approximately $1.75 billion as of June 30, 2020, composed of $1.35 billion of revolving commitments and a term loan of approximately $400 million. The term loan is subject to amortization in quarterly principal installments of $2.5 million commencing in December 2020, which amount will increase to $5.0 million commencing in December 2021. Quarterly principal installments on the term loan are subject to adjustment, if applicable, for certain prepayments.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June 30, 2020 and December 31, 2019, outstanding revolving loans, which included $111 million and $138 million, respectively, of borrowings denominated in foreign currencies, accrued interest at weighted average rates of approximately 2.38% and 3.50% per annum, respectively. The term loan accrued interest at rates of 1.43% and 3.05% as of June 30, 2020 and December 31, 2019, respectively. Letters of credit of approximately $140.1 million and $98.0 million were issued as of June 30, 2020 and December 31, 2019, respectively. As of both June 30, 2020 and December 31, 2019,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June 30, 2020 and December 31, 2019, availability for revolving loans totaled $1,043.1 million and $912.8 million, respectively, or up to $509.9 million and $552.0 million, respectively, for new letters of credit. Revolving loan borrowing capacity included $189.2 million and $162.4 million of availability in either Canadian dollars or Mexican pesos as of June 30, 2020 and December 31, 2019, respectively. The unused facility fee as of both June 30, 2020 and December 31, 2019 accrued at a rate of 0.20%.</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the working capital requirements of its foreign operations and certain letter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issuances. As of both June 30, 2020 and December 31, 2019, there were no borrowings under the Company’s other credit facilities. Additionally, the Company has a credit facility under which it may issue up to $50.0 million of performance standby letters of credit. As of June 30, 2020 and December 31, 2019, letters of credit issued under this facility totaled $18.2 million and $17.1 million, respectively, and accrued fees at 0.50%</w:t>
      </w:r>
    </w:p>
    <w:p>
      <w:pPr>
        <w:sectPr>
          <w:pgSz w:w="11900" w:h="16838" w:orient="portrait"/>
          <w:cols w:equalWidth="0" w:num="1">
            <w:col w:w="11240"/>
          </w:cols>
          <w:pgMar w:left="320" w:top="720"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72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and 0.40% per annum, respectively. The Company’s other credit facilities are subject to customary provisions and covenants.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Recently Issued Accounting Pronouncements in Note 1 – Business, Basis of Presentation and Significant Accounting Policies for information related to the Company’s adoption of the SEC’s amended rules regarding financial disclosure requirements for guarantors and issuers of guaranteed securities. MasTec was in compliance with the provisions and covenants of its outstanding debt instruments as of June 30, 2020 and December 31, 2019.</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2020 and December 31, 2019, accrued interest payable, which is recorded within other accrued expenses in the consolidated balance sheets, totaled $7.1 million and $7.5 million, respectively. For additional information pertaining to the Company’s debt instruments, including its 4.875% Senior Notes, see Note 7 - Debt in the Company’s 2019 Form 10-K.</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Subsequent Event</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In July 2020, the Company agreed to issue $600 million aggregate principal amount of 4.50% senior unsecured notes due August 15, 2028 (the “4.50% Senior Notes”) at par in a private offering (the “Private Offering). The Private Offering is expected to close on August 4, 2020, subject to customary closing conditions. The proceeds from the Private Offering will be used to redeem or repurchase all of the Company’s existing 4.875% Senior Notes, to pay fees and expenses in connection therewith, and to repay revolving loans under the Credit Facility. Prior to redeeming the 4.875% Senior Notes, the Company may temporarily pay down revolving loans under the Credit Facility and then, subject to customary borrowing conditions, re-borrow under the Credit Facility to effect the redemption. The 4.50% Senior Notes will rank equally in right of payment with any existing and future senior debt, and senior in right of payment to any existing and future subordinated debt. The 4.50% Senior Notes will be effectively junior to the Company’s secured debt, including the Credit Facility, to the extent of the value of the assets securing that debt. The 4.50% Senior Notes will be fully and unconditionally guaranteed on a senior unsecured, joint and several basis by certain of the Company’s existing and future 100%-owned direct and indirect domestic restricted subsidiaries that are each guarantors of the Credit Facility or other outstanding indebtedness. Concurrent with the commencement of the Private Offering, the Company delivered a conditional notice for the full redemption of all of its outstanding 4.875% Senior Notes on August 19, 2020, subject to certain conditions including consummation of the Private Offering.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June 30, 2020, the Company’s leases have remaining lease terms of up to nine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gross amount of assets held under finance leases as of June 30, 2020 and December 31, 2019 totaled $502.0 million and $463.5 million, respectively. Assets held under finance leases, net of accumulated depreciation, totaled $387.1 million and $375.9 million as of June 30, 2020 and December 31, 2019, respectively. Depreciation expense associated with finance leases totaled $16.8 million and $11.2 million for the three month periods ended June 30, 2020 and 2019, respectively, and totaled $32.6 million and $21.2 million for the six month periods ended June 30, 2020 and 2019,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Operating lease additions for the three and six month periods ended June 30, 2020 totaled $7.5 million and $13.3 million, respectively, and totaled $54.1 million and $66.4 million for the three and six month periods ended June 30, 2019, respectively, excluding the effect of adoption of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of approximately $230.0 million.</w:t>
      </w:r>
    </w:p>
    <w:p>
      <w:pPr>
        <w:spacing w:after="0" w:line="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three month periods ended June 30, 2020 and 2019, rent expense for leases that have terms in excess of one year totaled approximately $26.8 million and $27.4 million, respectively, of which $2.8 million and $2.1 million, respectively, represented variable lease costs, and for the six month periods ended June 30, 2020 and 2019, rent expense for such leases totaled approximately $62.1 million and $55.3 million, respectively, of which $5.7 million and $4.4 million, respectively, represented variable lease costs. The Company also incurred rent expense for leases with terms of one year or less totaling approximately $72.9 million and $115.6 million for the three month periods ended June 30, 2020 and 2019, respectively, and totaling approximately $150.4 million and $208.4 million for the six month periods ended June 30, 2020 and 2019, respectively. Rent expense for operating leases is generally consistent with the amount of the related payments, and is included within operating activities in the consolidated statements of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616"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June 30, 2020 were as follows (in millions):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97"/>
        </w:trPr>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Finance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0"/>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Leases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remaining six months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69.8</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lease payments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Less amounts representing interest</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 net of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211.5</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Less current portion</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78.0</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lease obligations, net of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r>
      <w:tr>
        <w:trPr>
          <w:trHeight w:val="20"/>
        </w:trPr>
        <w:tc>
          <w:tcPr>
            <w:tcW w:w="8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June 30, 2020, finance leases had a weighted average remaining lease term of 2.6 years and a weighted average discount rate of 4.0%. Non-cancelable operating leases had a weighted average remaining lease term of 4.0 years and a weighted average discount rate of 4.0% as of June 30,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stock-based compensation plans, under which shares of the Company’s common stock are reserved for issuance. Under all stock-based compensation plans in effect as of June 30, 2020, there were approximately 3,107,000 shares available for future grant. Non-cash stock-based compensation expense under all plans totaled $5.8 million and $4.2 million for the three month periods ended June 30, 2020 and 2019, respectively, and totaled $9.9 million and $7.9 million for the six month periods ended June 30, 2020 and 2019, respectively. Income tax benefits associated with stock-based compensation arrangements totaled $1.4 million and $1.1 million for the three month periods ended June 30, 2020 and 2019, respectively. For the six month periods ended June 30, 2020 and 2019 income tax benefits totaled $2.2 million and $4.2 million, respectively, including net tax deficiencies related to the vesting of share-based payment awards totaling $0.2 million and net tax benefits totaling $2.3 million, respectively.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June 30, 2020, total unearned compensation related to restricted shares was approximately $36.0 million, which is expected to be recognized over a weighted average period of approximately 2.2 years. The fair value of restricted shares that vested, which is based on the market price on the date of vesting, totaled $0.9 million and $0.3 million for the three month periods ended June 30, 2020 and 2019, respectively, and totaled $6.5 million and $13.9 million for the six month periods ended June 30, 2020 and 2019,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22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Restricted</w:t>
            </w:r>
          </w:p>
        </w:tc>
        <w:tc>
          <w:tcPr>
            <w:tcW w:w="14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Average Grant</w:t>
            </w:r>
          </w:p>
        </w:tc>
      </w:tr>
      <w:tr>
        <w:trPr>
          <w:trHeight w:val="243"/>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2019</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933,455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27.08</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(237,800)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59.20</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June 30, 2020</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1,736,854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r>
      <w:tr>
        <w:trPr>
          <w:trHeight w:val="20"/>
        </w:trPr>
        <w:tc>
          <w:tcPr>
            <w:tcW w:w="8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2,300 restricted stock units as of June 30,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616"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154,059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63,976</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9.54</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including certain subsidiaries in Canada, contribute amounts to multiemployer pension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Arial" w:cs="Arial" w:eastAsia="Arial" w:hAnsi="Arial"/>
                <w:sz w:val="16"/>
                <w:szCs w:val="16"/>
                <w:b w:val="1"/>
                <w:bCs w:val="1"/>
                <w:color w:val="auto"/>
              </w:rPr>
              <w:t>Multiemployer Plans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228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40" w:type="dxa"/>
            <w:vAlign w:val="bottom"/>
          </w:tcPr>
          <w:p>
            <w:pPr>
              <w:spacing w:after="0"/>
              <w:rPr>
                <w:sz w:val="20"/>
                <w:szCs w:val="20"/>
                <w:color w:val="auto"/>
              </w:rPr>
            </w:pPr>
          </w:p>
        </w:tc>
        <w:tc>
          <w:tcPr>
            <w:tcW w:w="2780" w:type="dxa"/>
            <w:vAlign w:val="bottom"/>
            <w:gridSpan w:val="6"/>
          </w:tcPr>
          <w:p>
            <w:pPr>
              <w:ind w:left="98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High</w:t>
            </w:r>
          </w:p>
        </w:tc>
        <w:tc>
          <w:tcPr>
            <w:tcW w:w="14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June 30:</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6"/>
                <w:szCs w:val="16"/>
                <w:color w:val="auto"/>
              </w:rPr>
              <w:t>2019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2,117</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Six Months Ended June 30:</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6"/>
                <w:szCs w:val="16"/>
                <w:color w:val="auto"/>
              </w:rPr>
              <w:t>2020</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49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During the six month period ended June 30, 2020, the Company repurchased 3.6 million shares of its common stock for an aggregate purchase price totaling approximately $120.2 million, of which $0.8 million was repurchased during the second quarter. Of the total repurchased shares, 0.6 million were repurchased for $28.8 million under a $150 million share repurchase program that was established in September 2018 and completed in the first quarter of 2020, and 3.0 million were repurchased for $91.4 million under the Company’s December 2018 $100 million share repurchase program. There were no share repurchases for the three month period ended June 30, 2019. For the six month period ended June 30, 2019, share repurchases totaled approximately $0.6 million, which were completed under the Company’s September 2018 $150 million share repurchase program.</w:t>
      </w:r>
    </w:p>
    <w:p>
      <w:pPr>
        <w:spacing w:after="0" w:line="19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 of June 30, 2020,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Unrealized foreign currency translation activity, net, for the three and six month periods ended June 30, 2020 and 2019 relates to the Company’s operations in Canada and Mexico. Unrealized investment activity, net, for each of the three and six month periods ended June 30, 2020 and 2019 relates to unrealized losses on interest rate swaps associated with the Waha JVs.</w:t>
      </w:r>
    </w:p>
    <w:p>
      <w:pPr>
        <w:sectPr>
          <w:pgSz w:w="11900" w:h="16838" w:orient="portrait"/>
          <w:cols w:equalWidth="0" w:num="1">
            <w:col w:w="11240"/>
          </w:cols>
          <w:pgMar w:left="320" w:top="562"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56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2020 and 2019, the Company’s consolidated effective tax rates were 26.7% and 24.8%, respectively. For the six month periods ended June 30, 2020 and 2019, the Company’s consolidated effective tax rates were 18.6% and 24.1%, respectively. The Company’s effective tax rate for the six month period ended June 30, 2020 included a benefit of approximately $9.6 million related to the release of certain valuation allowances on Canadian deferred tax assets that were no longer necessary. For the six month period ended June 30, 2019, the Company’s effective tax rate was favorably affected by reduced foreign earnings, the recognition of $2.3 million of excess tax benefits from the vesting of share-based awards and foreign tax rate changes.</w:t>
      </w:r>
    </w:p>
    <w:p>
      <w:pPr>
        <w:spacing w:after="0" w:line="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In response to the COVID-19 pandemic, the Coronavirus Aid, Relief and Economic Security Act (“CARES Act”) was signed into law on March 27, 2020. The CARES Act provides for various tax relief and tax incentive measures. At this time, management does not believe that the CARES Act will have a material impact on the Company’s financial results in 2020. The Company will continue to evaluate the impact of the CARES Act on its financial position,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Oil and Gas; (3) Electrical Transmission; (4) Clean Energy and Infrastructure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The Company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Clean Energy and Infrastructure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1,265.4</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1,558.1</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439.6</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3,457.3</w:t>
            </w: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2" w:lineRule="exact"/>
        <w:rPr>
          <w:sz w:val="20"/>
          <w:szCs w:val="20"/>
          <w:color w:val="auto"/>
        </w:rPr>
      </w:pPr>
    </w:p>
    <w:p>
      <w:pPr>
        <w:ind w:left="340" w:hanging="332"/>
        <w:spacing w:after="0" w:line="29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Revenue generated primarily by utilities customers represented 14.9% and 15.4% of Communications segment revenue for the three month periods ended June 30, 2020 and 2019, respectively, and represented 15.0% and 15.5% for </w:t>
      </w:r>
      <w:r>
        <w:rPr>
          <w:rFonts w:ascii="Arial" w:cs="Arial" w:eastAsia="Arial" w:hAnsi="Arial"/>
          <w:sz w:val="16"/>
          <w:szCs w:val="16"/>
          <w:color w:val="auto"/>
        </w:rPr>
        <w:t>t</w:t>
      </w:r>
      <w:r>
        <w:rPr>
          <w:rFonts w:ascii="Arial" w:cs="Arial" w:eastAsia="Arial" w:hAnsi="Arial"/>
          <w:sz w:val="14"/>
          <w:szCs w:val="14"/>
          <w:color w:val="auto"/>
        </w:rPr>
        <w:t>he six month periods ended June 30, 2020 and 2019,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72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286.7</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68.9</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w:t>
            </w: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7"/>
                <w:szCs w:val="17"/>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Plus: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109.5</w:t>
            </w: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color w:val="auto"/>
              </w:rPr>
              <w:t>Consolidated EBITDA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373.0</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color w:val="auto"/>
        </w:rPr>
        <w:t xml:space="preserve">Foreign Operations and Other. </w:t>
      </w:r>
      <w:r>
        <w:rPr>
          <w:rFonts w:ascii="Arial" w:cs="Arial" w:eastAsia="Arial" w:hAnsi="Arial"/>
          <w:sz w:val="15"/>
          <w:szCs w:val="15"/>
          <w:color w:val="auto"/>
        </w:rPr>
        <w:t>MasTec operates in North America, primarily in the United States and Canada, and, to a lesser extent, in Mexico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Caribbean. Revenue derived from U.S. operations totaled $1.6 billion and $1.9 billion for the three month periods ended June 30, 2020 and 2019, respectively, and totaled $2.9 billion and $3.3 billion for the six month periods ended June 30, 2020 and 2019, respectively. Revenue derived from foreign operations totaled $14.0 million and $47.9 million for the three month periods ended June 30, 2020 and 2019, respectively, and totaled $59.6 million and $126.7 million for the six month periods ended June 30, 2020 and 2019, respectively, the majority of which was derived from the Company’s Canadian operations in its Oil and Gas segment, and, to a lesser extent, from the Company’s wireless operations in Mexico. Long-lived assets held in the U.S. included property and equipment, net, of $949.1 million and $874.7 million as of June 30, 2020 and December 31, 2019, respectively, and, for the Company’s businesses in foreign countries, totaled $23.1 million and $31.1 million, respectively. Intangible assets and goodwill, net, related to the Company’s U.S. operations totaled approximately $1.4 billion as of both June 30, 2020 and December 31, 2019, respectively, and for the Company’s businesses in foreign countries, totaled approximately $51.4 million and $56.4 million as of June 30, 2020 and December 31, 2019, respectively. The majority of the Company’s long-lived and intangible assets and goodwill in foreign countries relate to its Canadian operations. As of June 30, 2020 and December 31, 2019, amounts due from customers from which foreign revenue was derived accounted for approximately 3% and 5%, respectively, of the Company’s consolidated net accounts receivable position, which represents accounts receivable, net, less deferred revenue. Revenue from governmental entities for both the three and six month periods ended June 30, 2020 totaled approximately 2% of total revenue, and for both the three and six month periods ended June 30, 2019 totaled approximately 1%. Substantially all revenue from governmental entities was derived from the Company’s U.S.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82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6"/>
        </w:trPr>
        <w:tc>
          <w:tcPr>
            <w:tcW w:w="68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Significant Customers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7"/>
        </w:trPr>
        <w:tc>
          <w:tcPr>
            <w:tcW w:w="9140" w:type="dxa"/>
            <w:vAlign w:val="bottom"/>
            <w:gridSpan w:val="6"/>
          </w:tcPr>
          <w:p>
            <w:pPr>
              <w:ind w:left="660"/>
              <w:spacing w:after="0"/>
              <w:rPr>
                <w:sz w:val="20"/>
                <w:szCs w:val="20"/>
                <w:color w:val="auto"/>
              </w:rPr>
            </w:pPr>
            <w:r>
              <w:rPr>
                <w:rFonts w:ascii="Arial" w:cs="Arial" w:eastAsia="Arial" w:hAnsi="Arial"/>
                <w:sz w:val="16"/>
                <w:szCs w:val="16"/>
                <w:color w:val="auto"/>
                <w:w w:val="97"/>
              </w:rPr>
              <w:t>Revenue concentration information for significant customers as a percentage of total consolidated revenue was as follows: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3"/>
        </w:trPr>
        <w:tc>
          <w:tcPr>
            <w:tcW w:w="6860" w:type="dxa"/>
            <w:vAlign w:val="bottom"/>
          </w:tcPr>
          <w:p>
            <w:pPr>
              <w:spacing w:after="0"/>
              <w:rPr>
                <w:sz w:val="24"/>
                <w:szCs w:val="24"/>
                <w:color w:val="auto"/>
              </w:rPr>
            </w:pPr>
          </w:p>
        </w:tc>
        <w:tc>
          <w:tcPr>
            <w:tcW w:w="22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4"/>
              </w:rPr>
              <w:t>For the Three Months Ended</w:t>
            </w:r>
          </w:p>
        </w:tc>
        <w:tc>
          <w:tcPr>
            <w:tcW w:w="21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6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4"/>
          </w:tcPr>
          <w:p>
            <w:pPr>
              <w:jc w:val="center"/>
              <w:ind w:right="860"/>
              <w:spacing w:after="0"/>
              <w:rPr>
                <w:sz w:val="20"/>
                <w:szCs w:val="20"/>
                <w:color w:val="auto"/>
              </w:rPr>
            </w:pPr>
            <w:r>
              <w:rPr>
                <w:rFonts w:ascii="Arial" w:cs="Arial" w:eastAsia="Arial" w:hAnsi="Arial"/>
                <w:sz w:val="16"/>
                <w:szCs w:val="16"/>
                <w:b w:val="1"/>
                <w:bCs w:val="1"/>
                <w:color w:val="auto"/>
                <w:w w:val="87"/>
              </w:rPr>
              <w:t>June 30,</w:t>
            </w:r>
          </w:p>
        </w:tc>
        <w:tc>
          <w:tcPr>
            <w:tcW w:w="700" w:type="dxa"/>
            <w:vAlign w:val="bottom"/>
          </w:tcPr>
          <w:p>
            <w:pPr>
              <w:spacing w:after="0"/>
              <w:rPr>
                <w:sz w:val="18"/>
                <w:szCs w:val="18"/>
                <w:color w:val="auto"/>
              </w:rPr>
            </w:pPr>
          </w:p>
        </w:tc>
        <w:tc>
          <w:tcPr>
            <w:tcW w:w="1400" w:type="dxa"/>
            <w:vAlign w:val="bottom"/>
            <w:gridSpan w:val="3"/>
          </w:tcPr>
          <w:p>
            <w:pPr>
              <w:jc w:val="center"/>
              <w:ind w:right="61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6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74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2020</w:t>
            </w:r>
          </w:p>
        </w:tc>
        <w:tc>
          <w:tcPr>
            <w:tcW w:w="142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70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2020</w:t>
            </w:r>
          </w:p>
        </w:tc>
        <w:tc>
          <w:tcPr>
            <w:tcW w:w="140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19%</w:t>
            </w:r>
          </w:p>
        </w:tc>
        <w:tc>
          <w:tcPr>
            <w:tcW w:w="142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93"/>
              </w:rPr>
              <w:t>18%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21%</w:t>
            </w:r>
          </w:p>
        </w:tc>
        <w:tc>
          <w:tcPr>
            <w:tcW w:w="140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87"/>
              </w:rPr>
              <w:t>20%</w:t>
            </w:r>
          </w:p>
        </w:tc>
      </w:tr>
      <w:tr>
        <w:trPr>
          <w:trHeight w:val="270"/>
        </w:trPr>
        <w:tc>
          <w:tcPr>
            <w:tcW w:w="6860" w:type="dxa"/>
            <w:vAlign w:val="bottom"/>
          </w:tcPr>
          <w:p>
            <w:pPr>
              <w:ind w:left="180"/>
              <w:spacing w:after="0"/>
              <w:rPr>
                <w:sz w:val="20"/>
                <w:szCs w:val="20"/>
                <w:color w:val="auto"/>
              </w:rPr>
            </w:pPr>
            <w:r>
              <w:rPr>
                <w:rFonts w:ascii="Arial" w:cs="Arial" w:eastAsia="Arial" w:hAnsi="Arial"/>
                <w:sz w:val="16"/>
                <w:szCs w:val="16"/>
                <w:color w:val="auto"/>
              </w:rPr>
              <w:t xml:space="preserve">Permian Highway Pipeline </w:t>
            </w:r>
            <w:r>
              <w:rPr>
                <w:rFonts w:ascii="Arial" w:cs="Arial" w:eastAsia="Arial" w:hAnsi="Arial"/>
                <w:sz w:val="21"/>
                <w:szCs w:val="21"/>
                <w:color w:val="auto"/>
                <w:vertAlign w:val="superscript"/>
              </w:rPr>
              <w:t>(b)</w:t>
            </w:r>
          </w:p>
        </w:tc>
        <w:tc>
          <w:tcPr>
            <w:tcW w:w="740" w:type="dxa"/>
            <w:vAlign w:val="bottom"/>
          </w:tcPr>
          <w:p>
            <w:pPr>
              <w:jc w:val="center"/>
              <w:ind w:left="199"/>
              <w:spacing w:after="0"/>
              <w:rPr>
                <w:sz w:val="20"/>
                <w:szCs w:val="20"/>
                <w:color w:val="auto"/>
              </w:rPr>
            </w:pPr>
            <w:r>
              <w:rPr>
                <w:rFonts w:ascii="Arial" w:cs="Arial" w:eastAsia="Arial" w:hAnsi="Arial"/>
                <w:sz w:val="16"/>
                <w:szCs w:val="16"/>
                <w:color w:val="auto"/>
                <w:w w:val="93"/>
              </w:rPr>
              <w:t>10%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00" w:type="dxa"/>
            <w:vAlign w:val="bottom"/>
          </w:tcPr>
          <w:p>
            <w:pPr>
              <w:jc w:val="center"/>
              <w:ind w:left="199"/>
              <w:spacing w:after="0"/>
              <w:rPr>
                <w:sz w:val="20"/>
                <w:szCs w:val="20"/>
                <w:color w:val="auto"/>
              </w:rPr>
            </w:pPr>
            <w:r>
              <w:rPr>
                <w:rFonts w:ascii="Arial" w:cs="Arial" w:eastAsia="Arial" w:hAnsi="Arial"/>
                <w:sz w:val="16"/>
                <w:szCs w:val="16"/>
                <w:color w:val="auto"/>
                <w:w w:val="94"/>
              </w:rPr>
              <w:t>7%</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w:t>
            </w:r>
          </w:p>
        </w:tc>
      </w:tr>
      <w:tr>
        <w:trPr>
          <w:trHeight w:val="270"/>
        </w:trPr>
        <w:tc>
          <w:tcPr>
            <w:tcW w:w="6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Equitrans Midstream Corporation </w:t>
            </w:r>
            <w:r>
              <w:rPr>
                <w:rFonts w:ascii="Arial" w:cs="Arial" w:eastAsia="Arial" w:hAnsi="Arial"/>
                <w:sz w:val="21"/>
                <w:szCs w:val="21"/>
                <w:color w:val="auto"/>
                <w:vertAlign w:val="superscript"/>
              </w:rPr>
              <w:t>(c)</w:t>
            </w: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4"/>
              </w:rPr>
              <w:t>1%</w:t>
            </w:r>
          </w:p>
        </w:tc>
        <w:tc>
          <w:tcPr>
            <w:tcW w:w="142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93"/>
              </w:rPr>
              <w:t>12%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4"/>
              </w:rPr>
              <w:t>2%</w:t>
            </w:r>
          </w:p>
        </w:tc>
        <w:tc>
          <w:tcPr>
            <w:tcW w:w="140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86"/>
              </w:rPr>
              <w:t>9%</w:t>
            </w:r>
          </w:p>
        </w:tc>
      </w:tr>
    </w:tbl>
    <w:p>
      <w:pPr>
        <w:spacing w:after="0" w:line="22" w:lineRule="exact"/>
        <w:rPr>
          <w:sz w:val="20"/>
          <w:szCs w:val="20"/>
          <w:color w:val="auto"/>
        </w:rPr>
      </w:pPr>
    </w:p>
    <w:p>
      <w:pPr>
        <w:jc w:val="both"/>
        <w:ind w:left="340" w:hanging="332"/>
        <w:spacing w:after="0" w:line="23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various install-to-the-home businesses, including DIRECTV</w:t>
      </w:r>
      <w:r>
        <w:rPr>
          <w:rFonts w:ascii="Arial" w:cs="Arial" w:eastAsia="Arial" w:hAnsi="Arial"/>
          <w:sz w:val="21"/>
          <w:szCs w:val="21"/>
          <w:color w:val="auto"/>
          <w:vertAlign w:val="superscript"/>
        </w:rPr>
        <w:t>®</w:t>
      </w:r>
      <w:r>
        <w:rPr>
          <w:rFonts w:ascii="Arial" w:cs="Arial" w:eastAsia="Arial" w:hAnsi="Arial"/>
          <w:sz w:val="14"/>
          <w:szCs w:val="14"/>
          <w:color w:val="auto"/>
        </w:rPr>
        <w:t>. Revenue from AT&amp;T is included within the Communications segment.</w:t>
      </w:r>
    </w:p>
    <w:p>
      <w:pPr>
        <w:spacing w:after="0" w:line="21" w:lineRule="exact"/>
        <w:rPr>
          <w:rFonts w:ascii="Arial" w:cs="Arial" w:eastAsia="Arial" w:hAnsi="Arial"/>
          <w:sz w:val="14"/>
          <w:szCs w:val="14"/>
          <w:color w:val="auto"/>
        </w:rPr>
      </w:pPr>
    </w:p>
    <w:p>
      <w:pPr>
        <w:ind w:left="340" w:hanging="332"/>
        <w:spacing w:after="0" w:line="26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Permian Highway Pipeline is based upon various construction contracts for pipeline activities, for which the related revenue is included in the Oil and Gas segment.</w:t>
      </w: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Equitrans Midstream Corporation and its affiliates is based upon various construction contracts for pipeline activities, for which the related revenue is included in the Oil and Gas segment.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During March 2020, the World Health Organization declared a global pandemic related to the rapidly growing outbreak of a novel strain of coronavirus (“COVID-19”), with the pandemic accelerating during the first half of March and further accelerating into July. The COVID-19 pandemic has significantly affected economic conditions in the United States and internationally, as national, state and local governments reacted to the public health crisis by requiring mitigation measures resulting in workforce, supply chain and other market disruptions that have created significant uncertainties in the U.S. and global economies and disrupted business activities for an uncertain period of time. The COVID-19 pandemic has had a negative impact on the Company’s operations and may continue to affect our future business activities.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higher operating costs and lower levels of overhead cost absorption and/or delayed project start dates or project shutdowns or cancellations that may be mandated or requested by governmental authorities or others.</w:t>
      </w:r>
    </w:p>
    <w:p>
      <w:pPr>
        <w:spacing w:after="0" w:line="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Most of the Company’s construction services have been and currently are deemed essential under state and local pandemic mitigation orders, and all of its business segments continue to operate. The COVID-19 pandemic has had a negative impact on the Company’s operations and is expected to have some continued negative impact for the remainder of 2020. Management’s top priority has been to take appropriate actions to protect the health and safety of its employees, customers and business partners, including adjusting its standard operating procedures to respond to evolving health guidelines. Management believes that it is taking appropriate steps to mitigate any potential impact to the Company; however, given the uncertainty regarding the potential effects of the COVID-19 pandemic, any future impacts cannot be quantified or predicted with specificity.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2020 and December 31, 2019, there were $158.3 million and $115.1 million, respectively, of letters of credit issued under the Company’s credit facilities. The Company is not aware of any material claims relating to its outstanding letters of credit as of June 30, 2020 or December 31, 2019.</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2020 and December 31, 2019, outstanding performance and payment bonds approximated $692.0 million and $551.4 million, respectively, and estimated costs to complete projects secured by these bonds totaled $188.8 million and $194.7 million as of June 30, 2020 and December 31, 2019,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616" w:right="339" w:bottom="1440" w:gutter="0" w:footer="0" w:header="0"/>
        </w:sectPr>
      </w:pPr>
    </w:p>
    <w:bookmarkStart w:id="22" w:name="page23"/>
    <w:bookmarkEnd w:id="22"/>
    <w:p>
      <w:pPr>
        <w:jc w:val="both"/>
        <w:ind w:firstLine="648"/>
        <w:spacing w:after="0" w:line="269"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The Company holds undivided interests, ranging from 85% to 90%, in multiple proportionately consolidated non-controlled</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joint ventures that provide infrastructure construction services for electrical transmission projects, as well as a 50% undivided interest in a civil construction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2020, the Company was not aware of material future claims against it in connection with these arrangements. Included in the Company’s cash balances as of June 30, 2020 and December 31, 2019 are amounts held by entities that are proportionately consolidated totaling $10.9 million and $13.1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other investment arrangements, under which it may incur costs or provide financing, performance, financial and/or other guarantees. See Note 4 - Fair Value of Financial Instruments regarding the Company’s other investment arrangements.</w:t>
      </w:r>
    </w:p>
    <w:p>
      <w:pPr>
        <w:spacing w:after="0" w:line="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June 30, 2020 and December 31, 2019, MasTec’s estimated liability for unpaid claims and associated expenses, including incurred but not reported losses related to these policies, totaled $123.8 million and $123.4 million, respectively, of which $83.2 million and $87.3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$4.6 million and $4.2 million as of June 30, 2020 and December 31, 2019, respectively.</w:t>
      </w:r>
    </w:p>
    <w:p>
      <w:pPr>
        <w:spacing w:after="0" w:line="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$64.0 million as of both June 30, 2020 and December 31, 2019. Outstanding surety bonds related to self-insurance programs amounted to $38.5 million as of both June 30, 2020 and December 31, 2019.</w:t>
      </w:r>
    </w:p>
    <w:p>
      <w:pPr>
        <w:spacing w:after="0" w:line="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June 30, 2020,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June 30, 2020 and December 31, 2019,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had approximately 380 customers for the six month period ended June 30, 2020. As of June 30, 2020, two customers each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accounted for approximately 17% and 14%, respectively, of the Company’s consolidated net accounts receivable position, which represents accounts receivable, net, less deferred revenue. As of December 31, 2019, three customers each accounted for approximately 17%, 13% and 11%, respectively, of the Company’s consolidated net accounts receivable position. In addition, the Company derived 66% and 65%, respectively, of its revenue from its top ten customers for the three month periods ended June 30, 2020 and 2019, and derived 63% of its revenue from its top ten customers for both the six month periods ended June 30,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in which members of subsidiary management have ownership or commercial interests. For the three month periods ended June 30, 2020 and 2019, such payments to related party entities totaled approximately $16.2 million and $17.8 million, respectively, and for the six month periods ended June 30, 2020 and 2019, totaled approximately $41.5 million and $46.3 million, respectively. Related payables totaled approximately $7.6 million and $14.7 million as of June 30, 2020 and December 31, 2019, respectively. Revenue from such related party arrangements totaled approximately $1.3 million and $0.6 million for the three month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12"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6"/>
          <w:szCs w:val="16"/>
          <w:color w:val="auto"/>
        </w:rPr>
        <w:t>ended June 30, 2020 and 2019, respectively, and totaled $2.3 million and $0.9 million for the six month periods ended June 30, 2020 and 2019, respectively. As of June 30, 2020, related amounts receivable, net, totaled approximately $0.4 million, and as of December 31, 2019, were de minimis.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Amounts outstanding for advances made by the Company on behalf of this entity totaled approximately $0.1 million and $0.5 million, net as of June 30, 2020 and December 31, 2019, respectively, which are expected to be settled under customary terms associated with the related purchase agreement.</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rents and leases equipment and purchases equipment supplies and servicing from CCI, in which it has a 15% equity investment. Juan Carlos Mas serves as the chairman of CCI, and a member of management of a MasTec subsidiary and an entity that is owned by the Mas family are minority owners. MasTec paid CCI, net of rebates, $1.0 million and $9.8 million, respectively, for the three month periods ended June 30, 2020 and 2019, and $1.4 million and $15.8 million, respectively, for the six month periods ended June 30, 2020 and 2019. As of June 30, 2020 and December 31, 2019, amounts payable to CCI, net of rebates receivable, totaled approximately $1.4 million and $0.2 million, respectively. The Company has also rented equipment to CCI. Revenue from equipment rentals to CCI totaled approximately $0.6 million for both the three and six month periods ended June 30, 2020, and related receivables totaled approximately $0.1 million as of June 30, 2020.</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No subcontracting expenses were incurred by MasTec for the three month period ended June 30, 2020. MasTec incurred subcontracting expenses of approximately $4.6 million for the three month period ended June 30, 2019. MasTec incurred subcontracting expenses of approximately $0.6 million, net and $6.2 million for the six month periods ended June 30, 2020 and 2019, respectively. As of both June 30, 2020 and December 31, 2019, related amounts payable totaled approximately $0.2 million.</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three month periods ended June 30, 2020 and 2019, MasTec paid approximately $0.6 million and $0.7 million, respectively, related to this leasing arrangement, and for the six month periods ended June 30, 2020 and 2019, paid approximately $1.3 million and $1.4 million, respectively.</w:t>
      </w:r>
    </w:p>
    <w:p>
      <w:pPr>
        <w:spacing w:after="0" w:line="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performs construction services on behalf of a professional Miami soccer franchise (the “Franchise”) in which Jorge Mas and José R. Mas are minority owners. Services provided by MasTec include the construction of a soccer facility and stadium, including wireless infrastructure services. MasTec charged approximately $1.5 million and $5.5 million under these arrangements for the three and six month periods ended June 30, 2020, respectively, and charged approximately $2.3 million for both the three and six month periods ended June 30, 2019. Amounts outstanding as of June 30, 2020 and December 31, 2019 totaled approximately $3.1 million and $3.9 million, respectively. Payments for other expenses related to the Franchise totaled $0.2 million for the six month period ended June 30, 2020.</w:t>
      </w:r>
    </w:p>
    <w:p>
      <w:pPr>
        <w:spacing w:after="0" w:line="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leases employees and provides satellite communications services to a customer in which Jorge Mas and José R. Mas own a majority interest. Charges to this customer totaled approximately $0.3 million and $0.4 million, respectively, for the three month periods ended June 30, 2020 and 2019, and for both the six month periods ended June 30, 2020 and 2019 totaled approximately $0.7 million. As of June 30, 2020 and December 31, 2019, outstanding receivables related to these arrangements totaled approximately $0.9 million and $0.8 million,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MasTec has split dollar life insurance agreements with trusts, of which Jorge Mas or José R. Mas is a trustee. The company paid $0.5 million and $0.7 million in the second quarters of both 2020 and 2019 in connection with the agreements for Jorge Mas and José R. Mas, respectively. As of June 30, 2020 and December 31, 2019, life insurance assets associated with these agreements totaled approximately $21.5 million and $20.3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616"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2019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condition and results of operations as of and for the three and six month periods ended June 30, 2020 and 2019.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2019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with the pandemic accelerating during the first half of March and further accelerating into July. The pandemic has significantly affected economic conditions in the United States and internationally, as federal, state and local governments reacted to the public health crisis with mitigation measures, resulting in workforce, supply chain and production disruptions, along with reduced demand and spending in many industry sectors, creating significant uncertainties in the U.S. economy. Although efforts have been undertaken to reduce restrictions on economic and social activities that were put in place as part of the initial response to the pandemic, it is currently unclear the extent to which increased social interaction will adversely affect efforts to reduce the COVID-19 pandemic’s health and other effects, whether additional or renewed restrictions will be implemented and/or how long an economic recovery could take. The extent to which the COVID-19 pandemic could affect our business, operations and financial results will depend upon numerous evolving factors, including the length and extent of the economic and market disruption, that we may not be able to accurately predict.</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Most of our construction services have been and currently are deemed essential under state and local pandemic mitigation orders and all of our business segments continue to operate. The COVID-19 pandemic has had a negative impact on our operations and we expect some continued negative impact for the remainder of 2020. As our services have been deemed essential, our customers have generally directed us, where safe and possible, to maintain normal work schedules. Our top priority has been to take appropriate actions to protect the health and safety of our employees, customers and business partners. We have adjusted our standard operating procedures within our business operations to ensure continued employee and customer safety and are continually monitoring evolving health guidelines and responding to changes as appropriate. These procedures include implementation of appropriate distancing programs and required use of certain personal protective equipment for our crew operations, as well as appropriate sanitation measures for key equipment and facilities. We have also incorporated work at home programs and in-office social distancing and health safety measures where necessary for our administrative offices.</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COVID-19 pandemic has had a negative impact on our operations and may continue to affect our future business activities for an indefinite period of time.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higher operating costs and lower levels of overhead cost absorption, and/or delayed project start dates or project shutdowns or cancellations that may be mandated or requested by governmental authorities or others. To the extent that future business activities are adversely affected by the pandemic, we intend to take appropriate actions designed to mitigate these impacts; however, there can be no assurance that we will be successful in these efforts.</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Additionally, potential disruptions in future economic activity as a result of the COVID-19 pandemic may have adverse effects across our end markets, including in the oil and gas sector. Given the uncertainty regarding the magnitude and duration of the pandemic’s effects, we are unable to predict with specificity or quantify any potential future impact on our business, financial condition and/or results of operations.</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June 30, 2020, we maintained a strong balance sheet, have strong relationships with our banking partners and had ample liquidity totaling approximately $1,092 million, comprising $1,043 million of availability under our Credit Facility and $49 million of cash.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mergers and acquisitions, share repurchases and capital expenditures. We are carefully managing liquidity and are monitoring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774"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6"/>
          <w:szCs w:val="16"/>
          <w:color w:val="auto"/>
        </w:rPr>
        <w:t>any potential effects from the pandemic on our financial results, cash flows and/or working capital and intend to take appropriate actions in efforts to mitigate any impacts; however, there can be no assurance that we will be successful in these efforts.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from renewable sources; heavy civil; and industrial infrastructure. Our customers are primarily in these industries. Including our predecessor companies, we have been in business for over 90 years. For the twelve month period ended June 30, 2020, we had an average of approximately 19,000 employees and 380 locations. We offer our services primarily under the MasTec service mark. We have been consistently ranked among the top specialty contractors by Engineering News-Record for the past several years.</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manage our operations under five operating segments, which represent our five reportable segments: (1) Communications; (2) Oil and Gas; (3) Electrical Transmission; (4) Clean Energy and Infrastructure and (5) Other. This structure is generally focused on broad end-user markets for our labor-based construction services. During the second quarter of 2020, we renamed our Power Generation and Industrial segment as the Clean Energy and Infrastructure segment to better represent the nature of the segment’s operations, end markets and customer characteristics. There was no change to the composition of the segment or its historical results. See Note 13 - Segments and Related Information and Note 14 - Commitments and Contingencies in the notes to the consolidated financial statements, which are incorporated by reference, for segment related information and significant customer concentrations.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expect to realize approximately 45% of our estimated June 30, 2020 backlog in 2020. The following table presents 18-month estimated backlog by reportable segment,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Reportable Segment (in millions):</w:t>
            </w:r>
          </w:p>
        </w:tc>
        <w:tc>
          <w:tcPr>
            <w:tcW w:w="26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4,120</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Clean Energy and Infrastructure</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645</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6640" w:type="dxa"/>
            <w:vAlign w:val="bottom"/>
          </w:tcPr>
          <w:p>
            <w:pPr>
              <w:ind w:left="280"/>
              <w:spacing w:after="0"/>
              <w:rPr>
                <w:sz w:val="20"/>
                <w:szCs w:val="20"/>
                <w:color w:val="auto"/>
              </w:rPr>
            </w:pPr>
            <w:r>
              <w:rPr>
                <w:rFonts w:ascii="Arial" w:cs="Arial" w:eastAsia="Arial" w:hAnsi="Arial"/>
                <w:sz w:val="16"/>
                <w:szCs w:val="16"/>
                <w:color w:val="auto"/>
              </w:rPr>
              <w:t>Estimated 18-month backlog</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8,168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7,770</w:t>
            </w:r>
          </w:p>
        </w:tc>
      </w:tr>
      <w:tr>
        <w:trPr>
          <w:trHeight w:val="33"/>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Approximately 45% of our backlog as of June 30, 2020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or other delays,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regulatory delays and/or other factors. There can be no assurance as to our customers’ requirements or the accuracy of our estimates. As a result, our backlog as of any particular date is an uncertain indicator of future revenue and earnings.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2020, total 18-month backlog differed from the amount of our remaining performance obligations due primarily to the inclusion of $3.7 billion of estimated future revenue under master service and other service agreements within our backlog estimates, as described above, and the exclusion of approximately $0.8 billion of remaining performance obligations and estimated future revenue under master service and other service agreements in excess of 18 months, which amount is not included in the backlog estimates above. Backlog expected to be realized in 2020 differed from the amount of remaining performance obligations expected to be recognized for the same period due primarily to the inclusion of approximately $0.7 billion of estimated future revenue under master service and other service agreements that is included within the related backlog estimate.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addition to the effects of the pandemic noted above, we closely monitor the effects of changes in economic and market conditions on our customers. General economic and market conditions can negatively affect demand for our customers’ products and services, which can affect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616" w:right="339" w:bottom="144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16"/>
          <w:szCs w:val="16"/>
          <w:color w:val="auto"/>
        </w:rPr>
        <w:t>customers’ planned capital and maintenance budgets in certain end-markets. Market, regulatory and industry factors could affect demand for our services, including (i) changes to our customers’ capital spending plans, including any potential effects from public health issues, such as the recent COVID-19 pandemic; (ii) economic or market developments, including access to capital for customers in the industries we serve; (iii) new or changing regulatory requirements or other governmental policy changes or political developments or uncertainty; (iv) changes in technology, tax and other incentives; and (v) mergers and acquisitions among the customers we serve. Fluctuations in market prices for oil, gas and other fuel sources and availability of transportation and transmission capacity can also affect demand for our services, in particular, on pipeline and power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public health matters,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on various other assumptions that we believe to be reasonable under the circumstances, including the potential future effects of the COVID-19 pandemic and other relevant global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During the second quarter of 2020, in conjunction with our quarterly review for indicators of impairment, we performed quantitative assessments of the goodwill associated with three reporting units within our Oil and Gas segment, and one reporting unit within our Communications segment. Based on the results of these assessments, we determined that the estimated fair value of one of the reporting units in our Oil and Gas segment, for which the related goodwill had a carrying value of approximately $15 million, exceeded its carrying value by approximately 10%, and the estimated fair value of a separate reporting unit, for which the related goodwill had a carrying value of approximately $14 million, exceeded its carrying value by approximately 9%. The estimated fair values of the remaining reporting unit in our Oil and Gas segment and the reporting unit in our Communications segment were determined to substantially exceed their carrying values. In addition, as previously reported, during the first quarter of 2020, we reclassified a pre-qualification intangible asset within each of our Oil and Gas and Electrical Transmission segments from indefinite-lived to finite-lived. These assets, which had a combined carrying value of approximately $70 million and an estimated remaining weighted average useful life of approximately 12 years at the time of reclassification, are being amortized on an accelerated basis. Significant changes in the assumptions or estimates used in management’s assessment, such as a reduction in profitability and/or cash flows, could result in non-cash goodwill and indefinite-lived intangible asset impairment charges in the future.</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616"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6"/>
          <w:szCs w:val="16"/>
          <w:color w:val="auto"/>
        </w:rPr>
        <w:t>Refer to Note 1 - Business, Basis of Presentation and Significant Accounting Policies in the notes to the consolidated financial statements, which is incorporated by reference, and to our 2019 Form 10-K for discussion of our 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9"/>
          </w:tcPr>
          <w:p>
            <w:pPr>
              <w:ind w:left="360"/>
              <w:spacing w:after="0"/>
              <w:rPr>
                <w:sz w:val="20"/>
                <w:szCs w:val="20"/>
                <w:color w:val="auto"/>
              </w:rPr>
            </w:pPr>
            <w:r>
              <w:rPr>
                <w:rFonts w:ascii="Arial" w:cs="Arial" w:eastAsia="Arial" w:hAnsi="Arial"/>
                <w:sz w:val="16"/>
                <w:szCs w:val="16"/>
                <w:b w:val="1"/>
                <w:bCs w:val="1"/>
                <w:color w:val="auto"/>
              </w:rPr>
              <w:t>For the Three Months Ended June 30,</w:t>
            </w:r>
          </w:p>
        </w:tc>
        <w:tc>
          <w:tcPr>
            <w:tcW w:w="140" w:type="dxa"/>
            <w:vAlign w:val="bottom"/>
          </w:tcPr>
          <w:p>
            <w:pPr>
              <w:spacing w:after="0"/>
              <w:rPr>
                <w:sz w:val="18"/>
                <w:szCs w:val="18"/>
                <w:color w:val="auto"/>
              </w:rPr>
            </w:pPr>
          </w:p>
        </w:tc>
        <w:tc>
          <w:tcPr>
            <w:tcW w:w="346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31"/>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2019</w:t>
            </w:r>
          </w:p>
        </w:tc>
      </w:tr>
      <w:tr>
        <w:trPr>
          <w:trHeight w:val="3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1,569.3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1,939.0</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2,985.9</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3,457.3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w w:val="94"/>
              </w:rPr>
              <w:t>Costs of revenue, excluding depreciation and amortization</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1,341.8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85.5 %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1,633.4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84.2 %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2,568.1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2,945.4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85.2 %</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3.2 %</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0.3 %</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4.1 %</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0.2 %</w:t>
            </w:r>
          </w:p>
        </w:tc>
      </w:tr>
      <w:tr>
        <w:trPr>
          <w:trHeight w:val="3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6.2 %</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(39.7)</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(51.8)</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4.7 %</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w w:val="96"/>
              </w:rPr>
              <w:t>Net (loss) income attributable to non-controlling interests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0.0 %</w:t>
            </w:r>
          </w:p>
        </w:tc>
      </w:tr>
      <w:tr>
        <w:trPr>
          <w:trHeight w:val="3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attributable to MasTec,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3.1 %</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4.7 %</w:t>
            </w: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We review our operating results by reportable segment. See Note 13 - Segments and Related Information in the notes to the consolidated financial statements, which is incorporated by reference. Our reportable segments are: (1) Communications; (2) Oil and Gas; (3) Electrical Transmission; (4) Clean Energy and Infrastructure and</w:t>
      </w:r>
    </w:p>
    <w:p>
      <w:pPr>
        <w:jc w:val="both"/>
        <w:ind w:firstLine="8"/>
        <w:spacing w:after="0" w:line="250" w:lineRule="auto"/>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4"/>
          </w:tcPr>
          <w:p>
            <w:pPr>
              <w:ind w:left="380"/>
              <w:spacing w:after="0"/>
              <w:rPr>
                <w:sz w:val="20"/>
                <w:szCs w:val="20"/>
                <w:color w:val="auto"/>
              </w:rPr>
            </w:pPr>
            <w:r>
              <w:rPr>
                <w:rFonts w:ascii="Arial" w:cs="Arial" w:eastAsia="Arial" w:hAnsi="Arial"/>
                <w:sz w:val="16"/>
                <w:szCs w:val="16"/>
                <w:b w:val="1"/>
                <w:bCs w:val="1"/>
                <w:color w:val="auto"/>
              </w:rPr>
              <w:t>Revenue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rPr>
              <w:t>EBITDA and EBITDA Margin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1740" w:type="dxa"/>
            <w:vAlign w:val="bottom"/>
            <w:tcBorders>
              <w:bottom w:val="single" w:sz="8" w:color="auto"/>
            </w:tcBorders>
            <w:gridSpan w:val="6"/>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9"/>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9"/>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4"/>
              </w:rPr>
              <w:t>For the Three Months</w:t>
            </w:r>
          </w:p>
        </w:tc>
        <w:tc>
          <w:tcPr>
            <w:tcW w:w="17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3"/>
              </w:rPr>
              <w:t>For the Six Months</w:t>
            </w:r>
          </w:p>
        </w:tc>
        <w:tc>
          <w:tcPr>
            <w:tcW w:w="160" w:type="dxa"/>
            <w:vAlign w:val="bottom"/>
          </w:tcPr>
          <w:p>
            <w:pPr>
              <w:spacing w:after="0"/>
              <w:rPr>
                <w:sz w:val="18"/>
                <w:szCs w:val="18"/>
                <w:color w:val="auto"/>
              </w:rPr>
            </w:pPr>
          </w:p>
        </w:tc>
        <w:tc>
          <w:tcPr>
            <w:tcW w:w="2480" w:type="dxa"/>
            <w:vAlign w:val="bottom"/>
            <w:gridSpan w:val="9"/>
          </w:tcPr>
          <w:p>
            <w:pPr>
              <w:jc w:val="center"/>
              <w:ind w:left="299"/>
              <w:spacing w:after="0"/>
              <w:rPr>
                <w:sz w:val="20"/>
                <w:szCs w:val="20"/>
                <w:color w:val="auto"/>
              </w:rPr>
            </w:pPr>
            <w:r>
              <w:rPr>
                <w:rFonts w:ascii="Arial" w:cs="Arial" w:eastAsia="Arial" w:hAnsi="Arial"/>
                <w:sz w:val="16"/>
                <w:szCs w:val="16"/>
                <w:b w:val="1"/>
                <w:bCs w:val="1"/>
                <w:color w:val="auto"/>
                <w:w w:val="93"/>
              </w:rPr>
              <w:t>For the 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9"/>
          </w:tcPr>
          <w:p>
            <w:pPr>
              <w:jc w:val="center"/>
              <w:ind w:left="279"/>
              <w:spacing w:after="0"/>
              <w:rPr>
                <w:sz w:val="20"/>
                <w:szCs w:val="20"/>
                <w:color w:val="auto"/>
              </w:rPr>
            </w:pPr>
            <w:r>
              <w:rPr>
                <w:rFonts w:ascii="Arial" w:cs="Arial" w:eastAsia="Arial" w:hAnsi="Arial"/>
                <w:sz w:val="16"/>
                <w:szCs w:val="16"/>
                <w:b w:val="1"/>
                <w:bCs w:val="1"/>
                <w:color w:val="auto"/>
                <w:w w:val="92"/>
              </w:rPr>
              <w:t>For the Six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Ended June 30,</w:t>
            </w:r>
          </w:p>
        </w:tc>
        <w:tc>
          <w:tcPr>
            <w:tcW w:w="17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Ended June 30,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6"/>
          </w:tcPr>
          <w:p>
            <w:pPr>
              <w:jc w:val="center"/>
              <w:ind w:right="480"/>
              <w:spacing w:after="0"/>
              <w:rPr>
                <w:sz w:val="20"/>
                <w:szCs w:val="20"/>
                <w:color w:val="auto"/>
              </w:rPr>
            </w:pPr>
            <w:r>
              <w:rPr>
                <w:rFonts w:ascii="Arial" w:cs="Arial" w:eastAsia="Arial" w:hAnsi="Arial"/>
                <w:sz w:val="16"/>
                <w:szCs w:val="16"/>
                <w:b w:val="1"/>
                <w:bCs w:val="1"/>
                <w:color w:val="auto"/>
                <w:w w:val="87"/>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Reportable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$ 1,298.4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$ 1,265.4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727.6</w:t>
            </w:r>
          </w:p>
        </w:tc>
        <w:tc>
          <w:tcPr>
            <w:tcW w:w="1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6"/>
              </w:rPr>
              <w:t>21.7 %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179.3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6"/>
              </w:rPr>
              <w:t>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154.5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Transmission</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0"/>
        </w:trPr>
        <w:tc>
          <w:tcPr>
            <w:tcW w:w="1420" w:type="dxa"/>
            <w:vAlign w:val="bottom"/>
          </w:tcPr>
          <w:p>
            <w:pPr>
              <w:ind w:left="40"/>
              <w:spacing w:after="0"/>
              <w:rPr>
                <w:sz w:val="20"/>
                <w:szCs w:val="20"/>
                <w:color w:val="auto"/>
              </w:rPr>
            </w:pPr>
            <w:r>
              <w:rPr>
                <w:rFonts w:ascii="Arial" w:cs="Arial" w:eastAsia="Arial" w:hAnsi="Arial"/>
                <w:sz w:val="16"/>
                <w:szCs w:val="16"/>
                <w:color w:val="auto"/>
              </w:rPr>
              <w:t>Clean Energy and</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40"/>
              <w:spacing w:after="0"/>
              <w:rPr>
                <w:sz w:val="20"/>
                <w:szCs w:val="20"/>
                <w:color w:val="auto"/>
              </w:rPr>
            </w:pPr>
            <w:r>
              <w:rPr>
                <w:rFonts w:ascii="Arial" w:cs="Arial" w:eastAsia="Arial" w:hAnsi="Arial"/>
                <w:sz w:val="16"/>
                <w:szCs w:val="16"/>
                <w:color w:val="auto"/>
              </w:rPr>
              <w:t>Infrastructure</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250.2</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142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42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Results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1,569.3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1,939.0</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w w:val="95"/>
              </w:rPr>
              <w:t>$ 2,985.9</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w w:val="95"/>
              </w:rPr>
              <w:t>$ 3,457.3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159.9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6"/>
              </w:rPr>
              <w:t>10.2 %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236.5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6"/>
              </w:rPr>
              <w:t>12.2%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273.8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373.0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20955</wp:posOffset>
            </wp:positionV>
            <wp:extent cx="6240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2020 Compared to Three Months Ended June 30, 2019</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June 30, 2020, consolidated revenue totaled $1,569 million as compared with $1,939 million for the same period in 2019,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$370 million, or 19%. Revenue increases in our Clean Energy and Infrastructure segment of $176 million, or 70%, our Electrical Transmission segment of $24 million, or 24%, and our Communications segment of $2 million, were offset by a decrease in revenue in our Oil and Gas segment of $568 million, or 61%. Acquisitions contributed $64 million in revenue for the three month period ended June 30, 2020, and organic revenue decreased by approximately $433 million, or 22%, as compared with the same period in 2019.</w:t>
      </w:r>
    </w:p>
    <w:p>
      <w:pPr>
        <w:sectPr>
          <w:pgSz w:w="11900" w:h="16838" w:orient="portrait"/>
          <w:cols w:equalWidth="0" w:num="1">
            <w:col w:w="11240"/>
          </w:cols>
          <w:pgMar w:left="320" w:top="616"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616" w:right="339" w:bottom="1440" w:gutter="0" w:footer="0" w:header="0"/>
          <w:type w:val="continuous"/>
        </w:sectPr>
      </w:pPr>
    </w:p>
    <w:bookmarkStart w:id="28" w:name="page29"/>
    <w:bookmarkEnd w:id="28"/>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$654 million for the three month period ended June 30, 2020, as compared with $653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2019, an increase of $2 million. Acquisitions contributed $40 million of revenue for the three month period ended June 30, 2020, and organic revenue decreased by approximately $38 million as compared with the same period in 2019. The decrease in organic revenue was primarily driven by a continued decrease in install-to-the-home revenue, including as a result of the COVID-19 pandemic.</w:t>
      </w:r>
    </w:p>
    <w:p>
      <w:pPr>
        <w:spacing w:after="0" w:line="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$369 million for three month period ended June 30, 2020, as compared with $937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decrease of $568 million, or 61%. The expected decrease was primarily due to lower levels of project activity and mix, including the effects of regulatory disruptions on certain pipeline construction activity.</w:t>
      </w:r>
    </w:p>
    <w:p>
      <w:pPr>
        <w:spacing w:after="0" w:line="70"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$124 million for the three month period ended June 30, 2020 as compared with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an increase of $24 million, or 24%, due primarily to higher levels of project activity.</w:t>
      </w:r>
    </w:p>
    <w:p>
      <w:pPr>
        <w:spacing w:after="0" w:line="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$426 million for the three month period ended June 30,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$250 million for the same period in 2019, an increase of $176 million, or 70%. Organic revenue increased by $152 million, or 61%, for the three month period ended June 30, 2020 as compared with the same period in 2019, due primarily to higher levels of renewable power project activity. Acquisitions contributed $23 million for the three month period ended June 30, 2020.</w:t>
      </w:r>
    </w:p>
    <w:p>
      <w:pPr>
        <w:spacing w:after="0" w:line="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decreased by approximately $292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 from $1,633 million for the three month period ended June 30, 2019 to $1,342 million for the same period in 2020. Lower levels of revenue contributed a decrease of $311 million in costs of revenue, excluding depreciation and amortization, whereas reduced productivity contributed an increase of approximately $20 million. Costs of revenue, excluding depreciation and amortization, as a percentage of revenue increased by approximately 130 basis points, from 84.2% of revenue for the three month period ended June 30, 2019 to 85.5% of revenue for the same period in 2020, primarily due to the mix of project activity, the impact of the COVID-19 pandemic and lower levels of revenue.</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$58 million, or 3.7% of revenue, for the three month period ended June 30, 2020, as compared with $55 million, or 2.9%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an increase of $2 million, or 4%. Acquisitions contributed $2 million of depreciation for the three month period ended June 30, 2020. As a percentage of revenue, depreciation increased by approximately 80 basis points due primarily to lower levels of revenue.</w:t>
      </w:r>
    </w:p>
    <w:p>
      <w:pPr>
        <w:spacing w:after="0" w:line="7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$10 million, or 0.6% of revenue, for the three month period ended June 30, 2020,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$5 million, or 0.2% of revenue, for the same period in 2019, an increase of approximately $5 million, or 110%. Acquisitions contributed $3 million of intangible asset amortization for the three month period ended June 30, 2020. As a percentage of revenue, amortization of intangible assets increased by 40 basis points due to lower levels of revenue, as well as the effects of acquisitions and a change in amortization policy for certain intangible assets.</w:t>
      </w:r>
    </w:p>
    <w:p>
      <w:pPr>
        <w:spacing w:after="0" w:line="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$85 million, or 5.4% of revenue, for the three month period ended June 30,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$71 million, or 3.7% of revenue, for the same period in 2019, an increase of $14 million, or 20%. Acquisitions contributed $5 million of general and administrative expenses for the three month period ended June 30, 2020. Excluding the effects of acquisitions, general and administrative expenses for the three month period ended June 30, 2020 increased, primarily due to the effect of timing of legal and settlement matters and provisions for potential credit losses, offset, in part, by reductions in professional fees, travel expense and incentive and compensation expense as compared with the same period in the prior year. Overall, general and administrative expenses as a percentage of revenue increased by approximately 180 basis points for the three month period ended June 30, 2020 as compared with the same period in 2019, due primarily to lower levels of revenue.</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$15 million, or approximately 0.9% of revenue, for the three month period ended June 30,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$17 million, or 0.9% of revenue, for the same period in 2019. The decrease related primarily to a reduction in interest expense from credit facility activity as well as a decrease in discount charges on financing arrangements for trade receivables, offset, in part, by the effect of a second quarter 2019 arbitration award, under which we recovered $5 million of interest costs. Interest expense from credit facility activity decreased by approximately $6 million as compared with the same period in the prior year due to a combination of lower average balances and lower interest rates.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both the three month periods ended June 30, 2020 and 2019, equity in earnings from unconsolidated affiliates totaled approximately $7 million, and related primarily to our investments in the Waha JVs, as well as investments in certain telecommunications entities.</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consists primarily of gains or losses from sales of, or changes in estimated recoveries from,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certain legal/other settlements and gains or losses from changes to estimated earn-out accruals. Other income, net, was $11 million for the three month period ended June 30, 2020, as compared with $5 million of other expense, net for the same period in 2019. For the three month period ended June 30, 2020, other income, net, included approximately $6 million of gains on sales of equipment, net, and $4 million, net, of income from changes in the fair value of certain investments. For the three month period ended June 30, 2019, other expense, net, included approximately $29 million of expense from changes to estimated earn-out accruals, net, offset, in part, by $19 million of income from a second quarter 2019 arbitration award and $4 million of gains on sales of equipment, net.</w:t>
      </w: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$21 million for the three month period ended June 30, 2020, as compared with income tax expense of $40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In the second quarter of 2020, pre-tax income decreased to $78 million as compared with $160 million for the same period in the prior year. Our effective tax rate increased to 26.7% for the three month period ended June 30, 2020 from 24.8% for the same period in 2019, primarily as a result of the benefit in the 2019 period of foreign tax rate changes and a reduction in foreign earnings.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45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$76 million, or 11.7% of revenue, for the three month period ended June 30,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$52 million, or 8.0% of revenue, for the same period in 2019, an increase of approximately $24 million, or 46%, primarily due to improved productivity from project mix and efficiencies. As a percentage of revenue, EBITDA increased by approximately 360 basis points.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$80 million, or 21.7% of revenue, for the three month period ended June 30, 2020,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$179 million, or 19.1% of revenue, for the same period in 2019, a decrease of $99 million, or 55%. Lower levels of revenue contributed a decrease in EBITDA of $109 million, whereas improved productivity contributed an increase in EBITDA of approximately $10 million. EBITDA margins increased by approximately 260 basis points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negative $3 million, or negative 2.6%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2020, as compared with EBITDA of $9 million, or 8.6% of revenue, for the same period in 2019, a decrease in EBITDA of approximately $12 million, or 137%. As a percentage of revenue, EBITDA decreased by approximately 1,120 basis points, or approximately $14 million, due primarily to reduced project efficiencies, closeouts and mix. Higher levels of revenue contributed an increase in EBITDA of approximately $2 million.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$30 million, or 7.1%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2020, as compared with EBITDA of $9 million, or 3.5% of revenue, for the same period in 2019, an increase in EBITDA of approximately $21 million, or 239%. As a percentage of revenue, EBITDA increased by approximately 350 basis points, or $15 million, due to improved project efficiencies, closeouts and mix. Higher levels of revenue contributed an increase in EBITDA of approximately $6 million.</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$8 million for the three month period ended June 30, 2020 as compared with $6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2019, and related primarily to equity in earnings from our investments in the Waha JVs.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$31 million for the three month period ended June 30, 2020, as compared with EBITDA of negative $19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2019, for a decrease in EBITDA of approximately $12 million. Corporate EBITDA for the three month period ended June 30, 2019 included approximately $29 million of expense related to changes in estimated earn-out accruals, offset, in part, by approximately $25 million of recovery of legal costs and other income from a second quarter 2019 arbitration award. Excluding the effects of these items, other corporate expenses for the three month period ended June 30, 2020 increased by approximately $16 million as compared with the same period in the prior year, primarily due to the effects of legal and settlement matter timing and provisions for potential credit losses, partially offset by income from changes in the fair value of certain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2020 Compared to Six Months Ended June 30, 2019</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2020, consolidated revenue totaled $2,986 million as compared with $3,457 million for the same period in 2019,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$471 million, or 14%. Revenue increases in our Clean Energy and Infrastructure segment of $273 million, or 62%, our Electrical Transmission segment of $57 million, or 29%, and our Communications segment of $33 million, or 3%, were offset by a decrease in revenue in our Oil and Gas segment of $830 million, or 53%. Acquisitions contributed $113 million in revenue for the six month period ended June 30, 2020, and organic revenue decreased by approximately $584 million, or 17%, as compared with the same period in 2019.</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$1,298 million for the six month period ended June 30, 2020, as compared with $1,265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2019, an increase of $33 million, or 3%. Acquisitions contributed $71 million of revenue for the six month period ended June 30, 2020, and organic revenue decreased by approximately $38 million, or 3%, as compared with the same period in 2019. The decrease in organic revenue was primarily driven by a continued decrease in install-to-the-home revenue as compared with the same period in the prior year, including as a result of the COVID-19 pandemic, offset, in part by higher levels of wireless and wireline/fiber revenue.</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$728 million for the six month period ended June 30, 2020, as compared with $1,558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2019, a decrease of $830 million, or 53%. The expected decrease was primarily due to lower levels of project activity and mix, including the effects of regulatory disruptions on certain long-haul pipeline construction activity.</w:t>
      </w:r>
    </w:p>
    <w:p>
      <w:pPr>
        <w:spacing w:after="0" w:line="7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$252 million for the six month period ended June 30, 2020 as compared with $195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an increase of approximately $57 million, or 29%, due primarily to higher levels of project activity.</w:t>
      </w:r>
    </w:p>
    <w:p>
      <w:pPr>
        <w:spacing w:after="0" w:line="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$712 million for the six month period ended June 30, 2020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$440 million for the same period in 2019, an increase of $273 million, or 62%. Organic revenue increased by approximately $230 million, or 52%, as compared with the same period in 2019, and acquisitions contributed $42 million of revenue for the six month period ended June 30, 2020. The increase in organic revenue was driven by higher levels of renewable power project activity.</w:t>
      </w:r>
    </w:p>
    <w:p>
      <w:pPr>
        <w:spacing w:after="0" w:line="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decreased by $377 million, or 13%,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$2,945 million for the six month period ended June 30, 2019 to $2,568 million for the same period in 2020. Lower levels of revenue contributed a decrease in costs of revenue, excluding depreciation and amortization, of $402 million, offset, in part, by an increase of approximately $24 million from reduced productivity. Costs of revenue, excluding depreciation and amortization, as a percentage of revenue increased by approximately 80 basis points, from 85.2% of revenue for the six month period ended June 30, 2019 to 86.0% of revenue for the same period in 2020. The basis point increase was primarily due to the mix of project activity, the impact of the COVID-19 pandemic and lower levels of revenue.</w:t>
      </w:r>
    </w:p>
    <w:p>
      <w:pPr>
        <w:spacing w:after="0" w:line="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Depreciation. </w:t>
      </w:r>
      <w:r>
        <w:rPr>
          <w:rFonts w:ascii="Arial" w:cs="Arial" w:eastAsia="Arial" w:hAnsi="Arial"/>
          <w:sz w:val="15"/>
          <w:szCs w:val="15"/>
          <w:color w:val="auto"/>
        </w:rPr>
        <w:t>Depreciation was $111 million, or 3.7% of revenue, for the six month period ended June 30, 2020 as compared with $110 million, or 3.2% of revenue,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an increase of $1 million, or 1%. Acquisitions contributed $4 million of depreciation for the six month period ended June 30, 2020, whereas organic depreciation decreased by $3 million. As a percentage of revenue, depreciation increased by 50 basis points, due primarily to lower levels of revenue.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454" w:right="339" w:bottom="1440" w:gutter="0" w:footer="0" w:header="0"/>
        </w:sectPr>
      </w:pPr>
    </w:p>
    <w:bookmarkStart w:id="30" w:name="page31"/>
    <w:bookmarkEnd w:id="30"/>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$17 million, or 0.6% of revenue, for the six month period ended June 30, 2020,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$9 million, or 0.3% of revenue, for the same period in 2019, an increase of approximately $8 million, or 81%. Acquisitions contributed $6 million of intangible asset amortization for the six month period ended June 30, 2020. As a percentage of revenue, amortization of intangible assets increased by 30 basis points due primarily to lower levels of revenue, as well as the effects of acquisitions and a change in amortization policy for certain intangible assets.</w:t>
      </w:r>
    </w:p>
    <w:p>
      <w:pPr>
        <w:spacing w:after="0" w:line="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$170 million, or 5.7% of revenue, for the six month period ended June 30, 2020,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$143 million, or 4.1% of revenue, for the same period in 2019, an increase of $27 million, or 19%. Acquisitions contributed $9 million of general and administrative expenses for the six month period ended June 30, 2020. Excluding the effects of acquisitions, administrative expenses increased by approximately $18 million as compared with the same period in the prior year. For the six month period ended June 30, 2020, general and administrative expenses increased, primarily due to the effect of timing of legal, arbitral and settlement matters and provisions for potential credit losses, offset, in part, by reductions in professional fees and travel expense, as compared with the same period in the prior year. Overall, general and administrative expenses as a percentage of revenue increased by approximately 160 basis points for the six month period ended June 30, 2020 as compared with the same period in 2019, due, in part, to lower levels of revenue.</w:t>
      </w:r>
    </w:p>
    <w:p>
      <w:pPr>
        <w:spacing w:after="0" w:line="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$32 million, or 1.1% of revenue, for the six month period ended June 30, 2020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$39 million, or 1.1% of revenue, in the same period in 2019. The decrease related primarily to a reduction in interest expense from credit facility activity as well as a decrease in discount charges on financing arrangements for trade receivables, offset, in part, by the effect of a second quarter 2019 arbitration award, under which we recovered $5 million of interest costs. Interest expense from credit facility activity decreased by approximately $12 million as compared with the same period in the prior year due to a combination of lower average balances and lower interest rates.</w:t>
      </w:r>
    </w:p>
    <w:p>
      <w:pPr>
        <w:spacing w:after="0" w:line="8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w:t>
      </w:r>
      <w:r>
        <w:rPr>
          <w:rFonts w:ascii="Arial" w:cs="Arial" w:eastAsia="Arial" w:hAnsi="Arial"/>
          <w:sz w:val="15"/>
          <w:szCs w:val="15"/>
          <w:color w:val="auto"/>
        </w:rPr>
        <w:t>Equity in earnings or losses of unconsolidated affiliates includes our share of income or losses from equity investees.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six month periods ended June 30, 2020, equity in earnings from unconsolidated affiliates totaled approximately $15 million, as compared with $13 million for the same period in 2019, and related primarily to our investments in the Waha JVs, as well as investments in certain telecommunications entities.</w:t>
      </w:r>
    </w:p>
    <w:p>
      <w:pPr>
        <w:spacing w:after="0" w:line="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was $12 million for the six month period ended June 30, 2020, as compared with other expense, net, of $8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2019. For the six month period ended June 30, 2020, other income, net, included approximately $2 million of expense from changes to estimated earn-out accruals, net, $8 million of gains on sales of equipment, net, and $4 million, net, of income from changes in the fair value of certain investments. For the six month period ended June 30, 2019, other expense, net, included $36 million of expense from changes to estimated earn-out accruals, offset, in part, by $19 million of income from a second quarter 2019 arbitration award, $6 million of gains on sales of equipment, net, and $1 million of income from the settlement of an investment that was in the final stages of liquidation.</w:t>
      </w:r>
    </w:p>
    <w:p>
      <w:pPr>
        <w:spacing w:after="0" w:line="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$21 million for the six month period ended June 30, 2020, as compared with income tax expense of $52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2019. In the first half of 2020, pre-tax income decreased to $114 million as compared with $215 million for the same period in the prior year. Our effective tax rate decreased to 18.6% for the six month period ended June 30, 2020 from 24.1% for the same period in 2019. Our effective tax rate for the six month period ended June 30, 2020 included a benefit of approximately $10 million related to the release of certain valuation allowances on Canadian deferred tax assets that were no longer necessary. For the six month period ended June 30, 2019, income tax expense included the recognition of approximately $2 million of excess tax benefits from the vesting of share-based awards and the benefit of foreign tax rate changes and a reduction in foreign earnings.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$127 million, or 9.8% of revenue, for the six month period ended June 30,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$98 million, or 7.7% of revenue, for the same period in 2019, an increase of approximately $29 million, or 30%. As a percentage of revenue, EBITDA increased by approximately 210 basis points, or $27 million, primarily due to project mix and efficiencies. Higher levels of revenue contributed an increase in EBITDA of $3 million.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$155 million, or 21.2% of revenue, for the six month period ended June 30, 2020,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$287 million, or 18.4% of revenue, for the same period in 2019, a decrease of $132 million, or 46%. Lower levels of revenue contributed a decrease in EBITDA of $153 million, whereas improved productivity contributed an increase of approximately $21 million. EBITDA margins increased by approximately 280 basis points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$5 million, or 2.0% of revenue, for the six month period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as compared with EBITDA of $12 million, or 6.4% of revenue, for the same period in 2019, a decrease in EBITDA of approximately $7 million, or 59%. As a percentage of revenue, EBITDA decreased by approximately 430 basis points, or $11 million, due primarily to reduced project efficiencies, closeouts and mix. Higher levels of revenue contributed an increase in EBITDA of approximately $4 million.</w:t>
      </w:r>
    </w:p>
    <w:p>
      <w:pPr>
        <w:spacing w:after="0" w:line="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Clean Energy and Infrastructure Segment. </w:t>
      </w:r>
      <w:r>
        <w:rPr>
          <w:rFonts w:ascii="Arial" w:cs="Arial" w:eastAsia="Arial" w:hAnsi="Arial"/>
          <w:sz w:val="15"/>
          <w:szCs w:val="15"/>
          <w:color w:val="auto"/>
        </w:rPr>
        <w:t>EBITDA for our Clean Energy and Infrastructure segment was $35 million, or 4.9% of revenue, for the six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June 30, 2020, as compared with EBITDA of $12 million, or 2.8% of revenue, for the same period in 2019, an increase in EBITDA of $23 million, or 190%. As a percentage of revenue, EBITDA increased by approximately 220 basis points, or $15 million, as compared with the same period in the prior year, due primarily to a combination of improved project efficiencies, close-outs and mix. Higher levels of revenue contributed an increase in EBITDA of $8 million.</w:t>
      </w:r>
    </w:p>
    <w:p>
      <w:pPr>
        <w:spacing w:after="0" w:line="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$15 million and $13 million for the six month periods ended June 30, 2020 and 2019,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EBITDA related primarily to equity in earnings from our investment in the Waha JVs.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$63 million for the six month period ended June 30, 2020, as compared with EBITDA of negative $49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2019, for a decrease in EBITDA of approximately $14 million. Corporate EBITDA for the six month period ended June 30, 2020 included approximately $2 million of expense related to changes in estimated earn-out accruals, net. Corporate EBITDA for the six month period ended June 30, 2019 included $36 million of expense related to changes in estimated earn-out accruals, partially offset by approximately $25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454"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6"/>
          <w:szCs w:val="16"/>
          <w:color w:val="auto"/>
        </w:rPr>
        <w:t>million of recovery of legal costs and other income from a second quarter 2019 arbitration award and $1 million of income from the settlement of an investment that was in the final stages of liquidation. Excluding the effects of these items, other corporate expenses for the six month period ended June 30, 2020 increased by approximately $22 million as compared with the same period in the prior year, primarily due to the effects of legal and settlement matter timing and provisions for potential credit losses, partially offset by income from changes in the fair value of certain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and the Caribbean. See Note 13 - Segments and Related Information in the notes to the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amortization of intangible assets; and, for Adjusted Net Income and Adjusted Diluted Earnings Per Share,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believe these adjusted measures provide a baseline for analyzing trends in our underlying business.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11"/>
          </w:tcPr>
          <w:p>
            <w:pPr>
              <w:ind w:left="24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8"/>
                <w:szCs w:val="18"/>
                <w:color w:val="auto"/>
              </w:rPr>
            </w:pPr>
          </w:p>
        </w:tc>
        <w:tc>
          <w:tcPr>
            <w:tcW w:w="282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rPr>
              <w:t>For the Six Months Ended June 30,</w:t>
            </w:r>
          </w:p>
        </w:tc>
        <w:tc>
          <w:tcPr>
            <w:tcW w:w="4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16.6</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55.3</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10.8%</w:t>
            </w: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11.0%</w:t>
            </w:r>
          </w:p>
        </w:tc>
      </w:tr>
      <w:tr>
        <w:trPr>
          <w:trHeight w:val="3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51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9"/>
          </w:tcPr>
          <w:p>
            <w:pPr>
              <w:jc w:val="right"/>
              <w:spacing w:after="0"/>
              <w:rPr>
                <w:sz w:val="20"/>
                <w:szCs w:val="20"/>
                <w:color w:val="auto"/>
              </w:rPr>
            </w:pPr>
            <w:r>
              <w:rPr>
                <w:rFonts w:ascii="Arial" w:cs="Arial" w:eastAsia="Arial" w:hAnsi="Arial"/>
                <w:sz w:val="16"/>
                <w:szCs w:val="16"/>
                <w:b w:val="1"/>
                <w:bCs w:val="1"/>
                <w:color w:val="auto"/>
              </w:rPr>
              <w:t>For the Three Months Ended June 30,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rPr>
              <w:t>For the Six Months Ended June 30,</w:t>
            </w:r>
          </w:p>
        </w:tc>
        <w:tc>
          <w:tcPr>
            <w:tcW w:w="480" w:type="dxa"/>
            <w:vAlign w:val="bottom"/>
          </w:tcPr>
          <w:p>
            <w:pPr>
              <w:spacing w:after="0"/>
              <w:rPr>
                <w:sz w:val="19"/>
                <w:szCs w:val="19"/>
                <w:color w:val="auto"/>
              </w:rPr>
            </w:pPr>
          </w:p>
        </w:tc>
      </w:tr>
      <w:tr>
        <w:trPr>
          <w:trHeight w:val="33"/>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10.8%</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11.0%</w:t>
            </w:r>
          </w:p>
        </w:tc>
      </w:tr>
      <w:tr>
        <w:trPr>
          <w:trHeight w:val="231"/>
        </w:trPr>
        <w:tc>
          <w:tcPr>
            <w:tcW w:w="406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8"/>
              </w:rPr>
              <w:t>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286.7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6"/>
              </w:rPr>
              <w:t>18.4%</w:t>
            </w:r>
          </w:p>
        </w:tc>
      </w:tr>
      <w:tr>
        <w:trPr>
          <w:trHeight w:val="33"/>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Clean Energy and Infrastructure</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NM</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11.0%</w:t>
            </w:r>
          </w:p>
        </w:tc>
      </w:tr>
      <w:tr>
        <w:trPr>
          <w:trHeight w:val="20"/>
        </w:trPr>
        <w:tc>
          <w:tcPr>
            <w:tcW w:w="4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 Beginning in 2020, our computation of Adjusted Net Income includes the effect of intangible asset amortization, as discussed above. Accordingly, all prior year periods have been updated to conform with the current year presentation.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For the Three Months Ended June 30,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w:t>
            </w: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 Income (in</w:t>
            </w:r>
          </w:p>
        </w:tc>
        <w:tc>
          <w:tcPr>
            <w:tcW w:w="12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Net Income (in</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Earnings Per</w:t>
            </w:r>
          </w:p>
        </w:tc>
      </w:t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millions)</w:t>
            </w:r>
          </w:p>
        </w:tc>
        <w:tc>
          <w:tcPr>
            <w:tcW w:w="14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Share</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r>
      <w:tr>
        <w:trPr>
          <w:trHeight w:val="283"/>
        </w:trPr>
        <w:tc>
          <w:tcPr>
            <w:tcW w:w="59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83"/>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9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5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1"/>
              </w:rPr>
              <w:t>For the Six Months Ended June 30,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w:t>
            </w: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 Income (in</w:t>
            </w:r>
          </w:p>
        </w:tc>
        <w:tc>
          <w:tcPr>
            <w:tcW w:w="12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Net Income (in</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Earnings Per</w:t>
            </w:r>
          </w:p>
        </w:tc>
      </w:t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millions)</w:t>
            </w:r>
          </w:p>
        </w:tc>
        <w:tc>
          <w:tcPr>
            <w:tcW w:w="14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Share</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0.13</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r>
      <w:tr>
        <w:trPr>
          <w:trHeight w:val="284"/>
        </w:trPr>
        <w:tc>
          <w:tcPr>
            <w:tcW w:w="59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84"/>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9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20955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5" w:lineRule="exact"/>
        <w:rPr>
          <w:sz w:val="20"/>
          <w:szCs w:val="20"/>
          <w:color w:val="auto"/>
        </w:rPr>
      </w:pPr>
    </w:p>
    <w:p>
      <w:pPr>
        <w:jc w:val="both"/>
        <w:ind w:left="340" w:hanging="332"/>
        <w:spacing w:after="0" w:line="273"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six month period ended June 30, 2019 included excess tax benefits of $2.3 million from the vesting of share-based payment awards. Tax effects are determined based on the tax treatment of the related item, the incremental statutory tax rate of the jurisdictions pertaining to the adjustment, and their effect on pre-tax income. For the three and six month periods ended June 30, 2020, our consolidated effective tax rates, as reported, were 26.7% and 18.6%, respectively, and as adjusted, were 26.0% and 19.3%, respectively. For the three and six month periods ended June 30, 2019, our consolidated effective tax rates, as reported, were 24.8% and 24.1%, respectively, and as adjusted, were 25.6% and 25.7%, respectively.</w:t>
      </w:r>
    </w:p>
    <w:p>
      <w:pPr>
        <w:sectPr>
          <w:pgSz w:w="11900" w:h="16838" w:orient="portrait"/>
          <w:cols w:equalWidth="0" w:num="1">
            <w:col w:w="11240"/>
          </w:cols>
          <w:pgMar w:left="320" w:top="778"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778" w:right="339" w:bottom="1440" w:gutter="0" w:footer="0" w:header="0"/>
          <w:type w:val="continuous"/>
        </w:sectPr>
      </w:pPr>
    </w:p>
    <w:bookmarkStart w:id="33" w:name="page34"/>
    <w:bookmarkEnd w:id="33"/>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and six month periods ended June 30, 2019, includes the effects of changes in Canadian provincial statutory tax rates.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 See Note 7 - Debt in the notes to the consolidated financial statements in this Form 10-Q, which is incorporated by reference, for details of our $600 million Private Offering of 4.50% Senior Notes in July 2020.</w:t>
      </w:r>
    </w:p>
    <w:p>
      <w:pPr>
        <w:spacing w:after="0" w:line="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2020, we spent $133 million on capital expenditures, or $115 million, net of asset disposals,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approximately $45 million of equipment purchases under finance leases. We estimate that we will spend approximately $205 million on capital expenditures, or approximately $175 million, net of asset disposals, in 2020, and expect to incur approximately $115 million to $135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5"/>
          <w:szCs w:val="15"/>
          <w:b w:val="1"/>
          <w:bCs w:val="1"/>
          <w:i w:val="1"/>
          <w:iCs w:val="1"/>
          <w:color w:val="auto"/>
        </w:rPr>
        <w:t>Acquisitions and Earn-Out Liabilities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typically utilize cash for business acquisitions and other strategic arrangements, and for the six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2020, we used $10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acquisition-related contingent consideration and other liabilities as of June 30, 2020 was approximately $133 million. Of this amount, $20 million represents the liability for earned amounts. The remainder is management’s estimate of acquisition-related contingent consideration and other liabilities that are contingent upon future performance. For the six month periods ended June 30, 2020 and 2019, we made payments of $50 million and $30 million, respectively, related to earn-out obligations.</w:t>
      </w:r>
    </w:p>
    <w:p>
      <w:pPr>
        <w:spacing w:after="0" w:line="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six month period ended June 30, 2020, tax payments, net of tax refunds were $1 million, which included the benefit of tax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deferrals of approximately $8 million resulting from federal and state COVID-19 relief provisions. For the six month period ended June 30, 2019, tax payments, net of tax refunds, totaled approximately $39 million. Our tax payments vary with changes in taxable income and earnings based on estimates of full year taxable income activity and estimated tax rates.</w:t>
      </w:r>
    </w:p>
    <w:p>
      <w:pPr>
        <w:spacing w:after="0" w:line="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June 30, 2020, we expect that substantially all of our unbilled receivables will be billed to customers in the normal course of business within the next twelve months. Total accounts receivable, which consists of contract billings, unbilled receivables and retainage, net of allowance, were generally flat at $1.9 billion for both June 30, 2020 and December 31, 2019.</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Including our current assessment of the potential effects of the COVID-19 pandemic on our results of operations,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2020, we had approximately $614 million in working capital, defined as current assets less current liabilities, as compared with $954 million as of December 31, 2019, a decrease of approximately $341 million. Cash and cash equivalents totaled approximately $49 million and $71 million as of June 30, 2020 and December 31, 2019,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52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4"/>
              </w:rPr>
              <w:t>(136.7)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(122.8)</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(383.8)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r>
      <w:tr>
        <w:trPr>
          <w:trHeight w:val="33"/>
        </w:trPr>
        <w:tc>
          <w:tcPr>
            <w:tcW w:w="8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affected by working capital needs associated with the various types of services we 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2020 was $497 million, as compared with approximately $351 million of net cash provided by operating activities for the same period in 2019, for an increase in cash provided by operating activities of approximately $145 million. The increase in cash flow from operating activities was primarily due to the effect of working capital-related changes in assets and liabilities, net, offset, in part, by a reduction in net income.</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Our days sales outstanding, net of contract liabilities (“DSO”) was 90 as of both June 30, 2020 and December 31, 2019. DSO is calculated as total accounts receivable, net of allowance, less contract liabilities, divided by average daily revenue for the most recently completed quarter as of the balance sheet date. DSOs can fluctuate from period to period due to timing of billings,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believe that we have material amounts due from customers experiencing financial difficulties. Based on current expectations, we expect to collect substantially all of our outstanding accounts receivable balances within the next twelve months.</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increased by $14 million to $137 million for the six month period ended June 30, 2020 from $123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2019. For the six month period ended June 30, 2020, we spent $133 million on capital expenditures, or $115 million, net of asset disposals, as compared with $57 million, or $38 million, net of asset disposals, for the same period in the prior year, for an increase in cash used in investing activities of $77 million. Cash paid for acquisitions, net, decreased by approximately $84 million for the six month period ended June 30, 2020 as compared with the same period in the prior year. Payments for other investments totaled $17 million for the six month period ended June 30, 2020 and related primarily to equity investments in certain telecommunications entities, whereas for the six month period ended June 30, 2019, payments for other investments totaled $5 million, for an increase of $12 million in cash used in investing activities. Proceeds from other investments and other investing activities, net, for the six month period ended June 30, 2020 totaled $5 million, whereas for the six month period ended 2019, totaled $15 million and related primarily to the sale of an investment in a telecommunications entity, for a decrease in cash provided by investing activities of approximately $9 million.</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six month period ended June 30, 2020 was $384 million, as compared with net cash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activities of $197 million for the six month period ended June 30, 2019, for an increase in cash used in financing activities of $187 million. Payments for repurchases of common stock totaled $120 million for the six month period ended June 30, 2020, whereas for the six month period ended June 30, 2019, totaled $6 million, for an increase in cash used in financing activities of approximately $115 million. Credit facility and other borrowing-related activity, net, for the six month period ended June 30, 2020, totaled $166 million of repayments, net of borrowings, as compared with $126 million for the six month period ended June 30, 2019, for an increase in cash used in financing activities of approximately $40 million. Additionally, payments of finance lease obligations increased by $23 million for the six month period ended June 30, 2020. Payments of acquisition-related contingent consideration included within financing activities totaled $39 million and $29 million for the six month periods ended June 30, 2020 and 2019, respectively, for an increase of $10 million in cash used in financing activities. Total payments of acquisition-related contingent consideration, including payments in excess of acquisition-date liabilities, which are classified within operating activities, totaled $50 million and $30 million for the six month periods ended June 30, 2020 and 2019, respectively.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(the “Credit Facility”) maturing on September 19, 2024. Aggregate borrowing commitments under the Credit Facility total $1.75 billion, composed of $1.35 billion of revolving commitments and a term loan totaling $400 million in original principal amount. Borrowings under the Credit Facility are used for working capital requirements, capital expenditures and other corporate purposes, including share repurchases, equity investments, potential acquisitions or other strategic arrangements and the repurchase or prepayment of indebtedness.</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2019 Form 10-K.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 xml:space="preserve">We have $400 million of 4.875% senior notes due March 15, 2023 (our “4.875% Senior Notes”) outstanding.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2019 Form 10-K. Also, see Supplemental Guarantor Financial Information </w:t>
      </w:r>
      <w:r>
        <w:rPr>
          <w:rFonts w:ascii="Arial" w:cs="Arial" w:eastAsia="Arial" w:hAnsi="Arial"/>
          <w:sz w:val="16"/>
          <w:szCs w:val="16"/>
          <w:color w:val="252525"/>
        </w:rPr>
        <w:t>below</w:t>
      </w:r>
      <w:r>
        <w:rPr>
          <w:rFonts w:ascii="Arial" w:cs="Arial" w:eastAsia="Arial" w:hAnsi="Arial"/>
          <w:sz w:val="16"/>
          <w:szCs w:val="16"/>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706" w:right="339" w:bottom="1440" w:gutter="0" w:footer="0" w:header="0"/>
        </w:sectPr>
      </w:pPr>
    </w:p>
    <w:bookmarkStart w:id="35" w:name="page36"/>
    <w:bookmarkEnd w:id="35"/>
    <w:p>
      <w:pPr>
        <w:jc w:val="both"/>
        <w:ind w:firstLine="648"/>
        <w:spacing w:after="0" w:line="251" w:lineRule="auto"/>
        <w:rPr>
          <w:sz w:val="20"/>
          <w:szCs w:val="20"/>
          <w:color w:val="auto"/>
        </w:rPr>
      </w:pPr>
      <w:r>
        <w:rPr>
          <w:rFonts w:ascii="Arial" w:cs="Arial" w:eastAsia="Arial" w:hAnsi="Arial"/>
          <w:sz w:val="16"/>
          <w:szCs w:val="16"/>
          <w:color w:val="auto"/>
        </w:rPr>
        <w:t>In July 2020, we agreed to issue $600 million aggregate principal amount of 4.50% senior unsecured notes due August 15, 2028 (the “4.50% Senior Notes”) at par in a private offering (the “Private Offering”) and issued a conditional notice to redeem our 4.875% Senior Notes on August 19, 2020. The Private Offering is expected to close on August 4, 2020. The proceeds from the Private Offering will be used to redeem or repurchase all of our existing 4.875% Senior Notes, to pay fees and expenses in connection therewith, and to repay revolving loans under the Credit Facility. Prior to redeeming the 4.875% Senior Notes, we may temporarily pay down revolving loans under our Credit Facility and then, subject to customary borrowing conditions, re-borrow under our Credit Facility to effect the redemption. For additional information on the Private Offering, the 4.50% Senior Notes and the redemption of the 4.875% Senior Notes, see Note 7 - Debt in the notes to the consolidated financial statements in this Form 10-Q, which is incorporated by reference.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June 30,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2019 Form 10-K. Also see Note 7 - Debt in the notes to the consolidated financial statements in this Form 10-Q for current period balances and discussion, which is incorporated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Guarantor Financial Information</w:t>
      </w:r>
    </w:p>
    <w:p>
      <w:pPr>
        <w:spacing w:after="0" w:line="22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In March 2020, the SEC amended Rule 3-10 of Regulation S-X regarding the financial disclosure requirements for guarantors and issuers of guaranteed securities, permitting registrants to disclose summarized financial information. We early adopted these amended rules in the second quarter of 2020 as discussed in Note 1 - Business, Basis of Presentation and Significant Accounting Policies in the notes to the consolidated financial statements in this Form 10-Q, which is incorporated by reference.</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4.875% Senior Notes are fully and unconditionally guaranteed on an unsecured, unsubordinated, joint and several basis by MasTec, Inc. and certain of our existing and future 100%-owned direct and indirect domestic subsidiaries that are, as of June 30, 2020, each guarantors of the Credit Facility or other outstanding indebtedness (the “Guarantor Subsidiaries”). The Guarantor Subsidiaries generally are entities through which we operate our businesses or own such operating entities. We are not restricted from making investments in the Guarantor Subsidiaries and there are no significant restrictions on the ability of the Guarantor Subsidiaries to make distributions to MasTec, Inc. The 4.875% Notes are effectively subordinated to any secured debt we or our Guarantor Subsidiaries may incur, including the Credit Facility. The Credit Facility is collateralized by a first priority security interest in substantially all of our assets and the assets of our Guarantor Subsidiaries. In addition, a Guarantor Subsidiary’s guarantee is subject to release in certain customary circumstances, including:</w:t>
      </w:r>
    </w:p>
    <w:p>
      <w:pPr>
        <w:spacing w:after="0" w:line="192"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sale of a majority of the capital stock or substantially all of the assets of such Guarantor Subsidiary as permitted by the indenture;</w:t>
      </w:r>
    </w:p>
    <w:p>
      <w:pPr>
        <w:spacing w:after="0" w:line="221" w:lineRule="exact"/>
        <w:rPr>
          <w:rFonts w:ascii="Arial" w:cs="Arial" w:eastAsia="Arial" w:hAnsi="Arial"/>
          <w:sz w:val="16"/>
          <w:szCs w:val="16"/>
          <w:color w:val="auto"/>
        </w:rPr>
      </w:pPr>
    </w:p>
    <w:p>
      <w:pPr>
        <w:ind w:left="900" w:right="20" w:hanging="244"/>
        <w:spacing w:after="0" w:line="27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legal defeasance of the 4.875% Senior Notes and guarantees or if the Guarantor Subsidiary’s guarantee under our Credit Facility and other indebtedness is released or discharged (other than due to payment under such guarantee);</w:t>
      </w:r>
    </w:p>
    <w:p>
      <w:pPr>
        <w:spacing w:after="0" w:line="172" w:lineRule="exact"/>
        <w:rPr>
          <w:rFonts w:ascii="Arial" w:cs="Arial" w:eastAsia="Arial" w:hAnsi="Arial"/>
          <w:sz w:val="16"/>
          <w:szCs w:val="16"/>
          <w:color w:val="auto"/>
        </w:rPr>
      </w:pPr>
    </w:p>
    <w:p>
      <w:pPr>
        <w:ind w:left="900" w:hanging="244"/>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the Company designates any restricted subsidiary that is a Guarantor Subsidiary to be an unrestricted subsidiary in accordance with the indenture;</w:t>
      </w:r>
    </w:p>
    <w:p>
      <w:pPr>
        <w:spacing w:after="0" w:line="232" w:lineRule="exact"/>
        <w:rPr>
          <w:rFonts w:ascii="Arial" w:cs="Arial" w:eastAsia="Arial" w:hAnsi="Arial"/>
          <w:sz w:val="15"/>
          <w:szCs w:val="15"/>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4.875% Senior Notes having investment grade ratings; and</w:t>
      </w:r>
    </w:p>
    <w:p>
      <w:pPr>
        <w:spacing w:after="0" w:line="221" w:lineRule="exact"/>
        <w:rPr>
          <w:rFonts w:ascii="Arial" w:cs="Arial" w:eastAsia="Arial" w:hAnsi="Arial"/>
          <w:sz w:val="16"/>
          <w:szCs w:val="16"/>
          <w:color w:val="auto"/>
        </w:rPr>
      </w:pPr>
    </w:p>
    <w:p>
      <w:pPr>
        <w:ind w:left="900" w:right="20" w:hanging="244"/>
        <w:spacing w:after="0" w:line="27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liquidation or dissolution of a Guarantor Subsidiary, provided that all assets of such Guarantor Subsidiary are transferred to the Company or another Guarantor Subsidiary.</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 court may find that the issuance of the 4.875% Senior Notes or the guarantee thereof was a fraudulent transfer or voidable transaction under applicable law, in which case (i) our payment obligations or those of the applicable Guarantor Subsidiary may be voided, (ii) the 4.875% Senior Notes or such guarantee may be subordinated to current or future debt of ours or such Guarantor Subsidiary or (iii) the holders of the 4.875% Senior Notes may be required to repay amounts received with respect to such guarantee. The guarantees are intended to be limited to the maximum amount able to be incurred without such guarantees constituting a fraudulent conveyance under applicable law; however, such limitations may not be effective to protect against (a) avoidance under fraudulent conveyance laws, (b) elimination of a Guarantor Subsidiary’s obligations or (c) reduction thereof that effectively makes the guarantee insufficient or worthless. In the event of a finding that a fraudulent transfer or voidable transaction occurred, the holders of the 4.875% Senior Notes may not receive any repayment on the 4.875% Senior Notes.</w:t>
      </w:r>
    </w:p>
    <w:p>
      <w:pPr>
        <w:spacing w:after="0" w:line="154"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Our subsidiaries that are organized outside of the United States and certain domestic subsidiaries (collectively, the “Non-Guarantor Subsidiaries”) do not guarantee the 4.875% Senior Notes. The 4.875% Senior Notes are structurally subordinated to the indebtedness and other liabilities of our Non-Guarantor Subsidiaries.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616" w:right="339" w:bottom="1440" w:gutter="0" w:footer="0" w:header="0"/>
        </w:sectPr>
      </w:pPr>
    </w:p>
    <w:bookmarkStart w:id="36" w:name="page37"/>
    <w:bookmarkEnd w:id="36"/>
    <w:p>
      <w:pPr>
        <w:jc w:val="both"/>
        <w:ind w:firstLine="648"/>
        <w:spacing w:after="0" w:line="261" w:lineRule="auto"/>
        <w:rPr>
          <w:sz w:val="20"/>
          <w:szCs w:val="20"/>
          <w:color w:val="auto"/>
        </w:rPr>
      </w:pPr>
      <w:r>
        <w:rPr>
          <w:rFonts w:ascii="Arial" w:cs="Arial" w:eastAsia="Arial" w:hAnsi="Arial"/>
          <w:sz w:val="16"/>
          <w:szCs w:val="16"/>
          <w:color w:val="auto"/>
        </w:rPr>
        <w:t>The following tables present summarized combined financial information for MasTec, Inc. and the Guarantor Subsidiaries (together, the “Obligor Group”) on a combined basis, after elimination of intercompany balances and transactions between or among the Obligor Group and investments in and equity in earnings of the Non-Guarantor Subsidiaries: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For the Six Months</w:t>
            </w:r>
          </w:p>
        </w:tc>
      </w:tr>
      <w:tr>
        <w:trPr>
          <w:trHeight w:val="210"/>
        </w:trPr>
        <w:tc>
          <w:tcPr>
            <w:tcW w:w="9460" w:type="dxa"/>
            <w:vAlign w:val="bottom"/>
          </w:tcPr>
          <w:p>
            <w:pPr>
              <w:ind w:left="40"/>
              <w:spacing w:after="0"/>
              <w:rPr>
                <w:sz w:val="20"/>
                <w:szCs w:val="20"/>
                <w:color w:val="auto"/>
              </w:rPr>
            </w:pPr>
            <w:r>
              <w:rPr>
                <w:rFonts w:ascii="Arial" w:cs="Arial" w:eastAsia="Arial" w:hAnsi="Arial"/>
                <w:sz w:val="16"/>
                <w:szCs w:val="16"/>
                <w:b w:val="1"/>
                <w:bCs w:val="1"/>
                <w:color w:val="auto"/>
              </w:rPr>
              <w:t>Summarized Combined Statement of Operations Information (unaudited - in millions)</w:t>
            </w:r>
          </w:p>
        </w:tc>
        <w:tc>
          <w:tcPr>
            <w:tcW w:w="140" w:type="dxa"/>
            <w:vAlign w:val="bottom"/>
          </w:tcPr>
          <w:p>
            <w:pPr>
              <w:spacing w:after="0"/>
              <w:rPr>
                <w:sz w:val="18"/>
                <w:szCs w:val="18"/>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Ended June 30, 2020</w:t>
            </w:r>
          </w:p>
        </w:tc>
      </w:tr>
      <w:tr>
        <w:trPr>
          <w:trHeight w:val="33"/>
        </w:trPr>
        <w:tc>
          <w:tcPr>
            <w:tcW w:w="9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2,823.4</w:t>
            </w:r>
          </w:p>
        </w:tc>
      </w:tr>
      <w:tr>
        <w:trPr>
          <w:trHeight w:val="237"/>
        </w:trPr>
        <w:tc>
          <w:tcPr>
            <w:tcW w:w="946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2,391.3</w:t>
            </w:r>
          </w:p>
        </w:tc>
      </w:tr>
      <w:tr>
        <w:trPr>
          <w:trHeight w:val="33"/>
        </w:trPr>
        <w:tc>
          <w:tcPr>
            <w:tcW w:w="9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r>
      <w:tr>
        <w:trPr>
          <w:trHeight w:val="237"/>
        </w:trPr>
        <w:tc>
          <w:tcPr>
            <w:tcW w:w="9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99.2</w:t>
            </w:r>
          </w:p>
        </w:tc>
      </w:tr>
    </w:tbl>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Excluded from the table above are revenues, costs of revenue, excluding depreciation and amortization, and net losses of $0.9 million, $14.7 million and $9.2 million, respectively, from Non-Guarantor Subsidiaries for the six month period ended June 30, 2020. There were no non-controlling interests held by the Obligor Group for the six month period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Summarized Combined Balance Sheet Information (unaudited - in millions)</w:t>
            </w:r>
          </w:p>
        </w:tc>
        <w:tc>
          <w:tcPr>
            <w:tcW w:w="26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1,933.4</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 and operating lease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Goodwill and other intangible assets,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1,270.4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1,265.6</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 due from Non-Guarantor Subsidiaries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678.9</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1,445.4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1,133.8</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finance leases, and operating lease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1,453.9</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Intercompany payables due to Non-Guarantor Subsidiaries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489.8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465.0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493.1</w:t>
            </w:r>
          </w:p>
        </w:tc>
      </w:tr>
      <w:tr>
        <w:trPr>
          <w:trHeight w:val="33"/>
        </w:trPr>
        <w:tc>
          <w:tcPr>
            <w:tcW w:w="8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See Note 15 - Related Party Transactions in the notes to the consolidated financial statements in this Form 10-Q, which is incorporated by reference, for information pertaining to related party transactions.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We closely monitor inflationary factors and any impact they may have on our operating results or financial condition.</w:t>
      </w:r>
    </w:p>
    <w:p>
      <w:pPr>
        <w:spacing w:after="0" w:line="399" w:lineRule="exact"/>
        <w:rPr>
          <w:sz w:val="20"/>
          <w:szCs w:val="20"/>
          <w:color w:val="auto"/>
        </w:rPr>
      </w:pPr>
    </w:p>
    <w:p>
      <w:pPr>
        <w:ind w:right="466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74" w:lineRule="auto"/>
        <w:rPr>
          <w:sz w:val="20"/>
          <w:szCs w:val="20"/>
          <w:color w:val="auto"/>
        </w:rPr>
      </w:pPr>
      <w:r>
        <w:rPr>
          <w:rFonts w:ascii="Arial" w:cs="Arial" w:eastAsia="Arial" w:hAnsi="Arial"/>
          <w:sz w:val="15"/>
          <w:szCs w:val="15"/>
          <w:color w:val="auto"/>
        </w:rPr>
        <w:t>As of June 30, 2020,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2020, we had $167 million aggregate principal amount of outstanding revolving loans under our Credit Facility with a weighted average interest rate of 2.38% and a term loan with a balance of $400 million with an interest rate of 1.43%. A 100 basis point increase in the applicable interest rates under our credit facilities would have increased our interest expense by approximately $4 million for the six month period ended June 30, 2020.</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2020, our fixed interest rate debt primarily included $400 million aggregate principal amount of 4.875% Senior Notes and $287 million of finance lease obligations, which accrued interest at a weighted average interest rate of approximately 4.0%. None of this debt subjects us to interest rate risk, but we may be subject to changes in interest rates if and when we refinance this debt at maturity or otherwise.</w:t>
      </w:r>
    </w:p>
    <w:p>
      <w:pPr>
        <w:sectPr>
          <w:pgSz w:w="11900" w:h="16838" w:orient="portrait"/>
          <w:cols w:equalWidth="0" w:num="1">
            <w:col w:w="11240"/>
          </w:cols>
          <w:pgMar w:left="320" w:top="616"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61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of our consolidated revenue and operating expenses are in foreign currencies. Our foreign operations are primarily in Canada. Revenue generated from foreign operations represented 2% of our total revenue for the six month period ended June 30, 2020.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Such transactions were not material to our operations for the three or six month periods ended June 30, 2020. Translation gains or losses, which are recorded in other comprehensive income or loss, result from translation of the assets and liabilities of our foreign subsidiaries into U.S. dollars.</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2020. We may enter into foreign currency derivative contracts in the future to manage such exposure.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June 30, 2020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612" w:right="33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7" w:lineRule="exact"/>
        <w:rPr>
          <w:sz w:val="20"/>
          <w:szCs w:val="20"/>
          <w:color w:val="auto"/>
        </w:rPr>
      </w:pPr>
    </w:p>
    <w:p>
      <w:pPr>
        <w:ind w:right="20"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2019 Form 10-K.</w:t>
      </w:r>
    </w:p>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Except as set forth below subject to the potential effects of the COVID-19 pandemic on certain of the risks we normally face in operating our business, including those disclosed in our 2019 Form 10-K, there have been no material changes to either the cautionary statement regarding forward-looking statements or to any of the risk factors disclosed in our 2019 Form 10-K, as updated by our Quarterly Report on Form 10-Q and other filings we make with the SEC.</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and the operations of our customers, may be adversely affected by epidemics or pandemics such as the COVID-19 pandemic.</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may face risks related to health epidemics and pandemics or other outbreaks of communicable diseases. The global spread of COVID-19 has created significant volatility, uncertainty and economic disruption, including significant volatility in the U.S. economy and financial markets. The extent to which the COVID-19 pandemic could affect our business, operations, financial results and the trading price of our common stock will depend on numerous evolving factors that we may not be able to accurately predict, including the duration and scope of the pandemic, governmental and business actions that have been and continue to be taken in response to the pandemic, including mitigation efforts such as stay at home and other social distancing orders, as well as the impact of the pandemic on the U.S. economy, economic activity and actions taken in response, including from stimulus efforts such as the Families First Coronavirus Act and the Coronavirus Aid, Relief and Economic Security (“CARES”) Act.</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 public health epidemic or pandemic, such as the COVID-19 pandemic, poses the risk that we or our employees, customers and/or business partners may be prevented from conducting ordinary course business activities for an indefinite period of time, including due to shutdowns or cancellations that may be mandated or requested by governmental authorities or others, or that the pandemic may otherwise interrupt or affect business activities. The COVID-19 pandemic has had a negative effect on our operations. While we expect this to continue during the remainder of 2020 at least, we cannot predict the extent or duration of these effects. We have adjusted standard operating procedures within our business operations to ensure continued employee and customer safety and are continually monitoring evolving health guidelines as well as market conditions and responding to changes as appropriate. We cannot be certain, however, that these efforts will prevent further disruption due to effects of the pandemic on business and market conditions. Additionally, we could be exposed to increased risks and costs associated with workplace health claims. In light of the federal and state mandates implemented to control the spread of COVID-19, we have taken steps that allow administrative personnel to work remotely. Many of these measures are being deployed for the first time and, despite our implementation of information technology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If overall global economic conditions weaken as a result of efforts to contain the spread of COVID-19, this may result in a reduction in demand across our end markets, including in the oil and gas sector, which has recently experienced significant volatility in oil prices and demand. Unfavorable market conditions, market uncertainty and/or economic downturns could have a negative effect on demand for our customers’ services and/or the profitability of services.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We could also incur incremental costs to operate in the current environment or experience lower levels of overhead absorption from a reduction in revenue, both of which could negatively affect our margins and profitability. Additionally, the economic and market disruptions resulting from COVID-19 could also lead to greater than normal uncertainty with respect to the realization of estimated amounts, including our estimates for backlog, revenue recognition, recoverability of goodwill, intangible assets and other investments and our provisions for credit losses. Our customers could seek to delay payments to us as a result of the pandemic’s financial effects on them, which could negatively affect our cash flows and liquidity. The ultimate extent, duration and impact of the COVID-19 pandemic is uncertain, the effects of which could be significant, and we cannot predict or quantify with any certainty the extent to which it could adversely affect our future financial condition, results of operations, liquidity, cash flows or the market price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666" w:right="33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June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ind w:right="44"/>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vMerge w:val="restart"/>
          </w:tcPr>
          <w:p>
            <w:pPr>
              <w:jc w:val="center"/>
              <w:ind w:right="24"/>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81"/>
        </w:trPr>
        <w:tc>
          <w:tcPr>
            <w:tcW w:w="3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Paid per Share</w:t>
            </w:r>
          </w:p>
        </w:tc>
        <w:tc>
          <w:tcPr>
            <w:tcW w:w="100" w:type="dxa"/>
            <w:vAlign w:val="bottom"/>
            <w:vMerge w:val="restart"/>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Program </w:t>
            </w:r>
            <w:r>
              <w:rPr>
                <w:rFonts w:ascii="Arial" w:cs="Arial" w:eastAsia="Arial" w:hAnsi="Arial"/>
                <w:sz w:val="21"/>
                <w:szCs w:val="21"/>
                <w:b w:val="1"/>
                <w:bCs w:val="1"/>
                <w:color w:val="auto"/>
                <w:w w:val="90"/>
                <w:vertAlign w:val="superscript"/>
              </w:rPr>
              <w:t>(c)</w:t>
            </w:r>
          </w:p>
        </w:tc>
        <w:tc>
          <w:tcPr>
            <w:tcW w:w="12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(a) (b)</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159,419,290</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27,724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27,085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24"/>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27,724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20955</wp:posOffset>
            </wp:positionV>
            <wp:extent cx="1345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20955</wp:posOffset>
            </wp:positionV>
            <wp:extent cx="865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5" w:lineRule="exact"/>
        <w:rPr>
          <w:sz w:val="20"/>
          <w:szCs w:val="20"/>
          <w:color w:val="auto"/>
        </w:rPr>
      </w:pPr>
    </w:p>
    <w:p>
      <w:pPr>
        <w:ind w:left="340" w:hanging="332"/>
        <w:spacing w:after="0" w:line="26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27,085 of repurchases under share repurchase programs and 639 of shares withheld for income tax purposes in connection with shares issued under compensation and benefit programs.</w:t>
      </w: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compensation and benefit programs, all shares were acquired in open-market transactions.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Shares repurchased under our December 2018 $100 million share repurchase program, which was publicly announced on December 21, 2018.</w:t>
      </w:r>
    </w:p>
    <w:p>
      <w:pPr>
        <w:spacing w:after="0" w:line="28"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$8.6 million available for repurchase under our December 2018 share repurchase program and $150.0 million available for repurchase under our March 2020 $150 million share repurchase program, which was publicly announced on March 19, 2020.</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4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24"/>
                <w:szCs w:val="24"/>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Form of Executive Restricted Stock Agreement for the MasTec, Inc. Amended and Restated 2013 Incentive Compensation Plan.</w:t>
              </w:r>
            </w:hyperlink>
          </w:p>
        </w:tc>
      </w:tr>
      <w:tr>
        <w:trPr>
          <w:trHeight w:val="28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4"/>
                <w:szCs w:val="24"/>
                <w:color w:val="auto"/>
              </w:rPr>
            </w:pPr>
          </w:p>
        </w:tc>
        <w:tc>
          <w:tcPr>
            <w:tcW w:w="9940" w:type="dxa"/>
            <w:vAlign w:val="bottom"/>
            <w:gridSpan w:val="3"/>
          </w:tcPr>
          <w:p>
            <w:pPr>
              <w:ind w:left="240"/>
              <w:spacing w:after="0"/>
              <w:rPr>
                <w:rFonts w:ascii="Arial" w:cs="Arial" w:eastAsia="Arial" w:hAnsi="Arial"/>
                <w:sz w:val="16"/>
                <w:szCs w:val="16"/>
                <w:u w:val="single" w:color="auto"/>
                <w:color w:val="0000FF"/>
                <w:w w:val="97"/>
              </w:rPr>
            </w:pPr>
            <w:hyperlink w:anchor="page48">
              <w:r>
                <w:rPr>
                  <w:rFonts w:ascii="Arial" w:cs="Arial" w:eastAsia="Arial" w:hAnsi="Arial"/>
                  <w:sz w:val="16"/>
                  <w:szCs w:val="16"/>
                  <w:u w:val="single" w:color="auto"/>
                  <w:color w:val="0000FF"/>
                  <w:w w:val="97"/>
                </w:rPr>
                <w:t>Form of Executive (Jorge Mas) Restricted Stock Agreement for the MasTec, Inc. Amended and Restated 2013 Incentive Compensation Plan.</w:t>
              </w:r>
            </w:hyperlink>
          </w:p>
        </w:tc>
      </w:tr>
      <w:tr>
        <w:trPr>
          <w:trHeight w:val="256"/>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22"/>
                <w:szCs w:val="22"/>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List of Guarantor Subsidiaries.</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Certifications required by Section 302(a)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Certifications required by Section 302(a)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Certifications required by Section 906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Certifications required by Section 906 of the Sarbanes-Oxley Act of 2002.</w:t>
              </w:r>
            </w:hyperlink>
          </w:p>
        </w:tc>
      </w:tr>
      <w:tr>
        <w:trPr>
          <w:trHeight w:val="266"/>
        </w:trPr>
        <w:tc>
          <w:tcPr>
            <w:tcW w:w="10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 are embedded within the</w:t>
            </w: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document.</w:t>
            </w:r>
          </w:p>
        </w:tc>
      </w:tr>
      <w:tr>
        <w:trPr>
          <w:trHeight w:val="257"/>
        </w:trPr>
        <w:tc>
          <w:tcPr>
            <w:tcW w:w="10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Schema</w:t>
            </w:r>
          </w:p>
        </w:tc>
      </w:tr>
      <w:tr>
        <w:trPr>
          <w:trHeight w:val="270"/>
        </w:trPr>
        <w:tc>
          <w:tcPr>
            <w:tcW w:w="10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Calculation Linkbase</w:t>
            </w:r>
          </w:p>
        </w:tc>
      </w:tr>
      <w:tr>
        <w:trPr>
          <w:trHeight w:val="297"/>
        </w:trPr>
        <w:tc>
          <w:tcPr>
            <w:tcW w:w="10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Definition Linkbase</w:t>
            </w:r>
          </w:p>
        </w:tc>
      </w:tr>
      <w:tr>
        <w:trPr>
          <w:trHeight w:val="257"/>
        </w:trPr>
        <w:tc>
          <w:tcPr>
            <w:tcW w:w="10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Label Linkbase</w:t>
            </w:r>
          </w:p>
        </w:tc>
      </w:tr>
      <w:tr>
        <w:trPr>
          <w:trHeight w:val="270"/>
        </w:trPr>
        <w:tc>
          <w:tcPr>
            <w:tcW w:w="10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64" w:lineRule="exact"/>
        <w:rPr>
          <w:sz w:val="20"/>
          <w:szCs w:val="20"/>
          <w:color w:val="auto"/>
        </w:rPr>
      </w:pPr>
    </w:p>
    <w:p>
      <w:pPr>
        <w:ind w:left="1280" w:right="360" w:hanging="1245"/>
        <w:spacing w:after="0" w:line="281"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cover page of MasTec, Inc.’s Quarterly Report on Form 10-Q for the quarter ended June 30, 2020, formatted in Inline XBRL (included with the Exhibit 101 attachments).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0"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Management contract or compensation plan arrangement.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774" w:right="339" w:bottom="1440" w:gutter="0" w:footer="0" w:header="0"/>
        </w:sectPr>
      </w:pPr>
    </w:p>
    <w:bookmarkStart w:id="40" w:name="page41"/>
    <w:bookmarkEnd w:id="40"/>
    <w:p>
      <w:pPr>
        <w:jc w:val="center"/>
        <w:ind w:right="-339"/>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July 30, 2020</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34925</wp:posOffset>
            </wp:positionV>
            <wp:extent cx="2408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34925</wp:posOffset>
            </wp:positionV>
            <wp:extent cx="2408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(Principal Financial and Accounting Officer)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69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AGREEMENT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55" w:lineRule="auto"/>
        <w:tabs>
          <w:tab w:leader="none" w:pos="102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MasTec, Inc. (the “Company”) has awarded to the “Recipient” designated below, the “Award” generally described in the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spacing w:after="0" w:line="399" w:lineRule="exact"/>
        <w:rPr>
          <w:rFonts w:ascii="Arial" w:cs="Arial" w:eastAsia="Arial" w:hAnsi="Arial"/>
          <w:sz w:val="16"/>
          <w:szCs w:val="16"/>
          <w:b w:val="1"/>
          <w:bCs w:val="1"/>
          <w:color w:val="auto"/>
        </w:rPr>
      </w:pPr>
    </w:p>
    <w:p>
      <w:pPr>
        <w:ind w:left="940" w:hanging="284"/>
        <w:spacing w:after="0"/>
        <w:tabs>
          <w:tab w:leader="none" w:pos="9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Restrictions</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ind w:firstLine="1304"/>
        <w:spacing w:after="0" w:line="275" w:lineRule="auto"/>
        <w:tabs>
          <w:tab w:leader="none" w:pos="1643"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shares of restricted stock (the “Restricted Stock”) covered by the Award shall vest on the vesting dates (each a “Vesting Date”) set forth below, provided that the Continuous Service of the Recipient continues through and until the applicable Vesting Date:</w:t>
      </w:r>
    </w:p>
    <w:p>
      <w:pPr>
        <w:spacing w:after="0" w:line="297" w:lineRule="exact"/>
        <w:rPr>
          <w:sz w:val="20"/>
          <w:szCs w:val="20"/>
          <w:color w:val="auto"/>
        </w:rPr>
      </w:pPr>
    </w:p>
    <w:tbl>
      <w:tblPr>
        <w:tblLayout w:type="fixed"/>
        <w:tblInd w:w="1890" w:type="dxa"/>
        <w:tblCellMar>
          <w:top w:w="0" w:type="dxa"/>
          <w:left w:w="0" w:type="dxa"/>
          <w:bottom w:w="0" w:type="dxa"/>
          <w:right w:w="0" w:type="dxa"/>
        </w:tblCellMar>
      </w:tblPr>
      <w:tr>
        <w:trPr>
          <w:trHeight w:val="426"/>
        </w:trPr>
        <w:tc>
          <w:tcPr>
            <w:tcW w:w="3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Vesting Date</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Number of Shares that Become Vested</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406"/>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17"/>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17"/>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395" w:lineRule="exact"/>
        <w:rPr>
          <w:sz w:val="20"/>
          <w:szCs w:val="20"/>
          <w:color w:val="auto"/>
        </w:rPr>
      </w:pPr>
    </w:p>
    <w:p>
      <w:pPr>
        <w:ind w:firstLine="1304"/>
        <w:spacing w:after="0" w:line="275" w:lineRule="auto"/>
        <w:tabs>
          <w:tab w:leader="none" w:pos="1673"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the event that a Change in Control of the Company occurs during the Recipient’s Continuous Service, the shares of Restricted Stock subject to this Agreement shall become immediately vested as of the date of the Change in Control.</w:t>
      </w:r>
    </w:p>
    <w:p>
      <w:pPr>
        <w:spacing w:after="0" w:line="172" w:lineRule="exact"/>
        <w:rPr>
          <w:rFonts w:ascii="Arial" w:cs="Arial" w:eastAsia="Arial" w:hAnsi="Arial"/>
          <w:sz w:val="16"/>
          <w:szCs w:val="16"/>
          <w:color w:val="auto"/>
        </w:rPr>
      </w:pPr>
    </w:p>
    <w:p>
      <w:pPr>
        <w:ind w:firstLine="1304"/>
        <w:spacing w:after="0" w:line="275" w:lineRule="auto"/>
        <w:tabs>
          <w:tab w:leader="none" w:pos="1717"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Notwithstanding any other term or provision of this Agreement, the Committee retains the right to accelerate vesting of any Restricted Stock awarded under this Agreement.</w:t>
      </w:r>
    </w:p>
    <w:p>
      <w:pPr>
        <w:spacing w:after="0" w:line="172" w:lineRule="exact"/>
        <w:rPr>
          <w:rFonts w:ascii="Arial" w:cs="Arial" w:eastAsia="Arial" w:hAnsi="Arial"/>
          <w:sz w:val="16"/>
          <w:szCs w:val="16"/>
          <w:color w:val="auto"/>
        </w:rPr>
      </w:pPr>
    </w:p>
    <w:p>
      <w:pPr>
        <w:ind w:right="20" w:firstLine="1304"/>
        <w:spacing w:after="0" w:line="310" w:lineRule="auto"/>
        <w:tabs>
          <w:tab w:leader="none" w:pos="1663" w:val="left"/>
        </w:tabs>
        <w:numPr>
          <w:ilvl w:val="1"/>
          <w:numId w:val="18"/>
        </w:numPr>
        <w:rPr>
          <w:rFonts w:ascii="Arial" w:cs="Arial" w:eastAsia="Arial" w:hAnsi="Arial"/>
          <w:sz w:val="15"/>
          <w:szCs w:val="15"/>
          <w:color w:val="auto"/>
        </w:rPr>
      </w:pPr>
      <w:r>
        <w:rPr>
          <w:rFonts w:ascii="Arial" w:cs="Arial" w:eastAsia="Arial" w:hAnsi="Arial"/>
          <w:sz w:val="15"/>
          <w:szCs w:val="15"/>
          <w:color w:val="auto"/>
        </w:rPr>
        <w:t>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w:t>
      </w:r>
    </w:p>
    <w:p>
      <w:pPr>
        <w:spacing w:after="0" w:line="148" w:lineRule="exact"/>
        <w:rPr>
          <w:rFonts w:ascii="Arial" w:cs="Arial" w:eastAsia="Arial" w:hAnsi="Arial"/>
          <w:sz w:val="15"/>
          <w:szCs w:val="15"/>
          <w:color w:val="auto"/>
        </w:rPr>
      </w:pPr>
    </w:p>
    <w:p>
      <w:pPr>
        <w:jc w:val="both"/>
        <w:ind w:firstLine="1304"/>
        <w:spacing w:after="0" w:line="272" w:lineRule="auto"/>
        <w:tabs>
          <w:tab w:leader="none" w:pos="1711" w:val="left"/>
        </w:tabs>
        <w:numPr>
          <w:ilvl w:val="1"/>
          <w:numId w:val="18"/>
        </w:numPr>
        <w:rPr>
          <w:rFonts w:ascii="Arial" w:cs="Arial" w:eastAsia="Arial" w:hAnsi="Arial"/>
          <w:sz w:val="15"/>
          <w:szCs w:val="15"/>
          <w:color w:val="auto"/>
        </w:rPr>
      </w:pPr>
      <w:r>
        <w:rPr>
          <w:rFonts w:ascii="Arial" w:cs="Arial" w:eastAsia="Arial" w:hAnsi="Arial"/>
          <w:sz w:val="15"/>
          <w:szCs w:val="15"/>
          <w:color w:val="auto"/>
        </w:rPr>
        <w:t>Except as otherwise provided below, in the event the Recipient’s employment with the Company is terminated and so long as the Recipient’s employment with the Company is not terminated for “Cause” (as defined in Section 11(c) of the employment agreement between the Company and the Recipient, dated [ ], as amended (the “</w:t>
      </w:r>
      <w:r>
        <w:rPr>
          <w:rFonts w:ascii="Arial" w:cs="Arial" w:eastAsia="Arial" w:hAnsi="Arial"/>
          <w:sz w:val="15"/>
          <w:szCs w:val="15"/>
          <w:b w:val="1"/>
          <w:bCs w:val="1"/>
          <w:i w:val="1"/>
          <w:iCs w:val="1"/>
          <w:color w:val="auto"/>
        </w:rPr>
        <w:t>Employment Agreement</w:t>
      </w:r>
      <w:r>
        <w:rPr>
          <w:rFonts w:ascii="Arial" w:cs="Arial" w:eastAsia="Arial" w:hAnsi="Arial"/>
          <w:sz w:val="15"/>
          <w:szCs w:val="15"/>
          <w:color w:val="auto"/>
        </w:rPr>
        <w:t>”)), and the Recipient has not breached any of the Restrictive Covenants (as defined in Section 5 below), the unvested shares of Restricted Stock subject to this Agreement shall continue to vest on each subsequent Vesting Date as if the Recipient’s employment with the Company continued through and until the applicable Vesting Date. In the event the Recipient’s employment with the Company is terminated on account of the Recipient’s death or Disability (as defined under the Employment Agreement), the unvested shares of Restricted Stock subject to this Agreement shall immediately vest.</w:t>
      </w:r>
    </w:p>
    <w:p>
      <w:pPr>
        <w:spacing w:after="0" w:line="389" w:lineRule="exact"/>
        <w:rPr>
          <w:rFonts w:ascii="Arial" w:cs="Arial" w:eastAsia="Arial" w:hAnsi="Arial"/>
          <w:sz w:val="15"/>
          <w:szCs w:val="15"/>
          <w:color w:val="auto"/>
        </w:rPr>
      </w:pPr>
    </w:p>
    <w:p>
      <w:pPr>
        <w:ind w:left="940" w:hanging="284"/>
        <w:spacing w:after="0"/>
        <w:tabs>
          <w:tab w:leader="none" w:pos="94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Certificates</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firstLine="1304"/>
        <w:spacing w:after="0" w:line="256" w:lineRule="auto"/>
        <w:tabs>
          <w:tab w:leader="none" w:pos="167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spacing w:after="0" w:line="186" w:lineRule="exact"/>
        <w:rPr>
          <w:rFonts w:ascii="Arial" w:cs="Arial" w:eastAsia="Arial" w:hAnsi="Arial"/>
          <w:sz w:val="16"/>
          <w:szCs w:val="16"/>
          <w:color w:val="auto"/>
        </w:rPr>
      </w:pPr>
    </w:p>
    <w:p>
      <w:pPr>
        <w:jc w:val="both"/>
        <w:ind w:firstLine="1304"/>
        <w:spacing w:after="0" w:line="256" w:lineRule="auto"/>
        <w:tabs>
          <w:tab w:leader="none" w:pos="165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w:t>
      </w:r>
    </w:p>
    <w:p>
      <w:pPr>
        <w:sectPr>
          <w:pgSz w:w="11900" w:h="16838" w:orient="portrait"/>
          <w:cols w:equalWidth="0" w:num="1">
            <w:col w:w="11240"/>
          </w:cols>
          <w:pgMar w:left="320" w:top="558"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6"/>
          <w:szCs w:val="16"/>
          <w:color w:val="auto"/>
        </w:rPr>
        <w:t>extent that such Restricted Stock is subsequently forfeited, the cash dividends attributable to the forfeited Restricted Stock shall be forfeited as well. Stock dividends declared by the Company will be characterized as Restricted Stock and will be subject to vesting and be distributed at the same times as the Restricted Stock with respect to which they were declared as dividends.</w:t>
      </w:r>
    </w:p>
    <w:p>
      <w:pPr>
        <w:spacing w:after="0" w:line="183" w:lineRule="exact"/>
        <w:rPr>
          <w:sz w:val="20"/>
          <w:szCs w:val="20"/>
          <w:color w:val="auto"/>
        </w:rPr>
      </w:pPr>
    </w:p>
    <w:p>
      <w:pPr>
        <w:jc w:val="both"/>
        <w:ind w:firstLine="1304"/>
        <w:spacing w:after="0" w:line="253" w:lineRule="auto"/>
        <w:tabs>
          <w:tab w:leader="none" w:pos="163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91" w:lineRule="exact"/>
        <w:rPr>
          <w:rFonts w:ascii="Arial" w:cs="Arial" w:eastAsia="Arial" w:hAnsi="Arial"/>
          <w:sz w:val="16"/>
          <w:szCs w:val="16"/>
          <w:color w:val="auto"/>
        </w:rPr>
      </w:pPr>
    </w:p>
    <w:p>
      <w:pPr>
        <w:jc w:val="both"/>
        <w:ind w:firstLine="1304"/>
        <w:spacing w:after="0" w:line="261" w:lineRule="auto"/>
        <w:tabs>
          <w:tab w:leader="none" w:pos="16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Company is authorized to issue Shares without certificates, then the 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394" w:lineRule="exact"/>
        <w:rPr>
          <w:rFonts w:ascii="Arial" w:cs="Arial" w:eastAsia="Arial" w:hAnsi="Arial"/>
          <w:sz w:val="16"/>
          <w:szCs w:val="16"/>
          <w:color w:val="auto"/>
        </w:rPr>
      </w:pPr>
    </w:p>
    <w:p>
      <w:pPr>
        <w:jc w:val="both"/>
        <w:ind w:firstLine="656"/>
        <w:spacing w:after="0" w:line="273" w:lineRule="auto"/>
        <w:tabs>
          <w:tab w:leader="none" w:pos="1012"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Forfeiture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Upon termination of the Recipient’s Continuous Service, for any reason, any shares of Restricted Stock that have not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spacing w:after="0" w:line="388" w:lineRule="exact"/>
        <w:rPr>
          <w:rFonts w:ascii="Arial" w:cs="Arial" w:eastAsia="Arial" w:hAnsi="Arial"/>
          <w:sz w:val="15"/>
          <w:szCs w:val="15"/>
          <w:b w:val="1"/>
          <w:bCs w:val="1"/>
          <w:color w:val="auto"/>
        </w:rPr>
      </w:pPr>
    </w:p>
    <w:p>
      <w:pPr>
        <w:jc w:val="both"/>
        <w:ind w:firstLine="656"/>
        <w:spacing w:after="0" w:line="263" w:lineRule="auto"/>
        <w:tabs>
          <w:tab w:leader="none" w:pos="94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the Company’s grant of the Restricted Stock to the Recipient, and for other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by the Recipient, the Recipient hereby agrees to comply with the restrictive covenants set forth in Sections 6, 7 and 8 of the Employment Agreement (collectively, the “Restrictive Covenants”).</w:t>
      </w:r>
    </w:p>
    <w:p>
      <w:pPr>
        <w:spacing w:after="0" w:line="394" w:lineRule="exact"/>
        <w:rPr>
          <w:rFonts w:ascii="Arial" w:cs="Arial" w:eastAsia="Arial" w:hAnsi="Arial"/>
          <w:sz w:val="16"/>
          <w:szCs w:val="16"/>
          <w:b w:val="1"/>
          <w:bCs w:val="1"/>
          <w:color w:val="auto"/>
        </w:rPr>
      </w:pPr>
    </w:p>
    <w:p>
      <w:pPr>
        <w:jc w:val="both"/>
        <w:ind w:firstLine="656"/>
        <w:spacing w:after="0" w:line="289" w:lineRule="auto"/>
        <w:tabs>
          <w:tab w:leader="none" w:pos="1039"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Recapitalization, Mergers, Etc.</w:t>
      </w:r>
      <w:r>
        <w:rPr>
          <w:rFonts w:ascii="Arial" w:cs="Arial" w:eastAsia="Arial" w:hAnsi="Arial"/>
          <w:sz w:val="15"/>
          <w:szCs w:val="15"/>
          <w:b w:val="1"/>
          <w:bCs w:val="1"/>
          <w:color w:val="auto"/>
        </w:rPr>
        <w:t xml:space="preserve"> </w:t>
      </w:r>
      <w:r>
        <w:rPr>
          <w:rFonts w:ascii="Arial" w:cs="Arial" w:eastAsia="Arial" w:hAnsi="Arial"/>
          <w:sz w:val="15"/>
          <w:szCs w:val="15"/>
          <w:color w:val="auto"/>
        </w:rPr>
        <w:t>As provided in the Plan, in the event of corporate transactions affecting the Company’s outstanding Shares,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w:t>
      </w:r>
    </w:p>
    <w:p>
      <w:pPr>
        <w:spacing w:after="0" w:line="375" w:lineRule="exact"/>
        <w:rPr>
          <w:rFonts w:ascii="Arial" w:cs="Arial" w:eastAsia="Arial" w:hAnsi="Arial"/>
          <w:sz w:val="15"/>
          <w:szCs w:val="15"/>
          <w:b w:val="1"/>
          <w:bCs w:val="1"/>
          <w:color w:val="auto"/>
        </w:rPr>
      </w:pPr>
    </w:p>
    <w:p>
      <w:pPr>
        <w:jc w:val="both"/>
        <w:ind w:firstLine="656"/>
        <w:spacing w:after="0" w:line="270" w:lineRule="auto"/>
        <w:tabs>
          <w:tab w:leader="none" w:pos="945"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 xml:space="preserve">. </w:t>
      </w:r>
      <w:r>
        <w:rPr>
          <w:rFonts w:ascii="Arial" w:cs="Arial" w:eastAsia="Arial" w:hAnsi="Arial"/>
          <w:sz w:val="15"/>
          <w:szCs w:val="15"/>
          <w:color w:val="auto"/>
        </w:rPr>
        <w:t>It shall be a condition to the Recipient’s right to receive shares of Restricted Stock hereunder that the Committee may, in</w:t>
      </w:r>
      <w:r>
        <w:rPr>
          <w:rFonts w:ascii="Arial" w:cs="Arial" w:eastAsia="Arial" w:hAnsi="Arial"/>
          <w:sz w:val="15"/>
          <w:szCs w:val="15"/>
          <w:b w:val="1"/>
          <w:bCs w:val="1"/>
          <w:color w:val="auto"/>
        </w:rPr>
        <w:t xml:space="preserve"> </w:t>
      </w:r>
      <w:r>
        <w:rPr>
          <w:rFonts w:ascii="Arial" w:cs="Arial" w:eastAsia="Arial" w:hAnsi="Arial"/>
          <w:sz w:val="15"/>
          <w:szCs w:val="15"/>
          <w:color w:val="auto"/>
        </w:rPr>
        <w:t>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w:t>
      </w:r>
    </w:p>
    <w:p>
      <w:pPr>
        <w:spacing w:after="0" w:line="391" w:lineRule="exact"/>
        <w:rPr>
          <w:rFonts w:ascii="Arial" w:cs="Arial" w:eastAsia="Arial" w:hAnsi="Arial"/>
          <w:sz w:val="15"/>
          <w:szCs w:val="15"/>
          <w:b w:val="1"/>
          <w:bCs w:val="1"/>
          <w:color w:val="auto"/>
        </w:rPr>
      </w:pPr>
    </w:p>
    <w:p>
      <w:pPr>
        <w:ind w:left="940" w:hanging="284"/>
        <w:spacing w:after="0"/>
        <w:tabs>
          <w:tab w:leader="none" w:pos="94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right="20" w:firstLine="1304"/>
        <w:spacing w:after="0" w:line="261" w:lineRule="auto"/>
        <w:tabs>
          <w:tab w:leader="none" w:pos="16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82" w:lineRule="exact"/>
        <w:rPr>
          <w:rFonts w:ascii="Arial" w:cs="Arial" w:eastAsia="Arial" w:hAnsi="Arial"/>
          <w:sz w:val="16"/>
          <w:szCs w:val="16"/>
          <w:color w:val="auto"/>
        </w:rPr>
      </w:pPr>
    </w:p>
    <w:p>
      <w:pPr>
        <w:jc w:val="both"/>
        <w:ind w:firstLine="1304"/>
        <w:spacing w:after="0" w:line="256" w:lineRule="auto"/>
        <w:tabs>
          <w:tab w:leader="none" w:pos="17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200" w:lineRule="exact"/>
        <w:rPr>
          <w:sz w:val="20"/>
          <w:szCs w:val="20"/>
          <w:color w:val="auto"/>
        </w:rPr>
      </w:pPr>
    </w:p>
    <w:p>
      <w:pPr>
        <w:spacing w:after="0" w:line="25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602" w:right="339" w:bottom="1440" w:gutter="0" w:footer="0" w:header="0"/>
        </w:sectPr>
      </w:pPr>
    </w:p>
    <w:bookmarkStart w:id="43" w:name="page44"/>
    <w:bookmarkEnd w:id="43"/>
    <w:p>
      <w:pPr>
        <w:ind w:left="284" w:hanging="284"/>
        <w:spacing w:after="0"/>
        <w:tabs>
          <w:tab w:leader="none" w:pos="28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Matters; Section 83(b) Election</w:t>
      </w:r>
      <w:r>
        <w:rPr>
          <w:rFonts w:ascii="Arial" w:cs="Arial" w:eastAsia="Arial" w:hAnsi="Arial"/>
          <w:sz w:val="16"/>
          <w:szCs w:val="16"/>
          <w:b w:val="1"/>
          <w:bCs w:val="1"/>
          <w:color w:val="auto"/>
        </w:rPr>
        <w:t>.</w:t>
      </w:r>
    </w:p>
    <w:p>
      <w:pPr>
        <w:spacing w:after="0" w:line="225" w:lineRule="exact"/>
        <w:rPr>
          <w:rFonts w:ascii="Arial" w:cs="Arial" w:eastAsia="Arial" w:hAnsi="Arial"/>
          <w:sz w:val="16"/>
          <w:szCs w:val="16"/>
          <w:b w:val="1"/>
          <w:bCs w:val="1"/>
          <w:color w:val="auto"/>
        </w:rPr>
      </w:pPr>
    </w:p>
    <w:p>
      <w:pPr>
        <w:jc w:val="both"/>
        <w:ind w:left="-656" w:firstLine="1304"/>
        <w:spacing w:after="0" w:line="252" w:lineRule="auto"/>
        <w:tabs>
          <w:tab w:leader="none" w:pos="9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spacing w:after="0" w:line="190" w:lineRule="exact"/>
        <w:rPr>
          <w:rFonts w:ascii="Arial" w:cs="Arial" w:eastAsia="Arial" w:hAnsi="Arial"/>
          <w:sz w:val="16"/>
          <w:szCs w:val="16"/>
          <w:color w:val="auto"/>
        </w:rPr>
      </w:pPr>
    </w:p>
    <w:p>
      <w:pPr>
        <w:jc w:val="both"/>
        <w:ind w:left="-656" w:firstLine="1304"/>
        <w:spacing w:after="0" w:line="272" w:lineRule="auto"/>
        <w:tabs>
          <w:tab w:leader="none" w:pos="1004" w:val="left"/>
        </w:tabs>
        <w:numPr>
          <w:ilvl w:val="1"/>
          <w:numId w:val="22"/>
        </w:numPr>
        <w:rPr>
          <w:rFonts w:ascii="Arial" w:cs="Arial" w:eastAsia="Arial" w:hAnsi="Arial"/>
          <w:sz w:val="15"/>
          <w:szCs w:val="15"/>
          <w:color w:val="auto"/>
        </w:rPr>
      </w:pPr>
      <w:r>
        <w:rPr>
          <w:rFonts w:ascii="Arial" w:cs="Arial" w:eastAsia="Arial" w:hAnsi="Arial"/>
          <w:sz w:val="15"/>
          <w:szCs w:val="15"/>
          <w:color w:val="auto"/>
        </w:rPr>
        <w:t>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spacing w:after="0" w:line="177" w:lineRule="exact"/>
        <w:rPr>
          <w:sz w:val="20"/>
          <w:szCs w:val="20"/>
          <w:color w:val="auto"/>
        </w:rPr>
      </w:pPr>
    </w:p>
    <w:p>
      <w:pPr>
        <w:ind w:left="344" w:hanging="344"/>
        <w:spacing w:after="0"/>
        <w:tabs>
          <w:tab w:leader="none" w:pos="3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Recipient may satisfy the withholding requirements pursuant to any one or combination of the following methods:</w:t>
      </w:r>
    </w:p>
    <w:p>
      <w:pPr>
        <w:spacing w:after="0" w:line="221" w:lineRule="exact"/>
        <w:rPr>
          <w:rFonts w:ascii="Arial" w:cs="Arial" w:eastAsia="Arial" w:hAnsi="Arial"/>
          <w:sz w:val="16"/>
          <w:szCs w:val="16"/>
          <w:color w:val="auto"/>
        </w:rPr>
      </w:pPr>
    </w:p>
    <w:p>
      <w:pPr>
        <w:ind w:left="964" w:hanging="316"/>
        <w:spacing w:after="0"/>
        <w:tabs>
          <w:tab w:leader="none" w:pos="9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payment in cash; or</w:t>
      </w:r>
    </w:p>
    <w:p>
      <w:pPr>
        <w:spacing w:after="0" w:line="221" w:lineRule="exact"/>
        <w:rPr>
          <w:sz w:val="20"/>
          <w:szCs w:val="20"/>
          <w:color w:val="auto"/>
        </w:rPr>
      </w:pPr>
    </w:p>
    <w:p>
      <w:pPr>
        <w:jc w:val="both"/>
        <w:ind w:left="-656" w:firstLine="656"/>
        <w:spacing w:after="0" w:line="290" w:lineRule="auto"/>
        <w:tabs>
          <w:tab w:leader="none" w:pos="377"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that shall not exceed the maximum statutory tax rates in the Recipient’s applicable jurisdictions with respect to the shares of Restricted Stock (or such other amount as the Committee determines will not result in additional compensation expense for financial accounting purposes under applicable financial accounting principles). For this purpose, the maximum statutory tax rates are based on the applicable rates of the relevant tax authorities (for example, federal, state, and local), including the Recipient’s share of payroll or similar taxes, as provided in tax law, regulations, or the authority’s administrative practices, not to exceed the highest statutory rate in that jurisdiction, even if that rate exceeds the highest rate that may be applicable to the Recipient.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66" w:lineRule="exact"/>
        <w:rPr>
          <w:rFonts w:ascii="Arial" w:cs="Arial" w:eastAsia="Arial" w:hAnsi="Arial"/>
          <w:sz w:val="14"/>
          <w:szCs w:val="14"/>
          <w:color w:val="auto"/>
        </w:rPr>
      </w:pPr>
    </w:p>
    <w:p>
      <w:pPr>
        <w:jc w:val="both"/>
        <w:ind w:left="-656" w:firstLine="1304"/>
        <w:spacing w:after="0" w:line="256" w:lineRule="auto"/>
        <w:tabs>
          <w:tab w:leader="none" w:pos="1021" w:val="left"/>
        </w:tabs>
        <w:numPr>
          <w:ilvl w:val="1"/>
          <w:numId w:val="24"/>
        </w:numPr>
        <w:rPr>
          <w:rFonts w:ascii="Arial" w:cs="Arial" w:eastAsia="Arial" w:hAnsi="Arial"/>
          <w:sz w:val="16"/>
          <w:szCs w:val="16"/>
          <w:color w:val="auto"/>
        </w:rPr>
      </w:pPr>
      <w:r>
        <w:rPr>
          <w:rFonts w:ascii="Arial" w:cs="Arial" w:eastAsia="Arial" w:hAnsi="Arial"/>
          <w:sz w:val="16"/>
          <w:szCs w:val="16"/>
          <w:color w:val="auto"/>
        </w:rPr>
        <w:t>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399" w:lineRule="exact"/>
        <w:rPr>
          <w:sz w:val="20"/>
          <w:szCs w:val="20"/>
          <w:color w:val="auto"/>
        </w:rPr>
      </w:pPr>
    </w:p>
    <w:p>
      <w:pPr>
        <w:ind w:left="364" w:hanging="364"/>
        <w:spacing w:after="0"/>
        <w:tabs>
          <w:tab w:leader="none" w:pos="36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Relation with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confer on the Recipient any right to continued Continuous Service.</w:t>
      </w:r>
    </w:p>
    <w:p>
      <w:pPr>
        <w:spacing w:after="0" w:line="200" w:lineRule="exact"/>
        <w:rPr>
          <w:rFonts w:ascii="Arial" w:cs="Arial" w:eastAsia="Arial" w:hAnsi="Arial"/>
          <w:sz w:val="16"/>
          <w:szCs w:val="16"/>
          <w:b w:val="1"/>
          <w:bCs w:val="1"/>
          <w:color w:val="auto"/>
        </w:rPr>
      </w:pPr>
    </w:p>
    <w:p>
      <w:pPr>
        <w:spacing w:after="0" w:line="237" w:lineRule="exact"/>
        <w:rPr>
          <w:rFonts w:ascii="Arial" w:cs="Arial" w:eastAsia="Arial" w:hAnsi="Arial"/>
          <w:sz w:val="16"/>
          <w:szCs w:val="16"/>
          <w:b w:val="1"/>
          <w:bCs w:val="1"/>
          <w:color w:val="auto"/>
        </w:rPr>
      </w:pPr>
    </w:p>
    <w:p>
      <w:pPr>
        <w:jc w:val="both"/>
        <w:ind w:left="-656" w:firstLine="656"/>
        <w:spacing w:after="0" w:line="263" w:lineRule="auto"/>
        <w:tabs>
          <w:tab w:leader="none" w:pos="41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 on Other Compensation Arrangements</w:t>
      </w:r>
      <w:r>
        <w:rPr>
          <w:rFonts w:ascii="Arial" w:cs="Arial" w:eastAsia="Arial" w:hAnsi="Arial"/>
          <w:sz w:val="16"/>
          <w:szCs w:val="16"/>
          <w:color w:val="auto"/>
        </w:rPr>
        <w:t>. Nothing contained in this Agreement shall preclude the Company or any Subsidiary from adopting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in effect other or additional compensation plans, agreements or arrangements, and any such plans, agreements and arrangements may be either generally applicable or applicable only in specific cases or to specific persons.</w:t>
      </w:r>
    </w:p>
    <w:p>
      <w:pPr>
        <w:spacing w:after="0" w:line="394" w:lineRule="exact"/>
        <w:rPr>
          <w:rFonts w:ascii="Arial" w:cs="Arial" w:eastAsia="Arial" w:hAnsi="Arial"/>
          <w:sz w:val="16"/>
          <w:szCs w:val="16"/>
          <w:b w:val="1"/>
          <w:bCs w:val="1"/>
          <w:color w:val="auto"/>
        </w:rPr>
      </w:pPr>
    </w:p>
    <w:p>
      <w:pPr>
        <w:ind w:left="-656" w:firstLine="656"/>
        <w:spacing w:after="0" w:line="280" w:lineRule="auto"/>
        <w:tabs>
          <w:tab w:leader="none" w:pos="38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various provisions of this Agreement are severable in their entirety. Any determination of invalidity or unenforceability of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shall have no effect on the continuing force and effect of the remaining provisions.</w:t>
      </w:r>
    </w:p>
    <w:p>
      <w:pPr>
        <w:spacing w:after="0" w:line="380" w:lineRule="exact"/>
        <w:rPr>
          <w:rFonts w:ascii="Arial" w:cs="Arial" w:eastAsia="Arial" w:hAnsi="Arial"/>
          <w:sz w:val="16"/>
          <w:szCs w:val="16"/>
          <w:b w:val="1"/>
          <w:bCs w:val="1"/>
          <w:color w:val="auto"/>
        </w:rPr>
      </w:pPr>
    </w:p>
    <w:p>
      <w:pPr>
        <w:ind w:left="-656" w:firstLine="656"/>
        <w:spacing w:after="0" w:line="280" w:lineRule="auto"/>
        <w:tabs>
          <w:tab w:leader="none" w:pos="35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understanding of the parties and shall not be modified or amended except in writing and duly signed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parties after appropriate action by the Committee.</w:t>
      </w:r>
    </w:p>
    <w:p>
      <w:pPr>
        <w:spacing w:after="0" w:line="200" w:lineRule="exact"/>
        <w:rPr>
          <w:sz w:val="20"/>
          <w:szCs w:val="20"/>
          <w:color w:val="auto"/>
        </w:rPr>
      </w:pPr>
    </w:p>
    <w:p>
      <w:pPr>
        <w:spacing w:after="0" w:line="239" w:lineRule="exact"/>
        <w:rPr>
          <w:sz w:val="20"/>
          <w:szCs w:val="20"/>
          <w:color w:val="auto"/>
        </w:rPr>
      </w:pPr>
    </w:p>
    <w:p>
      <w:pPr>
        <w:ind w:left="6924"/>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84"/>
          </w:cols>
          <w:pgMar w:left="976" w:top="814" w:right="339" w:bottom="1440" w:gutter="0" w:footer="0" w:header="0"/>
        </w:sectPr>
      </w:pPr>
    </w:p>
    <w:bookmarkStart w:id="44" w:name="page45"/>
    <w:bookmarkEnd w:id="44"/>
    <w:p>
      <w:pPr>
        <w:jc w:val="both"/>
        <w:ind w:firstLine="656"/>
        <w:spacing w:after="0" w:line="258" w:lineRule="auto"/>
        <w:tabs>
          <w:tab w:leader="none" w:pos="101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Trust or Fund Created</w:t>
      </w:r>
      <w:r>
        <w:rPr>
          <w:rFonts w:ascii="Arial" w:cs="Arial" w:eastAsia="Arial" w:hAnsi="Arial"/>
          <w:sz w:val="16"/>
          <w:szCs w:val="16"/>
          <w:color w:val="auto"/>
        </w:rPr>
        <w:t>. Neither this Agreement nor the grant of Restricted Stock hereunder shall create or be construed to create a trust or separate fund</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spacing w:after="0" w:line="396" w:lineRule="exact"/>
        <w:rPr>
          <w:rFonts w:ascii="Arial" w:cs="Arial" w:eastAsia="Arial" w:hAnsi="Arial"/>
          <w:sz w:val="16"/>
          <w:szCs w:val="16"/>
          <w:b w:val="1"/>
          <w:bCs w:val="1"/>
          <w:color w:val="auto"/>
        </w:rPr>
      </w:pPr>
    </w:p>
    <w:p>
      <w:pPr>
        <w:ind w:firstLine="656"/>
        <w:spacing w:after="0" w:line="280" w:lineRule="auto"/>
        <w:tabs>
          <w:tab w:leader="none" w:pos="101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Law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subject to and shall be administered and governed in all respects under the laws of the State of Florida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its conflict of law rules.</w:t>
      </w:r>
    </w:p>
    <w:p>
      <w:pPr>
        <w:spacing w:after="0" w:line="380" w:lineRule="exact"/>
        <w:rPr>
          <w:rFonts w:ascii="Arial" w:cs="Arial" w:eastAsia="Arial" w:hAnsi="Arial"/>
          <w:sz w:val="16"/>
          <w:szCs w:val="16"/>
          <w:b w:val="1"/>
          <w:bCs w:val="1"/>
          <w:color w:val="auto"/>
        </w:rPr>
      </w:pPr>
    </w:p>
    <w:p>
      <w:pPr>
        <w:jc w:val="both"/>
        <w:ind w:firstLine="656"/>
        <w:spacing w:after="0" w:line="355" w:lineRule="auto"/>
        <w:tabs>
          <w:tab w:leader="none" w:pos="1161"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Binding Effect; Captions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binding upon the Company, its successors and assigns, and the Recipient, and his/her heirs,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and permitted assigns. Captions are provided for reference, do not form a part of this Agreement and are not admissible to determine the intent of the parties.</w:t>
      </w:r>
    </w:p>
    <w:p>
      <w:pPr>
        <w:spacing w:after="0" w:line="333" w:lineRule="exact"/>
        <w:rPr>
          <w:rFonts w:ascii="Arial" w:cs="Arial" w:eastAsia="Arial" w:hAnsi="Arial"/>
          <w:sz w:val="14"/>
          <w:szCs w:val="14"/>
          <w:b w:val="1"/>
          <w:bCs w:val="1"/>
          <w:color w:val="auto"/>
        </w:rPr>
      </w:pPr>
    </w:p>
    <w:p>
      <w:pPr>
        <w:jc w:val="both"/>
        <w:ind w:firstLine="656"/>
        <w:spacing w:after="0" w:line="237" w:lineRule="auto"/>
        <w:tabs>
          <w:tab w:leader="none" w:pos="102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under this Agreement shall be in writing and shall be deemed to have been duly given when delivered personally or when deposited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mail, registered, postage prepaid, and addressed, in the case of the Company, to the Company’s General Counsel at 800 Douglas Road,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200" w:lineRule="exact"/>
        <w:rPr>
          <w:rFonts w:ascii="Arial" w:cs="Arial" w:eastAsia="Arial" w:hAnsi="Arial"/>
          <w:sz w:val="16"/>
          <w:szCs w:val="16"/>
          <w:b w:val="1"/>
          <w:bCs w:val="1"/>
          <w:color w:val="auto"/>
        </w:rPr>
      </w:pPr>
    </w:p>
    <w:p>
      <w:pPr>
        <w:spacing w:after="0" w:line="211" w:lineRule="exact"/>
        <w:rPr>
          <w:rFonts w:ascii="Arial" w:cs="Arial" w:eastAsia="Arial" w:hAnsi="Arial"/>
          <w:sz w:val="16"/>
          <w:szCs w:val="16"/>
          <w:b w:val="1"/>
          <w:bCs w:val="1"/>
          <w:color w:val="auto"/>
        </w:rPr>
      </w:pPr>
    </w:p>
    <w:p>
      <w:pPr>
        <w:ind w:left="1020" w:hanging="364"/>
        <w:spacing w:after="0"/>
        <w:tabs>
          <w:tab w:leader="none" w:pos="10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firstLine="1304"/>
        <w:spacing w:after="0" w:line="298" w:lineRule="auto"/>
        <w:tabs>
          <w:tab w:leader="none" w:pos="1648" w:val="left"/>
        </w:tabs>
        <w:numPr>
          <w:ilvl w:val="1"/>
          <w:numId w:val="26"/>
        </w:numPr>
        <w:rPr>
          <w:rFonts w:ascii="Arial" w:cs="Arial" w:eastAsia="Arial" w:hAnsi="Arial"/>
          <w:sz w:val="14"/>
          <w:szCs w:val="14"/>
          <w:color w:val="auto"/>
        </w:rPr>
      </w:pPr>
      <w:r>
        <w:rPr>
          <w:rFonts w:ascii="Arial" w:cs="Arial" w:eastAsia="Arial" w:hAnsi="Arial"/>
          <w:sz w:val="14"/>
          <w:szCs w:val="14"/>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377" w:lineRule="exact"/>
        <w:rPr>
          <w:rFonts w:ascii="Arial" w:cs="Arial" w:eastAsia="Arial" w:hAnsi="Arial"/>
          <w:sz w:val="14"/>
          <w:szCs w:val="14"/>
          <w:color w:val="auto"/>
        </w:rPr>
      </w:pPr>
    </w:p>
    <w:p>
      <w:pPr>
        <w:jc w:val="both"/>
        <w:ind w:firstLine="1304"/>
        <w:spacing w:after="0" w:line="256" w:lineRule="auto"/>
        <w:tabs>
          <w:tab w:leader="none" w:pos="16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firstLine="1304"/>
        <w:spacing w:after="0" w:line="278" w:lineRule="auto"/>
        <w:tabs>
          <w:tab w:leader="none" w:pos="1732" w:val="left"/>
        </w:tabs>
        <w:numPr>
          <w:ilvl w:val="1"/>
          <w:numId w:val="26"/>
        </w:numPr>
        <w:rPr>
          <w:rFonts w:ascii="Arial" w:cs="Arial" w:eastAsia="Arial" w:hAnsi="Arial"/>
          <w:sz w:val="15"/>
          <w:szCs w:val="15"/>
          <w:color w:val="auto"/>
        </w:rPr>
      </w:pPr>
      <w:r>
        <w:rPr>
          <w:rFonts w:ascii="Arial" w:cs="Arial" w:eastAsia="Arial" w:hAnsi="Arial"/>
          <w:sz w:val="15"/>
          <w:szCs w:val="15"/>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384" w:lineRule="exact"/>
        <w:rPr>
          <w:rFonts w:ascii="Arial" w:cs="Arial" w:eastAsia="Arial" w:hAnsi="Arial"/>
          <w:sz w:val="15"/>
          <w:szCs w:val="15"/>
          <w:color w:val="auto"/>
        </w:rPr>
      </w:pPr>
    </w:p>
    <w:p>
      <w:pPr>
        <w:ind w:left="1020" w:hanging="364"/>
        <w:spacing w:after="0"/>
        <w:tabs>
          <w:tab w:leader="none" w:pos="10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Clawback of Benefits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a) The Company may (i) cause the cancellation of the shares of Restricted Stock subject to this Agreement, (ii) require reimbursement of the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spacing w:after="0" w:line="200" w:lineRule="exact"/>
        <w:rPr>
          <w:sz w:val="20"/>
          <w:szCs w:val="20"/>
          <w:color w:val="auto"/>
        </w:rPr>
      </w:pPr>
    </w:p>
    <w:p>
      <w:pPr>
        <w:spacing w:after="0" w:line="250"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14" w:right="339" w:bottom="1440" w:gutter="0" w:footer="0" w:header="0"/>
        </w:sectPr>
      </w:pPr>
    </w:p>
    <w:bookmarkStart w:id="45" w:name="page46"/>
    <w:bookmarkEnd w:id="45"/>
    <w:p>
      <w:pPr>
        <w:jc w:val="both"/>
        <w:ind w:left="-656" w:firstLine="1304"/>
        <w:spacing w:after="0" w:line="293" w:lineRule="auto"/>
        <w:tabs>
          <w:tab w:leader="none" w:pos="1091" w:val="left"/>
        </w:tabs>
        <w:numPr>
          <w:ilvl w:val="1"/>
          <w:numId w:val="27"/>
        </w:numPr>
        <w:rPr>
          <w:rFonts w:ascii="Arial" w:cs="Arial" w:eastAsia="Arial" w:hAnsi="Arial"/>
          <w:sz w:val="14"/>
          <w:szCs w:val="14"/>
          <w:color w:val="auto"/>
        </w:rPr>
      </w:pPr>
      <w:r>
        <w:rPr>
          <w:rFonts w:ascii="Arial" w:cs="Arial" w:eastAsia="Arial" w:hAnsi="Arial"/>
          <w:sz w:val="14"/>
          <w:szCs w:val="14"/>
          <w:color w:val="auto"/>
        </w:rPr>
        <w:t>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spacing w:after="0" w:line="375" w:lineRule="exact"/>
        <w:rPr>
          <w:rFonts w:ascii="Arial" w:cs="Arial" w:eastAsia="Arial" w:hAnsi="Arial"/>
          <w:sz w:val="14"/>
          <w:szCs w:val="14"/>
          <w:color w:val="auto"/>
        </w:rPr>
      </w:pPr>
    </w:p>
    <w:p>
      <w:pPr>
        <w:jc w:val="both"/>
        <w:ind w:left="-656" w:firstLine="656"/>
        <w:spacing w:after="0" w:line="280" w:lineRule="auto"/>
        <w:tabs>
          <w:tab w:leader="none" w:pos="424"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Non-Waiver of Breach</w:t>
      </w:r>
      <w:r>
        <w:rPr>
          <w:rFonts w:ascii="Arial" w:cs="Arial" w:eastAsia="Arial" w:hAnsi="Arial"/>
          <w:sz w:val="15"/>
          <w:szCs w:val="15"/>
          <w:color w:val="auto"/>
        </w:rPr>
        <w:t>. The waiver by any party hereto of the other party's prompt and complete performance, or breach or violation, of any term or</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383" w:lineRule="exact"/>
        <w:rPr>
          <w:rFonts w:ascii="Arial" w:cs="Arial" w:eastAsia="Arial" w:hAnsi="Arial"/>
          <w:sz w:val="15"/>
          <w:szCs w:val="15"/>
          <w:b w:val="1"/>
          <w:bCs w:val="1"/>
          <w:color w:val="auto"/>
        </w:rPr>
      </w:pPr>
    </w:p>
    <w:p>
      <w:pPr>
        <w:ind w:left="-656" w:firstLine="656"/>
        <w:spacing w:after="0" w:line="280" w:lineRule="auto"/>
        <w:tabs>
          <w:tab w:leader="none" w:pos="35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2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584"/>
          </w:cols>
          <w:pgMar w:left="976" w:top="818" w:right="339" w:bottom="1440" w:gutter="0" w:footer="0" w:header="0"/>
        </w:sectPr>
      </w:pPr>
    </w:p>
    <w:bookmarkStart w:id="46" w:name="page47"/>
    <w:bookmarkEnd w:id="46"/>
    <w:p>
      <w:pPr>
        <w:ind w:left="180"/>
        <w:spacing w:after="0"/>
        <w:rPr>
          <w:sz w:val="20"/>
          <w:szCs w:val="20"/>
          <w:color w:val="auto"/>
        </w:rPr>
      </w:pPr>
      <w:r>
        <w:rPr>
          <w:rFonts w:ascii="Arial" w:cs="Arial" w:eastAsia="Arial" w:hAnsi="Arial"/>
          <w:sz w:val="14"/>
          <w:szCs w:val="14"/>
          <w:color w:val="auto"/>
        </w:rPr>
        <w:t>IN WITNESS WHEREOF, the parties have executed this Agreement on this _____ day of ________, ________.</w:t>
      </w:r>
    </w:p>
    <w:p>
      <w:pPr>
        <w:sectPr>
          <w:pgSz w:w="11900" w:h="16838" w:orient="portrait"/>
          <w:cols w:equalWidth="0" w:num="1">
            <w:col w:w="9019"/>
          </w:cols>
          <w:pgMar w:left="1440" w:top="602" w:right="1440" w:bottom="1440" w:gutter="0" w:footer="0" w:header="0"/>
        </w:sectPr>
      </w:pPr>
    </w:p>
    <w:p>
      <w:pPr>
        <w:spacing w:after="0" w:line="24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MASTEC, INC.</w:t>
      </w:r>
    </w:p>
    <w:p>
      <w:pPr>
        <w:spacing w:after="0" w:line="2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-6985</wp:posOffset>
            </wp:positionV>
            <wp:extent cx="205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-15875</wp:posOffset>
            </wp:positionV>
            <wp:extent cx="231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NAME OF RECIPIENT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24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019"/>
          </w:cols>
          <w:pgMar w:left="1440" w:top="602" w:right="1440"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AGREEMENT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55" w:lineRule="auto"/>
        <w:tabs>
          <w:tab w:leader="none" w:pos="102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MasTec, Inc. (the “Company”) has awarded to the “Recipient” designated below, the “Award” generally described in the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spacing w:after="0" w:line="399" w:lineRule="exact"/>
        <w:rPr>
          <w:rFonts w:ascii="Arial" w:cs="Arial" w:eastAsia="Arial" w:hAnsi="Arial"/>
          <w:sz w:val="16"/>
          <w:szCs w:val="16"/>
          <w:b w:val="1"/>
          <w:bCs w:val="1"/>
          <w:color w:val="auto"/>
        </w:rPr>
      </w:pPr>
    </w:p>
    <w:p>
      <w:pPr>
        <w:ind w:left="940" w:hanging="284"/>
        <w:spacing w:after="0"/>
        <w:tabs>
          <w:tab w:leader="none" w:pos="9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Restrictions</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ind w:firstLine="1304"/>
        <w:spacing w:after="0" w:line="275" w:lineRule="auto"/>
        <w:tabs>
          <w:tab w:leader="none" w:pos="1643"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shares of restricted stock (the “Restricted Stock”) covered by the Award shall vest on the vesting dates (each a “Vesting Date”) set forth below, provided that the Continuous Service of the Recipient continues through and until the applicable Vesting Date:</w:t>
      </w:r>
    </w:p>
    <w:p>
      <w:pPr>
        <w:spacing w:after="0" w:line="297" w:lineRule="exact"/>
        <w:rPr>
          <w:sz w:val="20"/>
          <w:szCs w:val="20"/>
          <w:color w:val="auto"/>
        </w:rPr>
      </w:pPr>
    </w:p>
    <w:tbl>
      <w:tblPr>
        <w:tblLayout w:type="fixed"/>
        <w:tblInd w:w="1890" w:type="dxa"/>
        <w:tblCellMar>
          <w:top w:w="0" w:type="dxa"/>
          <w:left w:w="0" w:type="dxa"/>
          <w:bottom w:w="0" w:type="dxa"/>
          <w:right w:w="0" w:type="dxa"/>
        </w:tblCellMar>
      </w:tblPr>
      <w:tr>
        <w:trPr>
          <w:trHeight w:val="426"/>
        </w:trPr>
        <w:tc>
          <w:tcPr>
            <w:tcW w:w="3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Vesting Date</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Number of Shares that Become Vested</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406"/>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17"/>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17"/>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3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395" w:lineRule="exact"/>
        <w:rPr>
          <w:sz w:val="20"/>
          <w:szCs w:val="20"/>
          <w:color w:val="auto"/>
        </w:rPr>
      </w:pPr>
    </w:p>
    <w:p>
      <w:pPr>
        <w:ind w:firstLine="1304"/>
        <w:spacing w:after="0" w:line="275" w:lineRule="auto"/>
        <w:tabs>
          <w:tab w:leader="none" w:pos="1673"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event that a Change in Control of the Company occurs during the Recipient’s Continuous Service, the shares of Restricted Stock subject to this Agreement shall become immediately vested as of the date of the Change in Control.</w:t>
      </w:r>
    </w:p>
    <w:p>
      <w:pPr>
        <w:spacing w:after="0" w:line="172" w:lineRule="exact"/>
        <w:rPr>
          <w:rFonts w:ascii="Arial" w:cs="Arial" w:eastAsia="Arial" w:hAnsi="Arial"/>
          <w:sz w:val="16"/>
          <w:szCs w:val="16"/>
          <w:color w:val="auto"/>
        </w:rPr>
      </w:pPr>
    </w:p>
    <w:p>
      <w:pPr>
        <w:ind w:firstLine="1304"/>
        <w:spacing w:after="0" w:line="275" w:lineRule="auto"/>
        <w:tabs>
          <w:tab w:leader="none" w:pos="1717"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Notwithstanding any other term or provision of this Agreement, the Committee retains the right to accelerate vesting of any Restricted Stock awarded under this Agreement.</w:t>
      </w:r>
    </w:p>
    <w:p>
      <w:pPr>
        <w:spacing w:after="0" w:line="172" w:lineRule="exact"/>
        <w:rPr>
          <w:rFonts w:ascii="Arial" w:cs="Arial" w:eastAsia="Arial" w:hAnsi="Arial"/>
          <w:sz w:val="16"/>
          <w:szCs w:val="16"/>
          <w:color w:val="auto"/>
        </w:rPr>
      </w:pPr>
    </w:p>
    <w:p>
      <w:pPr>
        <w:ind w:right="20" w:firstLine="1304"/>
        <w:spacing w:after="0" w:line="310" w:lineRule="auto"/>
        <w:tabs>
          <w:tab w:leader="none" w:pos="1663"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w:t>
      </w:r>
    </w:p>
    <w:p>
      <w:pPr>
        <w:spacing w:after="0" w:line="148" w:lineRule="exact"/>
        <w:rPr>
          <w:rFonts w:ascii="Arial" w:cs="Arial" w:eastAsia="Arial" w:hAnsi="Arial"/>
          <w:sz w:val="15"/>
          <w:szCs w:val="15"/>
          <w:color w:val="auto"/>
        </w:rPr>
      </w:pPr>
    </w:p>
    <w:p>
      <w:pPr>
        <w:jc w:val="both"/>
        <w:ind w:firstLine="1304"/>
        <w:spacing w:after="0" w:line="274" w:lineRule="auto"/>
        <w:tabs>
          <w:tab w:leader="none" w:pos="1711" w:val="left"/>
        </w:tabs>
        <w:numPr>
          <w:ilvl w:val="1"/>
          <w:numId w:val="30"/>
        </w:numPr>
        <w:rPr>
          <w:rFonts w:ascii="Arial" w:cs="Arial" w:eastAsia="Arial" w:hAnsi="Arial"/>
          <w:sz w:val="15"/>
          <w:szCs w:val="15"/>
          <w:color w:val="auto"/>
        </w:rPr>
      </w:pPr>
      <w:r>
        <w:rPr>
          <w:rFonts w:ascii="Arial" w:cs="Arial" w:eastAsia="Arial" w:hAnsi="Arial"/>
          <w:sz w:val="15"/>
          <w:szCs w:val="15"/>
          <w:color w:val="auto"/>
        </w:rPr>
        <w:t>Except as otherwise provided below, in the event the Recipient’s employment with the Company is terminated and so long as the Recipient’s employment with the Company is not terminated for Cause and the Recipient has not breached any of the Recipient’s obligations set forth in Section 5 of this Agreement, the unvested shares of Restricted Stock subject to this Agreement shall continue to vest on each subsequent Vesting Date as if the Recipient’s employment with the Company continued through and until the applicable Vesting Date. In the event the Recipient’s employment with the Company is terminated on account of the Recipient’s death or Disability, the unvested shares of Restricted Stock subject to this Agreement shall immediately vest.</w:t>
      </w:r>
    </w:p>
    <w:p>
      <w:pPr>
        <w:spacing w:after="0" w:line="176" w:lineRule="exact"/>
        <w:rPr>
          <w:rFonts w:ascii="Arial" w:cs="Arial" w:eastAsia="Arial" w:hAnsi="Arial"/>
          <w:sz w:val="15"/>
          <w:szCs w:val="15"/>
          <w:color w:val="auto"/>
        </w:rPr>
      </w:pPr>
    </w:p>
    <w:p>
      <w:pPr>
        <w:ind w:left="1620" w:hanging="316"/>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purposes of this Agreement, the following terms shall have the meaning indicated:</w:t>
      </w:r>
    </w:p>
    <w:p>
      <w:pPr>
        <w:spacing w:after="0" w:line="221" w:lineRule="exact"/>
        <w:rPr>
          <w:rFonts w:ascii="Arial" w:cs="Arial" w:eastAsia="Arial" w:hAnsi="Arial"/>
          <w:sz w:val="16"/>
          <w:szCs w:val="16"/>
          <w:color w:val="auto"/>
        </w:rPr>
      </w:pPr>
    </w:p>
    <w:p>
      <w:pPr>
        <w:jc w:val="both"/>
        <w:ind w:firstLine="656"/>
        <w:spacing w:after="0" w:line="253" w:lineRule="auto"/>
        <w:tabs>
          <w:tab w:leader="none" w:pos="9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(A) Recipient being convicted of any felony (whether or not against the Company or its Subsidiaries or affiliates); (B) a material failure of Recipient to perform Recipient’s responsibilities</w:t>
      </w:r>
      <w:r>
        <w:rPr>
          <w:rFonts w:ascii="Arial" w:cs="Arial" w:eastAsia="Arial" w:hAnsi="Arial"/>
          <w:sz w:val="16"/>
          <w:szCs w:val="16"/>
          <w:b w:val="1"/>
          <w:bCs w:val="1"/>
          <w:color w:val="auto"/>
        </w:rPr>
        <w:t>;</w:t>
      </w:r>
      <w:r>
        <w:rPr>
          <w:rFonts w:ascii="Arial" w:cs="Arial" w:eastAsia="Arial" w:hAnsi="Arial"/>
          <w:sz w:val="16"/>
          <w:szCs w:val="16"/>
          <w:color w:val="auto"/>
        </w:rPr>
        <w:t xml:space="preserve"> (C) a breach by Recipient of any of his obligations under Section 5 of this Agreement; (D) any material act of dishonesty or other misconduct by Recipient against the Company or any of its Subsidiaries or affiliates; (E) a material violation by Recipient of any of the policies or procedures of the Company or any of its Subsidiaries or affiliates, including without limitation the </w:t>
      </w:r>
      <w:r>
        <w:rPr>
          <w:rFonts w:ascii="Arial" w:cs="Arial" w:eastAsia="Arial" w:hAnsi="Arial"/>
          <w:sz w:val="16"/>
          <w:szCs w:val="16"/>
          <w:i w:val="1"/>
          <w:iCs w:val="1"/>
          <w:color w:val="auto"/>
        </w:rPr>
        <w:t>Personal Responsibility Code</w:t>
      </w:r>
      <w:r>
        <w:rPr>
          <w:rFonts w:ascii="Arial" w:cs="Arial" w:eastAsia="Arial" w:hAnsi="Arial"/>
          <w:sz w:val="16"/>
          <w:szCs w:val="16"/>
          <w:b w:val="1"/>
          <w:bCs w:val="1"/>
          <w:color w:val="auto"/>
        </w:rPr>
        <w:t>;</w:t>
      </w:r>
      <w:r>
        <w:rPr>
          <w:rFonts w:ascii="Arial" w:cs="Arial" w:eastAsia="Arial" w:hAnsi="Arial"/>
          <w:sz w:val="16"/>
          <w:szCs w:val="16"/>
          <w:color w:val="auto"/>
        </w:rPr>
        <w:t xml:space="preserve"> or (F) Recipient voluntarily leaves the employ of the Company or its Subsidiaries or affiliates for any reason, other than Good Reason.</w:t>
      </w:r>
    </w:p>
    <w:p>
      <w:pPr>
        <w:spacing w:after="0" w:line="191" w:lineRule="exact"/>
        <w:rPr>
          <w:rFonts w:ascii="Arial" w:cs="Arial" w:eastAsia="Arial" w:hAnsi="Arial"/>
          <w:sz w:val="16"/>
          <w:szCs w:val="16"/>
          <w:color w:val="auto"/>
        </w:rPr>
      </w:pPr>
    </w:p>
    <w:p>
      <w:pPr>
        <w:ind w:firstLine="656"/>
        <w:spacing w:after="0" w:line="275" w:lineRule="auto"/>
        <w:tabs>
          <w:tab w:leader="none" w:pos="10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any incapacity, illness or disability of Recipient which renders Recipient mentally or physically unable to perform his duties as an employee of the Company or its Subsidiaries or affiliates for a</w:t>
      </w:r>
    </w:p>
    <w:p>
      <w:pPr>
        <w:sectPr>
          <w:pgSz w:w="11900" w:h="16838" w:orient="portrait"/>
          <w:cols w:equalWidth="0" w:num="1">
            <w:col w:w="11240"/>
          </w:cols>
          <w:pgMar w:left="320" w:top="558" w:right="339" w:bottom="1440" w:gutter="0" w:footer="0" w:header="0"/>
        </w:sectPr>
      </w:pPr>
    </w:p>
    <w:bookmarkStart w:id="48" w:name="page49"/>
    <w:bookmarkEnd w:id="48"/>
    <w:p>
      <w:pPr>
        <w:ind w:right="20"/>
        <w:spacing w:after="0" w:line="275" w:lineRule="auto"/>
        <w:rPr>
          <w:sz w:val="20"/>
          <w:szCs w:val="20"/>
          <w:color w:val="auto"/>
        </w:rPr>
      </w:pPr>
      <w:r>
        <w:rPr>
          <w:rFonts w:ascii="Arial" w:cs="Arial" w:eastAsia="Arial" w:hAnsi="Arial"/>
          <w:sz w:val="16"/>
          <w:szCs w:val="16"/>
          <w:color w:val="auto"/>
        </w:rPr>
        <w:t>continuous period of sixty (60) days, or one hundred twenty (120) days (whether or not consecutive), during the period in which Recipient is an employee of the Company or its Subsidiaries or affiliates, as reasonably determined by the Company.</w:t>
      </w:r>
    </w:p>
    <w:p>
      <w:pPr>
        <w:spacing w:after="0" w:line="172" w:lineRule="exact"/>
        <w:rPr>
          <w:sz w:val="20"/>
          <w:szCs w:val="20"/>
          <w:color w:val="auto"/>
        </w:rPr>
      </w:pPr>
    </w:p>
    <w:p>
      <w:pPr>
        <w:jc w:val="both"/>
        <w:ind w:firstLine="656"/>
        <w:spacing w:after="0" w:line="261" w:lineRule="auto"/>
        <w:tabs>
          <w:tab w:leader="none" w:pos="10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upon not less than fifteen (15) business days’ written notice to the Company, and the Company’s failure to cure within such fifteen (15) business days, of the following events: (A) the material diminution of, Recipient’s position, duties, titles, and responsibilities with the Company; or (B) a relocation of the Company’s principal executive offices outside of Miami-Dade or Broward Counties, Florida.</w:t>
      </w:r>
    </w:p>
    <w:p>
      <w:pPr>
        <w:spacing w:after="0" w:line="395"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Certificates</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firstLine="1304"/>
        <w:spacing w:after="0" w:line="256" w:lineRule="auto"/>
        <w:tabs>
          <w:tab w:leader="none" w:pos="167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spacing w:after="0" w:line="186" w:lineRule="exact"/>
        <w:rPr>
          <w:rFonts w:ascii="Arial" w:cs="Arial" w:eastAsia="Arial" w:hAnsi="Arial"/>
          <w:sz w:val="16"/>
          <w:szCs w:val="16"/>
          <w:color w:val="auto"/>
        </w:rPr>
      </w:pPr>
    </w:p>
    <w:p>
      <w:pPr>
        <w:jc w:val="both"/>
        <w:ind w:firstLine="1304"/>
        <w:spacing w:after="0" w:line="252" w:lineRule="auto"/>
        <w:tabs>
          <w:tab w:leader="none" w:pos="1656" w:val="left"/>
        </w:tabs>
        <w:numPr>
          <w:ilvl w:val="1"/>
          <w:numId w:val="33"/>
        </w:numPr>
        <w:rPr>
          <w:rFonts w:ascii="Arial" w:cs="Arial" w:eastAsia="Arial" w:hAnsi="Arial"/>
          <w:sz w:val="16"/>
          <w:szCs w:val="16"/>
          <w:color w:val="auto"/>
        </w:rPr>
      </w:pPr>
      <w:r>
        <w:rPr>
          <w:rFonts w:ascii="Arial" w:cs="Arial" w:eastAsia="Arial" w:hAnsi="Arial"/>
          <w:sz w:val="16"/>
          <w:szCs w:val="16"/>
          <w:color w:val="auto"/>
        </w:rPr>
        <w:t>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subject to vesting and be distributed at the same times as the Restricted Stock with respect to which they were declared as dividends.</w:t>
      </w:r>
    </w:p>
    <w:p>
      <w:pPr>
        <w:spacing w:after="0" w:line="190" w:lineRule="exact"/>
        <w:rPr>
          <w:rFonts w:ascii="Arial" w:cs="Arial" w:eastAsia="Arial" w:hAnsi="Arial"/>
          <w:sz w:val="16"/>
          <w:szCs w:val="16"/>
          <w:color w:val="auto"/>
        </w:rPr>
      </w:pPr>
    </w:p>
    <w:p>
      <w:pPr>
        <w:jc w:val="both"/>
        <w:ind w:firstLine="1304"/>
        <w:spacing w:after="0" w:line="253" w:lineRule="auto"/>
        <w:tabs>
          <w:tab w:leader="none" w:pos="163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91" w:lineRule="exact"/>
        <w:rPr>
          <w:rFonts w:ascii="Arial" w:cs="Arial" w:eastAsia="Arial" w:hAnsi="Arial"/>
          <w:sz w:val="16"/>
          <w:szCs w:val="16"/>
          <w:color w:val="auto"/>
        </w:rPr>
      </w:pPr>
    </w:p>
    <w:p>
      <w:pPr>
        <w:jc w:val="both"/>
        <w:ind w:firstLine="1304"/>
        <w:spacing w:after="0" w:line="261" w:lineRule="auto"/>
        <w:tabs>
          <w:tab w:leader="none" w:pos="165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the Company is authorized to issue Shares without certificates, then the 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394" w:lineRule="exact"/>
        <w:rPr>
          <w:rFonts w:ascii="Arial" w:cs="Arial" w:eastAsia="Arial" w:hAnsi="Arial"/>
          <w:sz w:val="16"/>
          <w:szCs w:val="16"/>
          <w:color w:val="auto"/>
        </w:rPr>
      </w:pPr>
    </w:p>
    <w:p>
      <w:pPr>
        <w:jc w:val="both"/>
        <w:ind w:firstLine="656"/>
        <w:spacing w:after="0" w:line="273" w:lineRule="auto"/>
        <w:tabs>
          <w:tab w:leader="none" w:pos="1012"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Forfeiture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Upon termination of the Recipient’s Continuous Service, for any reason, any shares of Restricted Stock that have not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spacing w:after="0" w:line="388" w:lineRule="exact"/>
        <w:rPr>
          <w:rFonts w:ascii="Arial" w:cs="Arial" w:eastAsia="Arial" w:hAnsi="Arial"/>
          <w:sz w:val="15"/>
          <w:szCs w:val="15"/>
          <w:b w:val="1"/>
          <w:bCs w:val="1"/>
          <w:color w:val="auto"/>
        </w:rPr>
      </w:pPr>
    </w:p>
    <w:p>
      <w:pPr>
        <w:jc w:val="both"/>
        <w:ind w:right="20" w:firstLine="656"/>
        <w:spacing w:after="0" w:line="263" w:lineRule="auto"/>
        <w:tabs>
          <w:tab w:leader="none" w:pos="94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the Company’s grant of the Restricted Stock to the Recipient, and for other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by the Recipient, the Recipient hereby agrees to comply with the restrictive covenants contained in this Section 5 (collectively, the “Restrictive Covenants”).</w:t>
      </w:r>
    </w:p>
    <w:p>
      <w:pPr>
        <w:spacing w:after="0" w:line="394" w:lineRule="exact"/>
        <w:rPr>
          <w:rFonts w:ascii="Arial" w:cs="Arial" w:eastAsia="Arial" w:hAnsi="Arial"/>
          <w:sz w:val="16"/>
          <w:szCs w:val="16"/>
          <w:b w:val="1"/>
          <w:bCs w:val="1"/>
          <w:color w:val="auto"/>
        </w:rPr>
      </w:pPr>
    </w:p>
    <w:p>
      <w:pPr>
        <w:jc w:val="both"/>
        <w:ind w:firstLine="1304"/>
        <w:spacing w:after="0" w:line="271" w:lineRule="auto"/>
        <w:tabs>
          <w:tab w:leader="none" w:pos="1710" w:val="left"/>
        </w:tabs>
        <w:numPr>
          <w:ilvl w:val="1"/>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Confidential Information. </w:t>
      </w:r>
      <w:r>
        <w:rPr>
          <w:rFonts w:ascii="Arial" w:cs="Arial" w:eastAsia="Arial" w:hAnsi="Arial"/>
          <w:sz w:val="15"/>
          <w:szCs w:val="15"/>
          <w:color w:val="auto"/>
        </w:rPr>
        <w:t>The Recipient acknowledges that as a result of the Recipient’s services for the Company and its Subsidiaries, the</w:t>
      </w:r>
      <w:r>
        <w:rPr>
          <w:rFonts w:ascii="Arial" w:cs="Arial" w:eastAsia="Arial" w:hAnsi="Arial"/>
          <w:sz w:val="15"/>
          <w:szCs w:val="15"/>
          <w:b w:val="1"/>
          <w:bCs w:val="1"/>
          <w:color w:val="auto"/>
        </w:rPr>
        <w:t xml:space="preserve"> </w:t>
      </w:r>
      <w:r>
        <w:rPr>
          <w:rFonts w:ascii="Arial" w:cs="Arial" w:eastAsia="Arial" w:hAnsi="Arial"/>
          <w:sz w:val="15"/>
          <w:szCs w:val="15"/>
          <w:color w:val="auto"/>
        </w:rPr>
        <w:t>Recipient will 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602"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4"/>
          <w:szCs w:val="14"/>
          <w:color w:val="auto"/>
        </w:rPr>
        <w:t>confidential information of, about or concerning the business of the Company and its Subsidiaries (collectively, the “Confidential Information”).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not enter into this Agreement without assurance that all Confidential Information will be used for the exclusive benefit of the Company. Upon request by the Company, Recipient will promptly deliver to the Company all drawings, manuals, letters, notes, notebooks, reports and copies thereof, including all originals and copies contained in computer hard drives or other electronic or machine readable format, all Confidential Information and other materials relating to the Company’s business, including, without limitation, any materials incorporating Confidential Information, which are in Recipient’s possession or control.</w:t>
      </w:r>
    </w:p>
    <w:p>
      <w:pPr>
        <w:spacing w:after="0" w:line="385" w:lineRule="exact"/>
        <w:rPr>
          <w:sz w:val="20"/>
          <w:szCs w:val="20"/>
          <w:color w:val="auto"/>
        </w:rPr>
      </w:pPr>
    </w:p>
    <w:p>
      <w:pPr>
        <w:jc w:val="both"/>
        <w:ind w:firstLine="1304"/>
        <w:spacing w:after="0" w:line="267" w:lineRule="auto"/>
        <w:tabs>
          <w:tab w:leader="none" w:pos="1728" w:val="left"/>
        </w:tabs>
        <w:numPr>
          <w:ilvl w:val="1"/>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Intellectual Property. </w:t>
      </w:r>
      <w:r>
        <w:rPr>
          <w:rFonts w:ascii="Arial" w:cs="Arial" w:eastAsia="Arial" w:hAnsi="Arial"/>
          <w:sz w:val="15"/>
          <w:szCs w:val="15"/>
          <w:color w:val="auto"/>
        </w:rPr>
        <w:t>Any and all material eligible for copyright or trademark protection and any and all ideas and inventions (“Intellectual</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whether or not patentable, in any such case solely or jointly made, developed, conceived or reduced to practice by the Recipient (whether at the request or suggestion of any officer or employee of 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spacing w:after="0" w:line="178" w:lineRule="exact"/>
        <w:rPr>
          <w:rFonts w:ascii="Arial" w:cs="Arial" w:eastAsia="Arial" w:hAnsi="Arial"/>
          <w:sz w:val="15"/>
          <w:szCs w:val="15"/>
          <w:color w:val="auto"/>
        </w:rPr>
      </w:pPr>
    </w:p>
    <w:p>
      <w:pPr>
        <w:ind w:left="1640" w:hanging="336"/>
        <w:spacing w:after="0"/>
        <w:tabs>
          <w:tab w:leader="none" w:pos="1640" w:val="left"/>
        </w:tabs>
        <w:numPr>
          <w:ilvl w:val="1"/>
          <w:numId w:val="34"/>
        </w:numPr>
        <w:rPr>
          <w:rFonts w:ascii="Arial" w:cs="Arial" w:eastAsia="Arial" w:hAnsi="Arial"/>
          <w:sz w:val="16"/>
          <w:szCs w:val="16"/>
          <w:color w:val="auto"/>
        </w:rPr>
      </w:pPr>
      <w:r>
        <w:rPr>
          <w:rFonts w:ascii="Arial" w:cs="Arial" w:eastAsia="Arial" w:hAnsi="Arial"/>
          <w:sz w:val="16"/>
          <w:szCs w:val="16"/>
          <w:b w:val="1"/>
          <w:bCs w:val="1"/>
          <w:color w:val="auto"/>
        </w:rPr>
        <w:t>Non-Competition and Non-solicitation.</w:t>
      </w:r>
    </w:p>
    <w:p>
      <w:pPr>
        <w:spacing w:after="0" w:line="198" w:lineRule="exact"/>
        <w:rPr>
          <w:rFonts w:ascii="Arial" w:cs="Arial" w:eastAsia="Arial" w:hAnsi="Arial"/>
          <w:sz w:val="16"/>
          <w:szCs w:val="16"/>
          <w:color w:val="auto"/>
        </w:rPr>
      </w:pPr>
    </w:p>
    <w:p>
      <w:pPr>
        <w:jc w:val="both"/>
        <w:ind w:firstLine="1952"/>
        <w:spacing w:after="0" w:line="274" w:lineRule="auto"/>
        <w:tabs>
          <w:tab w:leader="none" w:pos="2275" w:val="left"/>
        </w:tabs>
        <w:numPr>
          <w:ilvl w:val="2"/>
          <w:numId w:val="34"/>
        </w:numPr>
        <w:rPr>
          <w:rFonts w:ascii="Arial" w:cs="Arial" w:eastAsia="Arial" w:hAnsi="Arial"/>
          <w:sz w:val="15"/>
          <w:szCs w:val="15"/>
          <w:color w:val="auto"/>
        </w:rPr>
      </w:pPr>
      <w:r>
        <w:rPr>
          <w:rFonts w:ascii="Arial" w:cs="Arial" w:eastAsia="Arial" w:hAnsi="Arial"/>
          <w:sz w:val="15"/>
          <w:szCs w:val="15"/>
          <w:color w:val="auto"/>
        </w:rPr>
        <w:t>The Recipient acknowledges and agrees that the Company’s and its Subsidiary and affiliated companies’ (collectively, the “Companies”) existing or contemplated businesses (collectively, the “Business”) are or will be conducted throughout the United States of America and the Commonwealth of Canada. Until one (1) year following the date of the termination for any reason of the Recipient’s employment with the Company and its Subsidiaries (the “Period of Non-Competition”) and within the United States of America and the Commonwealth of Canada (including their possessions, protectorates and territories, the “Territory”), the Recipient will not (whether or not then providing services for the Company or its Subsidiaries for any reason), without the Company’s prior written consent:</w:t>
      </w:r>
    </w:p>
    <w:p>
      <w:pPr>
        <w:spacing w:after="0" w:line="149" w:lineRule="exact"/>
        <w:rPr>
          <w:rFonts w:ascii="Arial" w:cs="Arial" w:eastAsia="Arial" w:hAnsi="Arial"/>
          <w:sz w:val="15"/>
          <w:szCs w:val="15"/>
          <w:color w:val="auto"/>
        </w:rPr>
      </w:pPr>
    </w:p>
    <w:p>
      <w:pPr>
        <w:jc w:val="both"/>
        <w:ind w:firstLine="656"/>
        <w:spacing w:after="0" w:line="256" w:lineRule="auto"/>
        <w:tabs>
          <w:tab w:leader="none" w:pos="9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directly or indirectly own, manage, operate, control, be employed by, act as agent, consultant or advisor for, or participate in the ownership, management, operation or control of, or be connected in any manner through the investment of capital, lending of money or property, rendering of services or otherwise, with, any business of the type and character engaged in and competitive with the Business. For these purposes, ownership of securities of one percent (1%) or less of any class of securities of a public company will not be considered to be competition with the Business;</w:t>
      </w:r>
    </w:p>
    <w:p>
      <w:pPr>
        <w:spacing w:after="0" w:line="159" w:lineRule="exact"/>
        <w:rPr>
          <w:rFonts w:ascii="Arial" w:cs="Arial" w:eastAsia="Arial" w:hAnsi="Arial"/>
          <w:sz w:val="16"/>
          <w:szCs w:val="16"/>
          <w:color w:val="auto"/>
        </w:rPr>
      </w:pPr>
    </w:p>
    <w:p>
      <w:pPr>
        <w:jc w:val="both"/>
        <w:ind w:firstLine="656"/>
        <w:spacing w:after="0" w:line="256" w:lineRule="auto"/>
        <w:tabs>
          <w:tab w:leader="none" w:pos="9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solicit, persuade or attempt to solicit or persuade or cause or authorize directly or indirectly to be solicited or persuaded any existing customer or client, or potential customer or client to which the Companies have made a presentation or with which the Companies have been having discussions, to cease doing business with or decrease the amount of business done with or not to hire the Companies, or to commence doing Business with or increase the amount of Business done with or hire another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18" w:right="339" w:bottom="1440" w:gutter="0" w:footer="0" w:header="0"/>
        </w:sectPr>
      </w:pPr>
    </w:p>
    <w:bookmarkStart w:id="50" w:name="page51"/>
    <w:bookmarkEnd w:id="50"/>
    <w:p>
      <w:pPr>
        <w:jc w:val="both"/>
        <w:ind w:firstLine="656"/>
        <w:spacing w:after="0" w:line="261" w:lineRule="auto"/>
        <w:tabs>
          <w:tab w:leader="none" w:pos="913"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solicit, persuade or attempt to solicit or persuade or cause or authorize directly or indirectly to be solicited or persuaded the business of any person or entity that is a customer or client of the Companies, or was their customer or client within two (2) years prior to cessation of Recipient’s employment by any of the Companies or any of their subsidiaries, for the purpose of competing with the Business; or</w:t>
      </w:r>
    </w:p>
    <w:p>
      <w:pPr>
        <w:spacing w:after="0" w:line="155" w:lineRule="exact"/>
        <w:rPr>
          <w:rFonts w:ascii="Arial" w:cs="Arial" w:eastAsia="Arial" w:hAnsi="Arial"/>
          <w:sz w:val="16"/>
          <w:szCs w:val="16"/>
          <w:color w:val="auto"/>
        </w:rPr>
      </w:pPr>
    </w:p>
    <w:p>
      <w:pPr>
        <w:jc w:val="both"/>
        <w:ind w:firstLine="656"/>
        <w:spacing w:after="0" w:line="261" w:lineRule="auto"/>
        <w:tabs>
          <w:tab w:leader="none" w:pos="913"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solicit, persuade or attempt to solicit or persuade or cause or authorize directly or indirectly to be solicited or persuaded for employment, or employ or cause or authorize directly or indirectly to be employed, on behalf of Recipient or any other person or entity, any individual who is or was at any time within six (6) months prior to cessation of Recipient’s employment by the Companies, an employee of any of the Companies.</w:t>
      </w:r>
    </w:p>
    <w:p>
      <w:pPr>
        <w:spacing w:after="0" w:line="18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6"/>
          <w:szCs w:val="16"/>
          <w:color w:val="auto"/>
        </w:rPr>
        <w:t>If Recipient breaches or violates any of the provisions of this Section 5(c), the running of the Period of Non-Competition (but not of any of Recipient’s obligations under this Section 5), will be tolled with respect to Recipient during the continuance of any actual breach or violation. In addition to any other rights or remedies the Company may have under this Agreement or applicable law, the Company will be entitled to receive from Recipient reimbursement for all attorneys’ and paralegal fees and expenses and court costs incurred by the Companies in enforcing this Agreement and will have the right and remedy to require Recipient to account for and pay over to the Company all compensation, profit, monies, accruals or other benefits derived or received, directly or indirectly, by Recipient from the action constituting a breach or violation of this Section 5.</w:t>
      </w:r>
    </w:p>
    <w:p>
      <w:pPr>
        <w:spacing w:after="0" w:line="191" w:lineRule="exact"/>
        <w:rPr>
          <w:sz w:val="20"/>
          <w:szCs w:val="20"/>
          <w:color w:val="auto"/>
        </w:rPr>
      </w:pPr>
    </w:p>
    <w:p>
      <w:pPr>
        <w:ind w:firstLine="1952"/>
        <w:spacing w:after="0" w:line="275" w:lineRule="auto"/>
        <w:tabs>
          <w:tab w:leader="none" w:pos="2371"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Telecommunications operators (such as Sprint, MCI, AT&amp;T), cable companies and other non construction or installation customers of the Company shall not be considered engaged in and competitive with the Business.</w:t>
      </w:r>
    </w:p>
    <w:p>
      <w:pPr>
        <w:spacing w:after="0" w:line="141" w:lineRule="exact"/>
        <w:rPr>
          <w:rFonts w:ascii="Arial" w:cs="Arial" w:eastAsia="Arial" w:hAnsi="Arial"/>
          <w:sz w:val="16"/>
          <w:szCs w:val="16"/>
          <w:color w:val="auto"/>
        </w:rPr>
      </w:pPr>
    </w:p>
    <w:p>
      <w:pPr>
        <w:jc w:val="both"/>
        <w:ind w:firstLine="1304"/>
        <w:spacing w:after="0" w:line="253" w:lineRule="auto"/>
        <w:tabs>
          <w:tab w:leader="none" w:pos="1674"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Reasonable Restrictions. </w:t>
      </w:r>
      <w:r>
        <w:rPr>
          <w:rFonts w:ascii="Arial" w:cs="Arial" w:eastAsia="Arial" w:hAnsi="Arial"/>
          <w:sz w:val="16"/>
          <w:szCs w:val="16"/>
          <w:color w:val="auto"/>
        </w:rPr>
        <w:t>The parties acknowledge and agree that the restrictions set forth in Section 5 of this Agreement are reasonable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protecting the value of the business and goodwill of the Company and its Subsidiaries. It is the desire and intent of the parties that the provisions of Section 5 be enforced to the fullest extent permissible under the laws and public policies applied in each jurisdiction in which enforcement is sought. If any particular provisions or portions of Section 5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spacing w:after="0" w:line="159" w:lineRule="exact"/>
        <w:rPr>
          <w:rFonts w:ascii="Arial" w:cs="Arial" w:eastAsia="Arial" w:hAnsi="Arial"/>
          <w:sz w:val="16"/>
          <w:szCs w:val="16"/>
          <w:color w:val="auto"/>
        </w:rPr>
      </w:pPr>
    </w:p>
    <w:p>
      <w:pPr>
        <w:jc w:val="both"/>
        <w:ind w:firstLine="1304"/>
        <w:spacing w:after="0" w:line="267" w:lineRule="auto"/>
        <w:tabs>
          <w:tab w:leader="none" w:pos="1665"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Breach or Threatened Breach. </w:t>
      </w:r>
      <w:r>
        <w:rPr>
          <w:rFonts w:ascii="Arial" w:cs="Arial" w:eastAsia="Arial" w:hAnsi="Arial"/>
          <w:sz w:val="15"/>
          <w:szCs w:val="15"/>
          <w:color w:val="auto"/>
        </w:rPr>
        <w:t>The parties acknowledge and agree that the performance of the obligations under Section 5 by the Recipient are</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unique and extraordinary in character, and that in the event of the breach or threatened breach by the Recipient of the terms and conditions of Section 5,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5 and/or to enforce the specific performance of this Agreement by the Recipient and/or to enjoin the Recipient from breaching or attempting to breach Section 5. In the event the Company believes that the Recipient has breached the Recipient’s obligations under Section 5,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reimbursement for all attorneys’ and paralegal fees and expenses and court costs incurred by the Company in enforcing this 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5.</w:t>
      </w:r>
    </w:p>
    <w:p>
      <w:pPr>
        <w:spacing w:after="0" w:line="178" w:lineRule="exact"/>
        <w:rPr>
          <w:rFonts w:ascii="Arial" w:cs="Arial" w:eastAsia="Arial" w:hAnsi="Arial"/>
          <w:sz w:val="15"/>
          <w:szCs w:val="15"/>
          <w:color w:val="auto"/>
        </w:rPr>
      </w:pPr>
    </w:p>
    <w:p>
      <w:pPr>
        <w:jc w:val="both"/>
        <w:ind w:firstLine="656"/>
        <w:spacing w:after="0" w:line="289" w:lineRule="auto"/>
        <w:tabs>
          <w:tab w:leader="none" w:pos="1039"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Recapitalization, Mergers, Etc.</w:t>
      </w:r>
      <w:r>
        <w:rPr>
          <w:rFonts w:ascii="Arial" w:cs="Arial" w:eastAsia="Arial" w:hAnsi="Arial"/>
          <w:sz w:val="15"/>
          <w:szCs w:val="15"/>
          <w:b w:val="1"/>
          <w:bCs w:val="1"/>
          <w:color w:val="auto"/>
        </w:rPr>
        <w:t xml:space="preserve"> </w:t>
      </w:r>
      <w:r>
        <w:rPr>
          <w:rFonts w:ascii="Arial" w:cs="Arial" w:eastAsia="Arial" w:hAnsi="Arial"/>
          <w:sz w:val="15"/>
          <w:szCs w:val="15"/>
          <w:color w:val="auto"/>
        </w:rPr>
        <w:t>As provided in the Plan, in the event of corporate transactions affecting the Company’s outstanding Shares,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w:t>
      </w:r>
    </w:p>
    <w:p>
      <w:pPr>
        <w:spacing w:after="0" w:line="375" w:lineRule="exact"/>
        <w:rPr>
          <w:rFonts w:ascii="Arial" w:cs="Arial" w:eastAsia="Arial" w:hAnsi="Arial"/>
          <w:sz w:val="15"/>
          <w:szCs w:val="15"/>
          <w:b w:val="1"/>
          <w:bCs w:val="1"/>
          <w:color w:val="auto"/>
        </w:rPr>
      </w:pPr>
    </w:p>
    <w:p>
      <w:pPr>
        <w:jc w:val="both"/>
        <w:ind w:firstLine="656"/>
        <w:spacing w:after="0" w:line="276" w:lineRule="auto"/>
        <w:tabs>
          <w:tab w:leader="none" w:pos="945"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 xml:space="preserve">. </w:t>
      </w:r>
      <w:r>
        <w:rPr>
          <w:rFonts w:ascii="Arial" w:cs="Arial" w:eastAsia="Arial" w:hAnsi="Arial"/>
          <w:sz w:val="15"/>
          <w:szCs w:val="15"/>
          <w:color w:val="auto"/>
        </w:rPr>
        <w:t>It shall be a condition to the Recipient’s right to receive shares of Restricted Stock hereunder that the Committee may, in</w:t>
      </w:r>
      <w:r>
        <w:rPr>
          <w:rFonts w:ascii="Arial" w:cs="Arial" w:eastAsia="Arial" w:hAnsi="Arial"/>
          <w:sz w:val="15"/>
          <w:szCs w:val="15"/>
          <w:b w:val="1"/>
          <w:bCs w:val="1"/>
          <w:color w:val="auto"/>
        </w:rPr>
        <w:t xml:space="preserve"> </w:t>
      </w:r>
      <w:r>
        <w:rPr>
          <w:rFonts w:ascii="Arial" w:cs="Arial" w:eastAsia="Arial" w:hAnsi="Arial"/>
          <w:sz w:val="15"/>
          <w:szCs w:val="15"/>
          <w:color w:val="auto"/>
        </w:rPr>
        <w:t>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91" w:right="33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6"/>
          <w:szCs w:val="16"/>
          <w:color w:val="auto"/>
        </w:rPr>
        <w:t>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w:t>
      </w:r>
    </w:p>
    <w:p>
      <w:pPr>
        <w:spacing w:after="0" w:line="395"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right="20" w:firstLine="1304"/>
        <w:spacing w:after="0" w:line="261" w:lineRule="auto"/>
        <w:tabs>
          <w:tab w:leader="none" w:pos="1641"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82" w:lineRule="exact"/>
        <w:rPr>
          <w:rFonts w:ascii="Arial" w:cs="Arial" w:eastAsia="Arial" w:hAnsi="Arial"/>
          <w:sz w:val="16"/>
          <w:szCs w:val="16"/>
          <w:color w:val="auto"/>
        </w:rPr>
      </w:pPr>
    </w:p>
    <w:p>
      <w:pPr>
        <w:jc w:val="both"/>
        <w:ind w:firstLine="1304"/>
        <w:spacing w:after="0" w:line="256" w:lineRule="auto"/>
        <w:tabs>
          <w:tab w:leader="none" w:pos="1736"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398" w:lineRule="exact"/>
        <w:rPr>
          <w:rFonts w:ascii="Arial" w:cs="Arial" w:eastAsia="Arial" w:hAnsi="Arial"/>
          <w:sz w:val="16"/>
          <w:szCs w:val="16"/>
          <w:color w:val="auto"/>
        </w:rPr>
      </w:pPr>
    </w:p>
    <w:p>
      <w:pPr>
        <w:ind w:left="940" w:hanging="284"/>
        <w:spacing w:after="0"/>
        <w:tabs>
          <w:tab w:leader="none" w:pos="9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Matters; Section 83(b) Election</w:t>
      </w:r>
      <w:r>
        <w:rPr>
          <w:rFonts w:ascii="Arial" w:cs="Arial" w:eastAsia="Arial" w:hAnsi="Arial"/>
          <w:sz w:val="16"/>
          <w:szCs w:val="16"/>
          <w:b w:val="1"/>
          <w:bCs w:val="1"/>
          <w:color w:val="auto"/>
        </w:rPr>
        <w:t>.</w:t>
      </w:r>
    </w:p>
    <w:p>
      <w:pPr>
        <w:spacing w:after="0" w:line="225" w:lineRule="exact"/>
        <w:rPr>
          <w:rFonts w:ascii="Arial" w:cs="Arial" w:eastAsia="Arial" w:hAnsi="Arial"/>
          <w:sz w:val="16"/>
          <w:szCs w:val="16"/>
          <w:b w:val="1"/>
          <w:bCs w:val="1"/>
          <w:color w:val="auto"/>
        </w:rPr>
      </w:pPr>
    </w:p>
    <w:p>
      <w:pPr>
        <w:jc w:val="both"/>
        <w:ind w:firstLine="1304"/>
        <w:spacing w:after="0" w:line="252" w:lineRule="auto"/>
        <w:tabs>
          <w:tab w:leader="none" w:pos="1647"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spacing w:after="0" w:line="190" w:lineRule="exact"/>
        <w:rPr>
          <w:rFonts w:ascii="Arial" w:cs="Arial" w:eastAsia="Arial" w:hAnsi="Arial"/>
          <w:sz w:val="16"/>
          <w:szCs w:val="16"/>
          <w:color w:val="auto"/>
        </w:rPr>
      </w:pPr>
    </w:p>
    <w:p>
      <w:pPr>
        <w:jc w:val="both"/>
        <w:ind w:firstLine="1304"/>
        <w:spacing w:after="0" w:line="272" w:lineRule="auto"/>
        <w:tabs>
          <w:tab w:leader="none" w:pos="1660" w:val="left"/>
        </w:tabs>
        <w:numPr>
          <w:ilvl w:val="1"/>
          <w:numId w:val="40"/>
        </w:numPr>
        <w:rPr>
          <w:rFonts w:ascii="Arial" w:cs="Arial" w:eastAsia="Arial" w:hAnsi="Arial"/>
          <w:sz w:val="15"/>
          <w:szCs w:val="15"/>
          <w:color w:val="auto"/>
        </w:rPr>
      </w:pPr>
      <w:r>
        <w:rPr>
          <w:rFonts w:ascii="Arial" w:cs="Arial" w:eastAsia="Arial" w:hAnsi="Arial"/>
          <w:sz w:val="15"/>
          <w:szCs w:val="15"/>
          <w:color w:val="auto"/>
        </w:rPr>
        <w:t>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spacing w:after="0" w:line="177" w:lineRule="exact"/>
        <w:rPr>
          <w:sz w:val="20"/>
          <w:szCs w:val="20"/>
          <w:color w:val="auto"/>
        </w:rPr>
      </w:pPr>
    </w:p>
    <w:p>
      <w:pPr>
        <w:ind w:left="1000" w:hanging="344"/>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Recipient may satisfy the withholding requirements pursuant to any one or combination of the following methods:</w:t>
      </w:r>
    </w:p>
    <w:p>
      <w:pPr>
        <w:spacing w:after="0" w:line="221" w:lineRule="exact"/>
        <w:rPr>
          <w:rFonts w:ascii="Arial" w:cs="Arial" w:eastAsia="Arial" w:hAnsi="Arial"/>
          <w:sz w:val="16"/>
          <w:szCs w:val="16"/>
          <w:color w:val="auto"/>
        </w:rPr>
      </w:pPr>
    </w:p>
    <w:p>
      <w:pPr>
        <w:ind w:left="1620" w:hanging="316"/>
        <w:spacing w:after="0"/>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payment in cash; or</w:t>
      </w:r>
    </w:p>
    <w:p>
      <w:pPr>
        <w:spacing w:after="0" w:line="221" w:lineRule="exact"/>
        <w:rPr>
          <w:sz w:val="20"/>
          <w:szCs w:val="20"/>
          <w:color w:val="auto"/>
        </w:rPr>
      </w:pPr>
    </w:p>
    <w:p>
      <w:pPr>
        <w:jc w:val="both"/>
        <w:ind w:firstLine="656"/>
        <w:spacing w:after="0" w:line="290" w:lineRule="auto"/>
        <w:tabs>
          <w:tab w:leader="none" w:pos="1033"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that shall not exceed the maximum statutory tax rates in the Recipient’s applicable jurisdictions with respect to the shares of Restricted Stock (or such other amount as the Committee determines will not result in additional compensation expense for financial accounting purposes under applicable financial accounting principles). For this purpose, the maximum statutory tax rates are based on the applicable rates of the relevant tax authorities (for example, federal, state, and local), including the Recipient’s share of payroll or similar taxes, as provided in tax law, regulations, or the authority’s administrative practices, not to exceed the highest statutory rate in that jurisdiction, even if that rate exceeds the highest rate that may be applicable to the Recipient.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66" w:lineRule="exact"/>
        <w:rPr>
          <w:rFonts w:ascii="Arial" w:cs="Arial" w:eastAsia="Arial" w:hAnsi="Arial"/>
          <w:sz w:val="14"/>
          <w:szCs w:val="14"/>
          <w:color w:val="auto"/>
        </w:rPr>
      </w:pPr>
    </w:p>
    <w:p>
      <w:pPr>
        <w:jc w:val="both"/>
        <w:ind w:firstLine="1304"/>
        <w:spacing w:after="0" w:line="261" w:lineRule="auto"/>
        <w:tabs>
          <w:tab w:leader="none" w:pos="1677" w:val="left"/>
        </w:tabs>
        <w:numPr>
          <w:ilvl w:val="1"/>
          <w:numId w:val="42"/>
        </w:numPr>
        <w:rPr>
          <w:rFonts w:ascii="Arial" w:cs="Arial" w:eastAsia="Arial" w:hAnsi="Arial"/>
          <w:sz w:val="16"/>
          <w:szCs w:val="16"/>
          <w:color w:val="auto"/>
        </w:rPr>
      </w:pPr>
      <w:r>
        <w:rPr>
          <w:rFonts w:ascii="Arial" w:cs="Arial" w:eastAsia="Arial" w:hAnsi="Arial"/>
          <w:sz w:val="16"/>
          <w:szCs w:val="16"/>
          <w:color w:val="auto"/>
        </w:rPr>
        <w:t>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18"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tax advisor(s) regarding these matters, the making of a Section 83(b) election, and the Recipient’s filing, withholding and payment (or tax liability) obligations.</w:t>
      </w:r>
    </w:p>
    <w:p>
      <w:pPr>
        <w:spacing w:after="0" w:line="200" w:lineRule="exact"/>
        <w:rPr>
          <w:sz w:val="20"/>
          <w:szCs w:val="20"/>
          <w:color w:val="auto"/>
        </w:rPr>
      </w:pPr>
    </w:p>
    <w:p>
      <w:pPr>
        <w:spacing w:after="0" w:line="233" w:lineRule="exact"/>
        <w:rPr>
          <w:sz w:val="20"/>
          <w:szCs w:val="20"/>
          <w:color w:val="auto"/>
        </w:rPr>
      </w:pPr>
    </w:p>
    <w:p>
      <w:pPr>
        <w:ind w:left="1020" w:hanging="364"/>
        <w:spacing w:after="0"/>
        <w:tabs>
          <w:tab w:leader="none" w:pos="10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Relation with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confer on the Recipient any right to continued Continuous Service.</w:t>
      </w:r>
    </w:p>
    <w:p>
      <w:pPr>
        <w:spacing w:after="0" w:line="200" w:lineRule="exact"/>
        <w:rPr>
          <w:rFonts w:ascii="Arial" w:cs="Arial" w:eastAsia="Arial" w:hAnsi="Arial"/>
          <w:sz w:val="16"/>
          <w:szCs w:val="16"/>
          <w:b w:val="1"/>
          <w:bCs w:val="1"/>
          <w:color w:val="auto"/>
        </w:rPr>
      </w:pPr>
    </w:p>
    <w:p>
      <w:pPr>
        <w:spacing w:after="0" w:line="237" w:lineRule="exact"/>
        <w:rPr>
          <w:rFonts w:ascii="Arial" w:cs="Arial" w:eastAsia="Arial" w:hAnsi="Arial"/>
          <w:sz w:val="16"/>
          <w:szCs w:val="16"/>
          <w:b w:val="1"/>
          <w:bCs w:val="1"/>
          <w:color w:val="auto"/>
        </w:rPr>
      </w:pPr>
    </w:p>
    <w:p>
      <w:pPr>
        <w:jc w:val="both"/>
        <w:ind w:firstLine="656"/>
        <w:spacing w:after="0" w:line="263" w:lineRule="auto"/>
        <w:tabs>
          <w:tab w:leader="none" w:pos="107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 on Other Compensation Arrangements</w:t>
      </w:r>
      <w:r>
        <w:rPr>
          <w:rFonts w:ascii="Arial" w:cs="Arial" w:eastAsia="Arial" w:hAnsi="Arial"/>
          <w:sz w:val="16"/>
          <w:szCs w:val="16"/>
          <w:color w:val="auto"/>
        </w:rPr>
        <w:t>. Nothing contained in this Agreement shall preclude the Company or any Subsidiary from adopting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in effect other or additional compensation plans, agreements or arrangements, and any such plans, agreements and arrangements may be either generally applicable or applicable only in specific cases or to specific persons.</w:t>
      </w:r>
    </w:p>
    <w:p>
      <w:pPr>
        <w:spacing w:after="0" w:line="394" w:lineRule="exact"/>
        <w:rPr>
          <w:rFonts w:ascii="Arial" w:cs="Arial" w:eastAsia="Arial" w:hAnsi="Arial"/>
          <w:sz w:val="16"/>
          <w:szCs w:val="16"/>
          <w:b w:val="1"/>
          <w:bCs w:val="1"/>
          <w:color w:val="auto"/>
        </w:rPr>
      </w:pPr>
    </w:p>
    <w:p>
      <w:pPr>
        <w:ind w:firstLine="656"/>
        <w:spacing w:after="0" w:line="280" w:lineRule="auto"/>
        <w:tabs>
          <w:tab w:leader="none" w:pos="103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various provisions of this Agreement are severable in their entirety. Any determination of invalidity or unenforceability of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shall have no effect on the continuing force and effect of the remaining provisions.</w:t>
      </w:r>
    </w:p>
    <w:p>
      <w:pPr>
        <w:spacing w:after="0" w:line="380" w:lineRule="exact"/>
        <w:rPr>
          <w:rFonts w:ascii="Arial" w:cs="Arial" w:eastAsia="Arial" w:hAnsi="Arial"/>
          <w:sz w:val="16"/>
          <w:szCs w:val="16"/>
          <w:b w:val="1"/>
          <w:bCs w:val="1"/>
          <w:color w:val="auto"/>
        </w:rPr>
      </w:pPr>
    </w:p>
    <w:p>
      <w:pPr>
        <w:ind w:firstLine="656"/>
        <w:spacing w:after="0" w:line="280" w:lineRule="auto"/>
        <w:tabs>
          <w:tab w:leader="none" w:pos="101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understanding of the parties and shall not be modified or amended except in writing and duly signed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parties after appropriate action by the Committee.</w:t>
      </w:r>
    </w:p>
    <w:p>
      <w:pPr>
        <w:spacing w:after="0" w:line="380" w:lineRule="exact"/>
        <w:rPr>
          <w:rFonts w:ascii="Arial" w:cs="Arial" w:eastAsia="Arial" w:hAnsi="Arial"/>
          <w:sz w:val="16"/>
          <w:szCs w:val="16"/>
          <w:b w:val="1"/>
          <w:bCs w:val="1"/>
          <w:color w:val="auto"/>
        </w:rPr>
      </w:pPr>
    </w:p>
    <w:p>
      <w:pPr>
        <w:jc w:val="both"/>
        <w:ind w:firstLine="656"/>
        <w:spacing w:after="0" w:line="258" w:lineRule="auto"/>
        <w:tabs>
          <w:tab w:leader="none" w:pos="101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Trust or Fund Created</w:t>
      </w:r>
      <w:r>
        <w:rPr>
          <w:rFonts w:ascii="Arial" w:cs="Arial" w:eastAsia="Arial" w:hAnsi="Arial"/>
          <w:sz w:val="16"/>
          <w:szCs w:val="16"/>
          <w:color w:val="auto"/>
        </w:rPr>
        <w:t>. Neither this Agreement nor the grant of Restricted Stock hereunder shall create or be construed to create a trust or separate fund</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spacing w:after="0" w:line="396" w:lineRule="exact"/>
        <w:rPr>
          <w:rFonts w:ascii="Arial" w:cs="Arial" w:eastAsia="Arial" w:hAnsi="Arial"/>
          <w:sz w:val="16"/>
          <w:szCs w:val="16"/>
          <w:b w:val="1"/>
          <w:bCs w:val="1"/>
          <w:color w:val="auto"/>
        </w:rPr>
      </w:pPr>
    </w:p>
    <w:p>
      <w:pPr>
        <w:ind w:firstLine="656"/>
        <w:spacing w:after="0" w:line="280" w:lineRule="auto"/>
        <w:tabs>
          <w:tab w:leader="none" w:pos="101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Law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subject to and shall be administered and governed in all respects under the laws of the State of Florida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its conflict of law rules.</w:t>
      </w:r>
    </w:p>
    <w:p>
      <w:pPr>
        <w:spacing w:after="0" w:line="380" w:lineRule="exact"/>
        <w:rPr>
          <w:rFonts w:ascii="Arial" w:cs="Arial" w:eastAsia="Arial" w:hAnsi="Arial"/>
          <w:sz w:val="16"/>
          <w:szCs w:val="16"/>
          <w:b w:val="1"/>
          <w:bCs w:val="1"/>
          <w:color w:val="auto"/>
        </w:rPr>
      </w:pPr>
    </w:p>
    <w:p>
      <w:pPr>
        <w:jc w:val="both"/>
        <w:ind w:firstLine="656"/>
        <w:spacing w:after="0" w:line="355" w:lineRule="auto"/>
        <w:tabs>
          <w:tab w:leader="none" w:pos="1161"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Binding Effect; Captions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binding upon the Company, its successors and assigns, and the Recipient, and his/her heirs,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and permitted assigns. Captions are provided for reference, do not form a part of this Agreement and are not admissible to determine the intent of the parties.</w:t>
      </w:r>
    </w:p>
    <w:p>
      <w:pPr>
        <w:spacing w:after="0" w:line="333" w:lineRule="exact"/>
        <w:rPr>
          <w:rFonts w:ascii="Arial" w:cs="Arial" w:eastAsia="Arial" w:hAnsi="Arial"/>
          <w:sz w:val="14"/>
          <w:szCs w:val="14"/>
          <w:b w:val="1"/>
          <w:bCs w:val="1"/>
          <w:color w:val="auto"/>
        </w:rPr>
      </w:pPr>
    </w:p>
    <w:p>
      <w:pPr>
        <w:jc w:val="both"/>
        <w:ind w:firstLine="656"/>
        <w:spacing w:after="0" w:line="237" w:lineRule="auto"/>
        <w:tabs>
          <w:tab w:leader="none" w:pos="102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under this Agreement shall be in writing and shall be deemed to have been duly given when delivered personally or when deposited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mail, registered, postage prepaid, and addressed, in the case of the Company, to the Company’s General Counsel at 800 Douglas Road,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200" w:lineRule="exact"/>
        <w:rPr>
          <w:rFonts w:ascii="Arial" w:cs="Arial" w:eastAsia="Arial" w:hAnsi="Arial"/>
          <w:sz w:val="16"/>
          <w:szCs w:val="16"/>
          <w:b w:val="1"/>
          <w:bCs w:val="1"/>
          <w:color w:val="auto"/>
        </w:rPr>
      </w:pPr>
    </w:p>
    <w:p>
      <w:pPr>
        <w:spacing w:after="0" w:line="211" w:lineRule="exact"/>
        <w:rPr>
          <w:rFonts w:ascii="Arial" w:cs="Arial" w:eastAsia="Arial" w:hAnsi="Arial"/>
          <w:sz w:val="16"/>
          <w:szCs w:val="16"/>
          <w:b w:val="1"/>
          <w:bCs w:val="1"/>
          <w:color w:val="auto"/>
        </w:rPr>
      </w:pPr>
    </w:p>
    <w:p>
      <w:pPr>
        <w:ind w:left="1020" w:hanging="364"/>
        <w:spacing w:after="0"/>
        <w:tabs>
          <w:tab w:leader="none" w:pos="10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w:t>
      </w:r>
    </w:p>
    <w:p>
      <w:pPr>
        <w:spacing w:after="0" w:line="200" w:lineRule="exact"/>
        <w:rPr>
          <w:rFonts w:ascii="Arial" w:cs="Arial" w:eastAsia="Arial" w:hAnsi="Arial"/>
          <w:sz w:val="16"/>
          <w:szCs w:val="16"/>
          <w:b w:val="1"/>
          <w:bCs w:val="1"/>
          <w:color w:val="auto"/>
        </w:rPr>
      </w:pPr>
    </w:p>
    <w:p>
      <w:pPr>
        <w:spacing w:after="0" w:line="241" w:lineRule="exact"/>
        <w:rPr>
          <w:rFonts w:ascii="Arial" w:cs="Arial" w:eastAsia="Arial" w:hAnsi="Arial"/>
          <w:sz w:val="16"/>
          <w:szCs w:val="16"/>
          <w:b w:val="1"/>
          <w:bCs w:val="1"/>
          <w:color w:val="auto"/>
        </w:rPr>
      </w:pPr>
    </w:p>
    <w:p>
      <w:pPr>
        <w:jc w:val="both"/>
        <w:ind w:firstLine="1304"/>
        <w:spacing w:after="0" w:line="298" w:lineRule="auto"/>
        <w:tabs>
          <w:tab w:leader="none" w:pos="1648" w:val="left"/>
        </w:tabs>
        <w:numPr>
          <w:ilvl w:val="1"/>
          <w:numId w:val="43"/>
        </w:numPr>
        <w:rPr>
          <w:rFonts w:ascii="Arial" w:cs="Arial" w:eastAsia="Arial" w:hAnsi="Arial"/>
          <w:sz w:val="14"/>
          <w:szCs w:val="14"/>
          <w:color w:val="auto"/>
        </w:rPr>
      </w:pPr>
      <w:r>
        <w:rPr>
          <w:rFonts w:ascii="Arial" w:cs="Arial" w:eastAsia="Arial" w:hAnsi="Arial"/>
          <w:sz w:val="14"/>
          <w:szCs w:val="14"/>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377" w:lineRule="exact"/>
        <w:rPr>
          <w:rFonts w:ascii="Arial" w:cs="Arial" w:eastAsia="Arial" w:hAnsi="Arial"/>
          <w:sz w:val="14"/>
          <w:szCs w:val="14"/>
          <w:color w:val="auto"/>
        </w:rPr>
      </w:pPr>
    </w:p>
    <w:p>
      <w:pPr>
        <w:jc w:val="both"/>
        <w:ind w:firstLine="1304"/>
        <w:spacing w:after="0" w:line="256" w:lineRule="auto"/>
        <w:tabs>
          <w:tab w:leader="none" w:pos="16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firstLine="1304"/>
        <w:spacing w:after="0" w:line="256" w:lineRule="auto"/>
        <w:tabs>
          <w:tab w:leader="none" w:pos="1732"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602"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color w:val="auto"/>
        </w:rPr>
        <w:t>Agreement, or any amendment or modification thereof or any other action taken with respect thereto is deemed to violate any of the requirements of Section 409A.</w:t>
      </w:r>
    </w:p>
    <w:p>
      <w:pPr>
        <w:spacing w:after="0" w:line="200" w:lineRule="exact"/>
        <w:rPr>
          <w:sz w:val="20"/>
          <w:szCs w:val="20"/>
          <w:color w:val="auto"/>
        </w:rPr>
      </w:pPr>
    </w:p>
    <w:p>
      <w:pPr>
        <w:spacing w:after="0" w:line="245"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Clawback of Benefits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a) The Company may (i) cause the cancellation of the shares of Restricted Stock subject to this Agreement, (ii) require reimbursement of the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spacing w:after="0" w:line="396" w:lineRule="exact"/>
        <w:rPr>
          <w:sz w:val="20"/>
          <w:szCs w:val="20"/>
          <w:color w:val="auto"/>
        </w:rPr>
      </w:pPr>
    </w:p>
    <w:p>
      <w:pPr>
        <w:jc w:val="both"/>
        <w:ind w:firstLine="1304"/>
        <w:spacing w:after="0" w:line="293" w:lineRule="auto"/>
        <w:tabs>
          <w:tab w:leader="none" w:pos="1747" w:val="left"/>
        </w:tabs>
        <w:numPr>
          <w:ilvl w:val="1"/>
          <w:numId w:val="45"/>
        </w:numPr>
        <w:rPr>
          <w:rFonts w:ascii="Arial" w:cs="Arial" w:eastAsia="Arial" w:hAnsi="Arial"/>
          <w:sz w:val="14"/>
          <w:szCs w:val="14"/>
          <w:color w:val="auto"/>
        </w:rPr>
      </w:pPr>
      <w:r>
        <w:rPr>
          <w:rFonts w:ascii="Arial" w:cs="Arial" w:eastAsia="Arial" w:hAnsi="Arial"/>
          <w:sz w:val="14"/>
          <w:szCs w:val="14"/>
          <w:color w:val="auto"/>
        </w:rPr>
        <w:t>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spacing w:after="0" w:line="375" w:lineRule="exact"/>
        <w:rPr>
          <w:rFonts w:ascii="Arial" w:cs="Arial" w:eastAsia="Arial" w:hAnsi="Arial"/>
          <w:sz w:val="14"/>
          <w:szCs w:val="14"/>
          <w:color w:val="auto"/>
        </w:rPr>
      </w:pPr>
    </w:p>
    <w:p>
      <w:pPr>
        <w:jc w:val="both"/>
        <w:ind w:firstLine="656"/>
        <w:spacing w:after="0" w:line="280" w:lineRule="auto"/>
        <w:tabs>
          <w:tab w:leader="none" w:pos="108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Non-Waiver of Breach</w:t>
      </w:r>
      <w:r>
        <w:rPr>
          <w:rFonts w:ascii="Arial" w:cs="Arial" w:eastAsia="Arial" w:hAnsi="Arial"/>
          <w:sz w:val="15"/>
          <w:szCs w:val="15"/>
          <w:color w:val="auto"/>
        </w:rPr>
        <w:t>. The waiver by any party hereto of the other party's prompt and complete performance, or breach or violation, of any term or</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383" w:lineRule="exact"/>
        <w:rPr>
          <w:rFonts w:ascii="Arial" w:cs="Arial" w:eastAsia="Arial" w:hAnsi="Arial"/>
          <w:sz w:val="15"/>
          <w:szCs w:val="15"/>
          <w:b w:val="1"/>
          <w:bCs w:val="1"/>
          <w:color w:val="auto"/>
        </w:rPr>
      </w:pPr>
    </w:p>
    <w:p>
      <w:pPr>
        <w:ind w:firstLine="656"/>
        <w:spacing w:after="0" w:line="280" w:lineRule="auto"/>
        <w:tabs>
          <w:tab w:leader="none" w:pos="101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 and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have executed this Agreement on this _____ day of ________, ________.</w:t>
      </w:r>
    </w:p>
    <w:p>
      <w:pPr>
        <w:spacing w:after="0" w:line="22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MASTEC, INC.</w:t>
      </w:r>
    </w:p>
    <w:p>
      <w:pPr>
        <w:spacing w:after="0" w:line="22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-6985</wp:posOffset>
            </wp:positionV>
            <wp:extent cx="205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-15875</wp:posOffset>
            </wp:positionV>
            <wp:extent cx="231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NAME OF RECIPIENT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22.1</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List of Guarantor Subsidiaries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As of June 30, 2020, the following subsidiaries of MasTec, Inc. (the “Company”) were guarantors of the Company’s 4.875% senior notes due March 15, 2023:</w:t>
      </w:r>
    </w:p>
    <w:p>
      <w:pPr>
        <w:sectPr>
          <w:pgSz w:w="11900" w:h="16838" w:orient="portrait"/>
          <w:cols w:equalWidth="0" w:num="1">
            <w:col w:w="11200"/>
          </w:cols>
          <w:pgMar w:left="360" w:top="342" w:right="339" w:bottom="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Entity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Formation</w:t>
      </w:r>
    </w:p>
    <w:p>
      <w:pPr>
        <w:spacing w:after="0" w:line="211" w:lineRule="exact"/>
        <w:rPr>
          <w:sz w:val="20"/>
          <w:szCs w:val="20"/>
          <w:color w:val="auto"/>
        </w:rPr>
      </w:pPr>
    </w:p>
    <w:p>
      <w:pPr>
        <w:sectPr>
          <w:pgSz w:w="11900" w:h="16838" w:orient="portrait"/>
          <w:cols w:equalWidth="0" w:num="2">
            <w:col w:w="5120" w:space="720"/>
            <w:col w:w="5360"/>
          </w:cols>
          <w:pgMar w:left="360" w:top="342" w:right="339"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Cash Construction Company,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Church &amp; Tower,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EC Source Services,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Energy Environmental Group,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Energy Erectors,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Go Green Services,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Kingsley Constructors,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Lemartec Corporation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Brazil I,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Brazil II,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Equipment,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ETS Service Company,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Latin America,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Network Solutions,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Network Solutions,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North America,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Power Corp.</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Property Holdings, LLC</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MasTec Renewables Construction Company,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MasTec Residential Services,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Services Company,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Spain,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Venezuela,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MasTec Wireless Services,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MP Drilling Holdings,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Nsoro MasTec International,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Power Partners MasTec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Power Partners MasTec, Inc.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Precision Acquisition, LLC</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Precision Pipeline LLC</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North Carolina</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ectPr>
          <w:pgSz w:w="11900" w:h="16838" w:orient="portrait"/>
          <w:cols w:equalWidth="0" w:num="2">
            <w:col w:w="5120" w:space="720"/>
            <w:col w:w="5360"/>
          </w:cols>
          <w:pgMar w:left="360" w:top="342" w:right="339" w:bottom="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auto"/>
        </w:rPr>
        <w:t>Precision Transport Company, LLC</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Arial" w:cs="Arial" w:eastAsia="Arial" w:hAnsi="Arial"/>
          <w:sz w:val="14"/>
          <w:szCs w:val="14"/>
          <w:color w:val="auto"/>
        </w:rPr>
        <w:t>Wisconsin</w:t>
      </w:r>
    </w:p>
    <w:p>
      <w:pPr>
        <w:spacing w:after="0" w:line="200" w:lineRule="exact"/>
        <w:rPr>
          <w:sz w:val="20"/>
          <w:szCs w:val="20"/>
          <w:color w:val="auto"/>
        </w:rPr>
      </w:pPr>
    </w:p>
    <w:p>
      <w:pPr>
        <w:sectPr>
          <w:pgSz w:w="11900" w:h="16838" w:orient="portrait"/>
          <w:cols w:equalWidth="0" w:num="2">
            <w:col w:w="5120" w:space="720"/>
            <w:col w:w="4259"/>
          </w:cols>
          <w:pgMar w:left="360" w:top="278" w:right="1440"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Pretec Directional Drilling LLC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799"/>
        <w:spacing w:after="0"/>
        <w:rPr>
          <w:sz w:val="20"/>
          <w:szCs w:val="20"/>
          <w:color w:val="auto"/>
        </w:rPr>
      </w:pPr>
      <w:r>
        <w:rPr>
          <w:rFonts w:ascii="Arial" w:cs="Arial" w:eastAsia="Arial" w:hAnsi="Arial"/>
          <w:sz w:val="15"/>
          <w:szCs w:val="15"/>
          <w:color w:val="auto"/>
        </w:rPr>
        <w:t>Florida</w:t>
      </w:r>
    </w:p>
    <w:p>
      <w:pPr>
        <w:spacing w:after="0" w:line="200"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Pumpco, Inc.</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Texas</w:t>
      </w:r>
    </w:p>
    <w:p>
      <w:pPr>
        <w:spacing w:after="0" w:line="211"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SEFNCO Communications,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479"/>
        <w:spacing w:after="0"/>
        <w:rPr>
          <w:sz w:val="20"/>
          <w:szCs w:val="20"/>
          <w:color w:val="auto"/>
        </w:rPr>
      </w:pPr>
      <w:r>
        <w:rPr>
          <w:rFonts w:ascii="Arial" w:cs="Arial" w:eastAsia="Arial" w:hAnsi="Arial"/>
          <w:sz w:val="14"/>
          <w:szCs w:val="14"/>
          <w:color w:val="auto"/>
        </w:rPr>
        <w:t>Washington</w:t>
      </w:r>
    </w:p>
    <w:p>
      <w:pPr>
        <w:spacing w:after="0" w:line="200"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T&amp;D Power,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Nevada</w:t>
      </w:r>
    </w:p>
    <w:p>
      <w:pPr>
        <w:spacing w:after="0" w:line="211"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Three Phase Acquisition Corp.</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New Hampshire</w:t>
      </w:r>
    </w:p>
    <w:p>
      <w:pPr>
        <w:spacing w:after="0" w:line="200"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Three Phase Line Construction,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199"/>
        <w:spacing w:after="0"/>
        <w:rPr>
          <w:sz w:val="20"/>
          <w:szCs w:val="20"/>
          <w:color w:val="auto"/>
        </w:rPr>
      </w:pPr>
      <w:r>
        <w:rPr>
          <w:rFonts w:ascii="Arial" w:cs="Arial" w:eastAsia="Arial" w:hAnsi="Arial"/>
          <w:sz w:val="14"/>
          <w:szCs w:val="14"/>
          <w:color w:val="auto"/>
        </w:rPr>
        <w:t>New Hampshire</w:t>
      </w:r>
    </w:p>
    <w:p>
      <w:pPr>
        <w:spacing w:after="0" w:line="200" w:lineRule="exact"/>
        <w:rPr>
          <w:sz w:val="20"/>
          <w:szCs w:val="20"/>
          <w:color w:val="auto"/>
        </w:rPr>
      </w:pPr>
    </w:p>
    <w:p>
      <w:pPr>
        <w:sectPr>
          <w:pgSz w:w="11900" w:h="16838" w:orient="portrait"/>
          <w:cols w:equalWidth="0" w:num="2">
            <w:col w:w="5120" w:space="720"/>
            <w:col w:w="4259"/>
          </w:cols>
          <w:pgMar w:left="360" w:top="278"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Wanzek Construction,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North Dakota</w:t>
      </w:r>
    </w:p>
    <w:p>
      <w:pPr>
        <w:sectPr>
          <w:pgSz w:w="11900" w:h="16838" w:orient="portrait"/>
          <w:cols w:equalWidth="0" w:num="2">
            <w:col w:w="5120" w:space="720"/>
            <w:col w:w="4259"/>
          </w:cols>
          <w:pgMar w:left="360" w:top="278" w:right="1440"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jc w:val="both"/>
        <w:ind w:left="980" w:right="20" w:hanging="486"/>
        <w:spacing w:after="0" w:line="26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5"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310" w:lineRule="auto"/>
        <w:tabs>
          <w:tab w:leader="none" w:pos="9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980" w:right="20" w:hanging="486"/>
        <w:spacing w:after="0" w:line="275"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July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55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jc w:val="both"/>
        <w:ind w:left="980" w:right="20" w:hanging="486"/>
        <w:spacing w:after="0" w:line="261"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5"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310" w:lineRule="auto"/>
        <w:tabs>
          <w:tab w:leader="none" w:pos="9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980" w:right="20" w:hanging="486"/>
        <w:spacing w:after="0" w:line="275"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July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55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2020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July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2020, or as a separate disclosure document of the Company or the certifying officers.</w:t>
      </w:r>
    </w:p>
    <w:p>
      <w:pPr>
        <w:sectPr>
          <w:pgSz w:w="11900" w:h="16838" w:orient="portrait"/>
          <w:cols w:equalWidth="0" w:num="1">
            <w:col w:w="11240"/>
          </w:cols>
          <w:pgMar w:left="320" w:top="55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2020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July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2020, or as a separate disclosure document of the Company or the certifying officers.</w:t>
      </w:r>
    </w:p>
    <w:sectPr>
      <w:pgSz w:w="11900" w:h="16838" w:orient="portrait"/>
      <w:cols w:equalWidth="0" w:num="1">
        <w:col w:w="11240"/>
      </w:cols>
      <w:pgMar w:left="320" w:top="5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2"/>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decimal"/>
      <w:start w:val="104"/>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lvl w:ilvl="1">
      <w:lvlJc w:val="left"/>
      <w:lvlText w:val="(%2)"/>
      <w:numFmt w:val="lowerLetter"/>
      <w:start w:val="1"/>
    </w:lvl>
  </w:abstractNum>
  <w:abstractNum w:abstractNumId="17">
    <w:nsid w:val="5577F8E1"/>
    <w:multiLevelType w:val="hybridMultilevel"/>
    <w:lvl w:ilvl="0">
      <w:lvlJc w:val="left"/>
      <w:lvlText w:val="%1"/>
      <w:numFmt w:val="decimal"/>
      <w:start w:val="1"/>
    </w:lvl>
    <w:lvl w:ilvl="1">
      <w:lvlJc w:val="left"/>
      <w:lvlText w:val="(%2)"/>
      <w:numFmt w:val="lowerLetter"/>
      <w:start w:val="2"/>
    </w:lvl>
  </w:abstractNum>
  <w:abstractNum w:abstractNumId="18">
    <w:nsid w:val="440BADFC"/>
    <w:multiLevelType w:val="hybridMultilevel"/>
    <w:lvl w:ilvl="0">
      <w:lvlJc w:val="left"/>
      <w:lvlText w:val="%1."/>
      <w:numFmt w:val="decimal"/>
      <w:start w:val="3"/>
    </w:lvl>
    <w:lvl w:ilvl="1">
      <w:lvlJc w:val="left"/>
      <w:lvlText w:val="(%2)"/>
      <w:numFmt w:val="lowerLetter"/>
      <w:start w:val="1"/>
    </w:lvl>
  </w:abstractNum>
  <w:abstractNum w:abstractNumId="19">
    <w:nsid w:val="5072367"/>
    <w:multiLevelType w:val="hybridMultilevel"/>
    <w:lvl w:ilvl="0">
      <w:lvlJc w:val="left"/>
      <w:lvlText w:val="%1"/>
      <w:numFmt w:val="decimal"/>
      <w:start w:val="1"/>
    </w:lvl>
    <w:lvl w:ilvl="1">
      <w:lvlJc w:val="left"/>
      <w:lvlText w:val="(%2)"/>
      <w:numFmt w:val="lowerLetter"/>
      <w:start w:val="3"/>
    </w:lvl>
  </w:abstractNum>
  <w:abstractNum w:abstractNumId="20">
    <w:nsid w:val="3804823E"/>
    <w:multiLevelType w:val="hybridMultilevel"/>
    <w:lvl w:ilvl="0">
      <w:lvlJc w:val="left"/>
      <w:lvlText w:val="%1."/>
      <w:numFmt w:val="decimal"/>
      <w:start w:val="4"/>
    </w:lvl>
    <w:lvl w:ilvl="1">
      <w:lvlJc w:val="left"/>
      <w:lvlText w:val="(%2)"/>
      <w:numFmt w:val="lowerLetter"/>
      <w:start w:val="1"/>
    </w:lvl>
  </w:abstractNum>
  <w:abstractNum w:abstractNumId="21">
    <w:nsid w:val="77465F01"/>
    <w:multiLevelType w:val="hybridMultilevel"/>
    <w:lvl w:ilvl="0">
      <w:lvlJc w:val="left"/>
      <w:lvlText w:val="%1."/>
      <w:numFmt w:val="decimal"/>
      <w:start w:val="9"/>
    </w:lvl>
    <w:lvl w:ilvl="1">
      <w:lvlJc w:val="left"/>
      <w:lvlText w:val="(%2)"/>
      <w:numFmt w:val="lowerLetter"/>
      <w:start w:val="1"/>
    </w:lvl>
  </w:abstractNum>
  <w:abstractNum w:abstractNumId="22">
    <w:nsid w:val="7724C67E"/>
    <w:multiLevelType w:val="hybridMultilevel"/>
    <w:lvl w:ilvl="0">
      <w:lvlJc w:val="left"/>
      <w:lvlText w:val="(%1)"/>
      <w:numFmt w:val="lowerLetter"/>
      <w:start w:val="3"/>
    </w:lvl>
    <w:lvl w:ilvl="1">
      <w:lvlJc w:val="left"/>
      <w:lvlText w:val="(%2)"/>
      <w:numFmt w:val="lowerLetter"/>
      <w:start w:val="9"/>
    </w:lvl>
  </w:abstractNum>
  <w:abstractNum w:abstractNumId="23">
    <w:nsid w:val="5C482A97"/>
    <w:multiLevelType w:val="hybridMultilevel"/>
    <w:lvl w:ilvl="0">
      <w:lvlJc w:val="left"/>
      <w:lvlText w:val="(%1)"/>
      <w:numFmt w:val="lowerLetter"/>
      <w:start w:val="35"/>
    </w:lvl>
    <w:lvl w:ilvl="1">
      <w:lvlJc w:val="left"/>
      <w:lvlText w:val="(%2)"/>
      <w:numFmt w:val="lowerLetter"/>
      <w:start w:val="4"/>
    </w:lvl>
  </w:abstractNum>
  <w:abstractNum w:abstractNumId="24">
    <w:nsid w:val="2463B9EA"/>
    <w:multiLevelType w:val="hybridMultilevel"/>
    <w:lvl w:ilvl="0">
      <w:lvlJc w:val="left"/>
      <w:lvlText w:val="%1."/>
      <w:numFmt w:val="decimal"/>
      <w:start w:val="10"/>
    </w:lvl>
  </w:abstractNum>
  <w:abstractNum w:abstractNumId="25">
    <w:nsid w:val="5E884ADC"/>
    <w:multiLevelType w:val="hybridMultilevel"/>
    <w:lvl w:ilvl="0">
      <w:lvlJc w:val="left"/>
      <w:lvlText w:val="%1."/>
      <w:numFmt w:val="decimal"/>
      <w:start w:val="14"/>
    </w:lvl>
    <w:lvl w:ilvl="1">
      <w:lvlJc w:val="left"/>
      <w:lvlText w:val="(%2)"/>
      <w:numFmt w:val="lowerLetter"/>
      <w:start w:val="1"/>
    </w:lvl>
  </w:abstractNum>
  <w:abstractNum w:abstractNumId="26">
    <w:nsid w:val="51EAD36B"/>
    <w:multiLevelType w:val="hybridMultilevel"/>
    <w:lvl w:ilvl="0">
      <w:lvlJc w:val="left"/>
      <w:lvlText w:val="%1"/>
      <w:numFmt w:val="decimal"/>
      <w:start w:val="1"/>
    </w:lvl>
    <w:lvl w:ilvl="1">
      <w:lvlJc w:val="left"/>
      <w:lvlText w:val="(%2)"/>
      <w:numFmt w:val="lowerLetter"/>
      <w:start w:val="2"/>
    </w:lvl>
  </w:abstractNum>
  <w:abstractNum w:abstractNumId="27">
    <w:nsid w:val="2D517796"/>
    <w:multiLevelType w:val="hybridMultilevel"/>
    <w:lvl w:ilvl="0">
      <w:lvlJc w:val="left"/>
      <w:lvlText w:val="%1."/>
      <w:numFmt w:val="decimal"/>
      <w:start w:val="20"/>
    </w:lvl>
    <w:lvl w:ilvl="1">
      <w:lvlJc w:val="left"/>
      <w:lvlText w:val="%2"/>
      <w:numFmt w:val="lowerLetter"/>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lowerRoman"/>
      <w:start w:val="1"/>
    </w:lvl>
    <w:lvl w:ilvl="1">
      <w:lvlJc w:val="left"/>
      <w:lvlText w:val="(%2)"/>
      <w:numFmt w:val="lowerLetter"/>
      <w:start w:val="2"/>
    </w:lvl>
  </w:abstractNum>
  <w:abstractNum w:abstractNumId="30">
    <w:nsid w:val="3855585C"/>
    <w:multiLevelType w:val="hybridMultilevel"/>
    <w:lvl w:ilvl="0">
      <w:lvlJc w:val="left"/>
      <w:lvlText w:val="(%1)"/>
      <w:numFmt w:val="lowerRoman"/>
      <w:start w:val="1"/>
    </w:lvl>
    <w:lvl w:ilvl="1">
      <w:lvlJc w:val="left"/>
      <w:lvlText w:val="%2"/>
      <w:numFmt w:val="lowerLetter"/>
      <w:start w:val="1"/>
    </w:lvl>
  </w:abstractNum>
  <w:abstractNum w:abstractNumId="31">
    <w:nsid w:val="70A64E2A"/>
    <w:multiLevelType w:val="hybridMultilevel"/>
    <w:lvl w:ilvl="0">
      <w:lvlJc w:val="left"/>
      <w:lvlText w:val="(%1)"/>
      <w:numFmt w:val="lowerRoman"/>
      <w:start w:val="3"/>
    </w:lvl>
  </w:abstractNum>
  <w:abstractNum w:abstractNumId="32">
    <w:nsid w:val="6A2342EC"/>
    <w:multiLevelType w:val="hybridMultilevel"/>
    <w:lvl w:ilvl="0">
      <w:lvlJc w:val="left"/>
      <w:lvlText w:val="%1."/>
      <w:numFmt w:val="decimal"/>
      <w:start w:val="3"/>
    </w:lvl>
    <w:lvl w:ilvl="1">
      <w:lvlJc w:val="left"/>
      <w:lvlText w:val="(%2)"/>
      <w:numFmt w:val="lowerLetter"/>
      <w:start w:val="1"/>
    </w:lvl>
  </w:abstractNum>
  <w:abstractNum w:abstractNumId="33">
    <w:nsid w:val="2A487CB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34">
    <w:nsid w:val="1D4ED4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5">
    <w:nsid w:val="725A06FB"/>
    <w:multiLevelType w:val="hybridMultilevel"/>
    <w:lvl w:ilvl="0">
      <w:lvlJc w:val="left"/>
      <w:lvlText w:val="(%1)"/>
      <w:numFmt w:val="upperLetter"/>
      <w:start w:val="3"/>
    </w:lvl>
  </w:abstractNum>
  <w:abstractNum w:abstractNumId="36">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7">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8">
    <w:nsid w:val="7A6D8D3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9">
    <w:nsid w:val="4B588F54"/>
    <w:multiLevelType w:val="hybridMultilevel"/>
    <w:lvl w:ilvl="0">
      <w:lvlJc w:val="left"/>
      <w:lvlText w:val="%1."/>
      <w:numFmt w:val="decimal"/>
      <w:start w:val="8"/>
    </w:lvl>
    <w:lvl w:ilvl="1">
      <w:lvlJc w:val="left"/>
      <w:lvlText w:val="(%2)"/>
      <w:numFmt w:val="lowerLetter"/>
      <w:start w:val="1"/>
    </w:lvl>
  </w:abstractNum>
  <w:abstractNum w:abstractNumId="40">
    <w:nsid w:val="542289EC"/>
    <w:multiLevelType w:val="hybridMultilevel"/>
    <w:lvl w:ilvl="0">
      <w:lvlJc w:val="left"/>
      <w:lvlText w:val="(%1)"/>
      <w:numFmt w:val="lowerLetter"/>
      <w:start w:val="3"/>
    </w:lvl>
    <w:lvl w:ilvl="1">
      <w:lvlJc w:val="left"/>
      <w:lvlText w:val="(%2)"/>
      <w:numFmt w:val="lowerLetter"/>
      <w:start w:val="9"/>
    </w:lvl>
  </w:abstractNum>
  <w:abstractNum w:abstractNumId="41">
    <w:nsid w:val="6DE91B18"/>
    <w:multiLevelType w:val="hybridMultilevel"/>
    <w:lvl w:ilvl="0">
      <w:lvlJc w:val="left"/>
      <w:lvlText w:val="(%1)"/>
      <w:numFmt w:val="lowerLetter"/>
      <w:start w:val="35"/>
    </w:lvl>
    <w:lvl w:ilvl="1">
      <w:lvlJc w:val="left"/>
      <w:lvlText w:val="(%2)"/>
      <w:numFmt w:val="lowerLetter"/>
      <w:start w:val="4"/>
    </w:lvl>
  </w:abstractNum>
  <w:abstractNum w:abstractNumId="42">
    <w:nsid w:val="38437FDB"/>
    <w:multiLevelType w:val="hybridMultilevel"/>
    <w:lvl w:ilvl="0">
      <w:lvlJc w:val="left"/>
      <w:lvlText w:val="%1."/>
      <w:numFmt w:val="decimal"/>
      <w:start w:val="10"/>
    </w:lvl>
    <w:lvl w:ilvl="1">
      <w:lvlJc w:val="left"/>
      <w:lvlText w:val="(%2)"/>
      <w:numFmt w:val="lowerLetter"/>
      <w:start w:val="1"/>
    </w:lvl>
  </w:abstractNum>
  <w:abstractNum w:abstractNumId="43">
    <w:nsid w:val="7644A45C"/>
    <w:multiLevelType w:val="hybridMultilevel"/>
    <w:lvl w:ilvl="0">
      <w:lvlJc w:val="left"/>
      <w:lvlText w:val="%1."/>
      <w:numFmt w:val="decimal"/>
      <w:start w:val="19"/>
    </w:lvl>
  </w:abstractNum>
  <w:abstractNum w:abstractNumId="44">
    <w:nsid w:val="32FFF902"/>
    <w:multiLevelType w:val="hybridMultilevel"/>
    <w:lvl w:ilvl="0">
      <w:lvlJc w:val="left"/>
      <w:lvlText w:val="%1"/>
      <w:numFmt w:val="decimal"/>
      <w:start w:val="1"/>
    </w:lvl>
    <w:lvl w:ilvl="1">
      <w:lvlJc w:val="left"/>
      <w:lvlText w:val="(%2)"/>
      <w:numFmt w:val="lowerLetter"/>
      <w:start w:val="2"/>
    </w:lvl>
  </w:abstractNum>
  <w:abstractNum w:abstractNumId="45">
    <w:nsid w:val="684A481A"/>
    <w:multiLevelType w:val="hybridMultilevel"/>
    <w:lvl w:ilvl="0">
      <w:lvlJc w:val="left"/>
      <w:lvlText w:val="%1."/>
      <w:numFmt w:val="decimal"/>
      <w:start w:val="20"/>
    </w:lvl>
    <w:lvl w:ilvl="1">
      <w:lvlJc w:val="left"/>
      <w:lvlText w:val="%2"/>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2020-07-31T08:18:19Z</dcterms:created>
  <dcterms:modified xsi:type="dcterms:W3CDTF">2020-07-31T08:18:19Z</dcterms:modified>
</cp:coreProperties>
</file>