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right="20" w:firstLine="8"/>
        <w:spacing w:after="0" w:line="270" w:lineRule="auto"/>
        <w:tabs>
          <w:tab w:leader="none" w:pos="37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30, 2022</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ind w:firstLine="8"/>
        <w:spacing w:after="0" w:line="255" w:lineRule="auto"/>
        <w:tabs>
          <w:tab w:leader="none" w:pos="35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TRANSITION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transition period from __ to __</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001-08106</w:t>
      </w:r>
    </w:p>
    <w:p>
      <w:pPr>
        <w:spacing w:after="0" w:line="2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43180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120"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2120" w:type="dxa"/>
            <w:vAlign w:val="bottom"/>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65-0829355</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(State or other jurisdiction of incorporation or organization)</w:t>
            </w:r>
          </w:p>
        </w:tc>
        <w:tc>
          <w:tcPr>
            <w:tcW w:w="2120" w:type="dxa"/>
            <w:vAlign w:val="bottom"/>
          </w:tcPr>
          <w:p>
            <w:pPr>
              <w:jc w:val="center"/>
              <w:ind w:left="26"/>
              <w:spacing w:after="0"/>
              <w:rPr>
                <w:sz w:val="20"/>
                <w:szCs w:val="20"/>
                <w:color w:val="auto"/>
              </w:rPr>
            </w:pPr>
            <w:r>
              <w:rPr>
                <w:rFonts w:ascii="Times New Roman" w:cs="Times New Roman" w:eastAsia="Times New Roman" w:hAnsi="Times New Roman"/>
                <w:sz w:val="13"/>
                <w:szCs w:val="13"/>
                <w:b w:val="1"/>
                <w:bCs w:val="1"/>
                <w:i w:val="1"/>
                <w:iCs w:val="1"/>
                <w:color w:val="auto"/>
              </w:rPr>
              <w:t>(I.R.S. Employer Identification No.)</w:t>
            </w:r>
          </w:p>
        </w:tc>
      </w:tr>
      <w:tr>
        <w:trPr>
          <w:trHeight w:val="373"/>
        </w:trPr>
        <w:tc>
          <w:tcPr>
            <w:tcW w:w="6180" w:type="dxa"/>
            <w:vAlign w:val="bottom"/>
          </w:tcPr>
          <w:p>
            <w:pPr>
              <w:jc w:val="center"/>
              <w:ind w:right="2764"/>
              <w:spacing w:after="0"/>
              <w:rPr>
                <w:sz w:val="20"/>
                <w:szCs w:val="20"/>
                <w:color w:val="auto"/>
              </w:rPr>
            </w:pPr>
            <w:r>
              <w:rPr>
                <w:rFonts w:ascii="Times New Roman" w:cs="Times New Roman" w:eastAsia="Times New Roman" w:hAnsi="Times New Roman"/>
                <w:sz w:val="16"/>
                <w:szCs w:val="16"/>
                <w:b w:val="1"/>
                <w:bCs w:val="1"/>
                <w:color w:val="auto"/>
              </w:rPr>
              <w:t>800 S. Douglas Road, 12th Floor</w:t>
            </w:r>
          </w:p>
        </w:tc>
        <w:tc>
          <w:tcPr>
            <w:tcW w:w="2120" w:type="dxa"/>
            <w:vAlign w:val="bottom"/>
          </w:tcPr>
          <w:p>
            <w:pPr>
              <w:spacing w:after="0"/>
              <w:rPr>
                <w:sz w:val="24"/>
                <w:szCs w:val="24"/>
                <w:color w:val="auto"/>
              </w:rPr>
            </w:pPr>
          </w:p>
        </w:tc>
      </w:tr>
      <w:tr>
        <w:trPr>
          <w:trHeight w:val="216"/>
        </w:trPr>
        <w:tc>
          <w:tcPr>
            <w:tcW w:w="61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(Address of principal executive offices)</w:t>
            </w:r>
          </w:p>
        </w:tc>
        <w:tc>
          <w:tcPr>
            <w:tcW w:w="2120" w:type="dxa"/>
            <w:vAlign w:val="bottom"/>
          </w:tcPr>
          <w:p>
            <w:pPr>
              <w:jc w:val="center"/>
              <w:ind w:left="46"/>
              <w:spacing w:after="0"/>
              <w:rPr>
                <w:sz w:val="20"/>
                <w:szCs w:val="20"/>
                <w:color w:val="auto"/>
              </w:rPr>
            </w:pPr>
            <w:r>
              <w:rPr>
                <w:rFonts w:ascii="Times New Roman" w:cs="Times New Roman" w:eastAsia="Times New Roman" w:hAnsi="Times New Roman"/>
                <w:sz w:val="13"/>
                <w:szCs w:val="13"/>
                <w:b w:val="1"/>
                <w:bCs w:val="1"/>
                <w:i w:val="1"/>
                <w:iCs w:val="1"/>
                <w:color w:val="auto"/>
              </w:rPr>
              <w:t>(Zip Code)</w:t>
            </w:r>
          </w:p>
        </w:tc>
      </w:tr>
      <w:tr>
        <w:trPr>
          <w:trHeight w:val="271"/>
        </w:trPr>
        <w:tc>
          <w:tcPr>
            <w:tcW w:w="6180" w:type="dxa"/>
            <w:vAlign w:val="bottom"/>
          </w:tcPr>
          <w:p>
            <w:pPr>
              <w:jc w:val="right"/>
              <w:ind w:right="1104"/>
              <w:spacing w:after="0"/>
              <w:rPr>
                <w:sz w:val="20"/>
                <w:szCs w:val="20"/>
                <w:color w:val="auto"/>
              </w:rPr>
            </w:pPr>
            <w:r>
              <w:rPr>
                <w:rFonts w:ascii="Times New Roman" w:cs="Times New Roman" w:eastAsia="Times New Roman" w:hAnsi="Times New Roman"/>
                <w:sz w:val="16"/>
                <w:szCs w:val="16"/>
                <w:b w:val="1"/>
                <w:bCs w:val="1"/>
                <w:color w:val="auto"/>
              </w:rPr>
              <w:t>(305) 599-1800</w:t>
            </w:r>
          </w:p>
        </w:tc>
        <w:tc>
          <w:tcPr>
            <w:tcW w:w="2120" w:type="dxa"/>
            <w:vAlign w:val="bottom"/>
          </w:tcPr>
          <w:p>
            <w:pPr>
              <w:spacing w:after="0"/>
              <w:rPr>
                <w:sz w:val="23"/>
                <w:szCs w:val="23"/>
                <w:color w:val="auto"/>
              </w:rPr>
            </w:pPr>
          </w:p>
        </w:tc>
      </w:tr>
      <w:tr>
        <w:trPr>
          <w:trHeight w:val="192"/>
        </w:trPr>
        <w:tc>
          <w:tcPr>
            <w:tcW w:w="6180" w:type="dxa"/>
            <w:vAlign w:val="bottom"/>
          </w:tcPr>
          <w:p>
            <w:pPr>
              <w:jc w:val="center"/>
              <w:ind w:left="2704"/>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2120" w:type="dxa"/>
            <w:vAlign w:val="bottom"/>
          </w:tcPr>
          <w:p>
            <w:pPr>
              <w:spacing w:after="0"/>
              <w:rPr>
                <w:sz w:val="16"/>
                <w:szCs w:val="16"/>
                <w:color w:val="auto"/>
              </w:rPr>
            </w:pPr>
          </w:p>
        </w:tc>
      </w:tr>
    </w:tbl>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9" w:lineRule="exact"/>
        <w:rPr>
          <w:sz w:val="24"/>
          <w:szCs w:val="24"/>
          <w:color w:val="auto"/>
        </w:rPr>
      </w:pPr>
    </w:p>
    <w:tbl>
      <w:tblPr>
        <w:tblLayout w:type="fixed"/>
        <w:tblInd w:w="1420" w:type="dxa"/>
        <w:tblCellMar>
          <w:top w:w="0" w:type="dxa"/>
          <w:left w:w="0" w:type="dxa"/>
          <w:bottom w:w="0" w:type="dxa"/>
          <w:right w:w="0" w:type="dxa"/>
        </w:tblCellMar>
      </w:tblPr>
      <w:tr>
        <w:trPr>
          <w:trHeight w:val="152"/>
        </w:trPr>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300" w:type="dxa"/>
            <w:vAlign w:val="bottom"/>
          </w:tcPr>
          <w:p>
            <w:pPr>
              <w:spacing w:after="0"/>
              <w:rPr>
                <w:sz w:val="13"/>
                <w:szCs w:val="13"/>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0"/>
        </w:trPr>
        <w:tc>
          <w:tcPr>
            <w:tcW w:w="3660" w:type="dxa"/>
            <w:vAlign w:val="bottom"/>
            <w:gridSpan w:val="3"/>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Common Stock, $0.10 Par Value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MTZ</w:t>
            </w:r>
          </w:p>
        </w:tc>
        <w:tc>
          <w:tcPr>
            <w:tcW w:w="13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384" w:lineRule="exact"/>
        <w:rPr>
          <w:sz w:val="24"/>
          <w:szCs w:val="24"/>
          <w:color w:val="auto"/>
        </w:rPr>
      </w:pPr>
    </w:p>
    <w:p>
      <w:pPr>
        <w:jc w:val="both"/>
        <w:ind w:firstLine="2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8" w:lineRule="exact"/>
        <w:rPr>
          <w:sz w:val="24"/>
          <w:szCs w:val="24"/>
          <w:color w:val="auto"/>
        </w:rPr>
      </w:pPr>
    </w:p>
    <w:p>
      <w:pPr>
        <w:jc w:val="both"/>
        <w:ind w:firstLine="171"/>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jc w:val="both"/>
        <w:ind w:firstLine="173"/>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6" w:lineRule="exact"/>
        <w:rPr>
          <w:sz w:val="24"/>
          <w:szCs w:val="24"/>
          <w:color w:val="auto"/>
        </w:rPr>
      </w:pPr>
    </w:p>
    <w:tbl>
      <w:tblPr>
        <w:tblLayout w:type="fixed"/>
        <w:tblInd w:w="8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2" w:lineRule="exact"/>
        <w:rPr>
          <w:sz w:val="24"/>
          <w:szCs w:val="24"/>
          <w:color w:val="auto"/>
        </w:rPr>
      </w:pPr>
    </w:p>
    <w:p>
      <w:pPr>
        <w:ind w:right="420" w:firstLine="162"/>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160" w:right="3300" w:firstLine="9"/>
        <w:spacing w:after="0" w:line="26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 2022, MasTec, Inc. had 75,539,990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QUARTER ENDED JUNE 30, 2022</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96"/>
        </w:trPr>
        <w:tc>
          <w:tcPr>
            <w:tcW w:w="24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Part I. FINANCIAL INFORMATION</w:t>
            </w:r>
          </w:p>
        </w:tc>
        <w:tc>
          <w:tcPr>
            <w:tcW w:w="8160" w:type="dxa"/>
            <w:vAlign w:val="bottom"/>
            <w:gridSpan w:val="11"/>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6080" w:type="dxa"/>
            <w:vAlign w:val="bottom"/>
            <w:gridSpan w:val="4"/>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6080" w:type="dxa"/>
            <w:vAlign w:val="bottom"/>
            <w:gridSpan w:val="4"/>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Equity</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6860" w:type="dxa"/>
            <w:vAlign w:val="bottom"/>
            <w:gridSpan w:val="5"/>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8</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2</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41</w:t>
            </w: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5540" w:type="dxa"/>
            <w:vAlign w:val="bottom"/>
            <w:tcBorders>
              <w:left w:val="single" w:sz="8" w:color="0000FF"/>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42</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06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43</w:t>
            </w:r>
          </w:p>
        </w:tc>
      </w:tr>
      <w:tr>
        <w:trPr>
          <w:trHeight w:val="20"/>
        </w:trPr>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43</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tcBorders>
              <w:left w:val="single" w:sz="8" w:color="0000FF"/>
            </w:tcBorders>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Item 1A</w:t>
            </w:r>
          </w:p>
        </w:tc>
        <w:tc>
          <w:tcPr>
            <w:tcW w:w="440" w:type="dxa"/>
            <w:vAlign w:val="bottom"/>
            <w:gridSpan w:val="2"/>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43</w:t>
            </w: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43</w:t>
            </w:r>
          </w:p>
        </w:tc>
      </w:tr>
      <w:tr>
        <w:trPr>
          <w:trHeight w:val="20"/>
        </w:trPr>
        <w:tc>
          <w:tcPr>
            <w:tcW w:w="2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720" w:type="dxa"/>
            <w:vAlign w:val="bottom"/>
            <w:tcBorders>
              <w:left w:val="single" w:sz="8" w:color="0000FF"/>
            </w:tcBorders>
            <w:gridSpan w:val="10"/>
            <w:shd w:val="clear" w:color="auto" w:fill="0000FF"/>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3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43</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5</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43</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26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6</w:t>
            </w:r>
          </w:p>
        </w:tc>
        <w:tc>
          <w:tcPr>
            <w:tcW w:w="560" w:type="dxa"/>
            <w:vAlign w:val="bottom"/>
            <w:gridSpan w:val="3"/>
          </w:tcPr>
          <w:p>
            <w:pPr>
              <w:spacing w:after="0"/>
              <w:rPr>
                <w:sz w:val="17"/>
                <w:szCs w:val="17"/>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Exhibits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44</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45</w:t>
            </w:r>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76200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3" w:right="479" w:bottom="1440" w:gutter="0" w:footer="0" w:header="0"/>
        </w:sectPr>
      </w:pPr>
    </w:p>
    <w:bookmarkStart w:id="2" w:name="page3"/>
    <w:bookmarkEnd w:id="2"/>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PART I.</w:t>
        <w:tab/>
        <w:t>FINANCIAL INFORMATION</w:t>
      </w:r>
    </w:p>
    <w:p>
      <w:pPr>
        <w:spacing w:after="0" w:line="2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per share amounts)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4"/>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r>
      <w:tr>
        <w:trPr>
          <w:trHeight w:val="210"/>
        </w:trPr>
        <w:tc>
          <w:tcPr>
            <w:tcW w:w="6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2,301,792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1,962,658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4,256,192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3,738,082</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3,761,427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3,189,091</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166,766</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31,170</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152,093</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26,288</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(14,871)</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(10,711)</w:t>
            </w:r>
          </w:p>
        </w:tc>
      </w:tr>
      <w:tr>
        <w:trPr>
          <w:trHeight w:val="212"/>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198,256</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(56,379)</w:t>
            </w:r>
          </w:p>
        </w:tc>
      </w:tr>
      <w:tr>
        <w:trPr>
          <w:trHeight w:val="212"/>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141,877</w:t>
            </w:r>
          </w:p>
        </w:tc>
      </w:tr>
      <w:tr>
        <w:trPr>
          <w:trHeight w:val="20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MasTec,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141,100</w:t>
            </w:r>
          </w:p>
        </w:tc>
      </w:tr>
      <w:tr>
        <w:trPr>
          <w:trHeight w:val="239"/>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 (Note 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74,445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72,470</w:t>
            </w:r>
          </w:p>
        </w:tc>
      </w:tr>
      <w:tr>
        <w:trPr>
          <w:trHeight w:val="145"/>
        </w:trPr>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6"/>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0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75,537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73,976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74,647</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73,913</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4"/>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r>
      <w:tr>
        <w:trPr>
          <w:trHeight w:val="209"/>
        </w:trPr>
        <w:tc>
          <w:tcPr>
            <w:tcW w:w="6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141,877</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(losses) gains, net of tax</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13"/>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Unrealized gains (losses) on investment activity, net of tax</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21,597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10,374</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73,143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153,465</w:t>
            </w:r>
          </w:p>
        </w:tc>
      </w:tr>
      <w:tr>
        <w:trPr>
          <w:trHeight w:val="207"/>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0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Comprehensive income attributable to MasTec,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152,688</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360,736</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1,014,616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1,019,324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1,519,387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1,227,927</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91,488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154,108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81,884</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3,057,222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2,873,954</w:t>
            </w:r>
          </w:p>
        </w:tc>
        <w:tc>
          <w:tcPr>
            <w:tcW w:w="0" w:type="dxa"/>
            <w:vAlign w:val="bottom"/>
          </w:tcPr>
          <w:p>
            <w:pPr>
              <w:spacing w:after="0"/>
              <w:rPr>
                <w:sz w:val="1"/>
                <w:szCs w:val="1"/>
                <w:color w:val="auto"/>
              </w:rPr>
            </w:pPr>
          </w:p>
        </w:tc>
      </w:tr>
      <w:tr>
        <w:trPr>
          <w:trHeight w:val="207"/>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1,571,828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1,436,087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260,410</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1,484,600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1,520,575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670,280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371,234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360,087</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7,404,686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7,121,393</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151,987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137,912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95,426</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663,063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203,141</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229,936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313,965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124,599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141,155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1,897,690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1,784,598</w:t>
            </w:r>
          </w:p>
        </w:tc>
        <w:tc>
          <w:tcPr>
            <w:tcW w:w="0" w:type="dxa"/>
            <w:vAlign w:val="bottom"/>
          </w:tcPr>
          <w:p>
            <w:pPr>
              <w:spacing w:after="0"/>
              <w:rPr>
                <w:sz w:val="1"/>
                <w:szCs w:val="1"/>
                <w:color w:val="auto"/>
              </w:rPr>
            </w:pPr>
          </w:p>
        </w:tc>
      </w:tr>
      <w:tr>
        <w:trPr>
          <w:trHeight w:val="207"/>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2,118,084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1,876,233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176,378</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450,361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289,962</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4,919,744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4,577,532</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Commitments and contingencies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Note 14</w:t>
            </w: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1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$0.10 par value: authorized shares - 145,000,000; issued shares - 95,491,405 and 95,371,211 (including</w:t>
            </w: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9,549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9,537</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1,686,822 and 1,747,385 of unvested stock awards) as of June 30, 2022 and December 31, 2021, respectively</w:t>
            </w: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1,049,576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1,033,615</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2,143,622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2,162,388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(78,776)</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at cost: 19,933,055 and 18,941,926 shares as of June 30, 2022 and December 31, 2021, respectively</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(663,910)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(586,955)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2,480,828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2,539,809</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2,484,942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2,543,861</w:t>
            </w:r>
          </w:p>
        </w:tc>
        <w:tc>
          <w:tcPr>
            <w:tcW w:w="0" w:type="dxa"/>
            <w:vAlign w:val="bottom"/>
          </w:tcPr>
          <w:p>
            <w:pPr>
              <w:spacing w:after="0"/>
              <w:rPr>
                <w:sz w:val="1"/>
                <w:szCs w:val="1"/>
                <w:color w:val="auto"/>
              </w:rPr>
            </w:pPr>
          </w:p>
        </w:tc>
      </w:tr>
      <w:tr>
        <w:trPr>
          <w:trHeight w:val="20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7,404,686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7,121,393</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540" w:type="dxa"/>
            <w:vAlign w:val="bottom"/>
            <w:gridSpan w:val="4"/>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2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19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For the Three Months</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Ended June 30, 2022</w:t>
            </w: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9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March 31,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95,488,017</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9,549</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(19,129,904)</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(600,746)</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1,035,902</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2,127,410</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(64,109)</w:t>
            </w: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2,508,006</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$2,512,077</w:t>
            </w: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16,255</w:t>
            </w: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Non-cash stock-based</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6,836</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restricted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treasury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at cost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(936,308)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(67,500)</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shares in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133,157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11,222</w:t>
            </w:r>
          </w:p>
        </w:tc>
        <w:tc>
          <w:tcPr>
            <w:tcW w:w="0" w:type="dxa"/>
            <w:vAlign w:val="bottom"/>
          </w:tcPr>
          <w:p>
            <w:pPr>
              <w:spacing w:after="0"/>
              <w:rPr>
                <w:sz w:val="1"/>
                <w:szCs w:val="1"/>
                <w:color w:val="auto"/>
              </w:rPr>
            </w:pPr>
          </w:p>
        </w:tc>
      </w:tr>
      <w:tr>
        <w:trPr>
          <w:trHeight w:val="204"/>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95,491,405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9,549</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(19,933,055)</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(663,910)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1,049,576</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2,143,622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(58,009)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2,480,828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$2,484,942</w:t>
            </w:r>
          </w:p>
        </w:tc>
        <w:tc>
          <w:tcPr>
            <w:tcW w:w="0" w:type="dxa"/>
            <w:vAlign w:val="bottom"/>
          </w:tcPr>
          <w:p>
            <w:pPr>
              <w:spacing w:after="0"/>
              <w:rPr>
                <w:sz w:val="1"/>
                <w:szCs w:val="1"/>
                <w:color w:val="auto"/>
              </w:rPr>
            </w:pPr>
          </w:p>
        </w:tc>
      </w:tr>
      <w:tr>
        <w:trPr>
          <w:trHeight w:val="242"/>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Ended June 30, 2021</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Balance as of March 31,</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93,253,268</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(18,941,926)</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(586,955)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840,567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1,899,206</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2,084,909</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$2,088,975</w:t>
            </w:r>
          </w:p>
        </w:tc>
        <w:tc>
          <w:tcPr>
            <w:tcW w:w="0" w:type="dxa"/>
            <w:vAlign w:val="bottom"/>
          </w:tcPr>
          <w:p>
            <w:pPr>
              <w:spacing w:after="0"/>
              <w:rPr>
                <w:sz w:val="1"/>
                <w:szCs w:val="1"/>
                <w:color w:val="auto"/>
              </w:rPr>
            </w:pPr>
          </w:p>
        </w:tc>
      </w:tr>
      <w:tr>
        <w:trPr>
          <w:trHeight w:val="221"/>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75,765</w:t>
            </w:r>
          </w:p>
        </w:tc>
        <w:tc>
          <w:tcPr>
            <w:tcW w:w="0" w:type="dxa"/>
            <w:vAlign w:val="bottom"/>
          </w:tcPr>
          <w:p>
            <w:pPr>
              <w:spacing w:after="0"/>
              <w:rPr>
                <w:sz w:val="1"/>
                <w:szCs w:val="1"/>
                <w:color w:val="auto"/>
              </w:rPr>
            </w:pPr>
          </w:p>
        </w:tc>
      </w:tr>
      <w:tr>
        <w:trPr>
          <w:trHeight w:val="246"/>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restricted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non-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w:t>
            </w:r>
          </w:p>
        </w:tc>
        <w:tc>
          <w:tcPr>
            <w:tcW w:w="0" w:type="dxa"/>
            <w:vAlign w:val="bottom"/>
          </w:tcPr>
          <w:p>
            <w:pPr>
              <w:spacing w:after="0"/>
              <w:rPr>
                <w:sz w:val="1"/>
                <w:szCs w:val="1"/>
                <w:color w:val="auto"/>
              </w:rPr>
            </w:pPr>
          </w:p>
        </w:tc>
      </w:tr>
      <w:tr>
        <w:trPr>
          <w:trHeight w:val="207"/>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93,256,202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9,326</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(18,941,926)</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(586,955)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841,190</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1,974,657</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(79,856)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2,158,362</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$2,161,369</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5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2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19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9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December 31,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95,371,211</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9,537</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(18,941,926)</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(586,955)</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1,033,615</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2,162,388</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w w:val="98"/>
              </w:rPr>
              <w:t>(78,776)</w:t>
            </w: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2,539,809</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$2,543,861</w:t>
            </w: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(18,704)</w:t>
            </w: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w w:val="99"/>
              </w:rPr>
              <w:t>20,767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20,767</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restricted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(48,568)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(4,085)</w:t>
            </w: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treasury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at cost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(1,124,286)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(81,291)</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shares in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133,157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11,222</w:t>
            </w:r>
          </w:p>
        </w:tc>
        <w:tc>
          <w:tcPr>
            <w:tcW w:w="0" w:type="dxa"/>
            <w:vAlign w:val="bottom"/>
          </w:tcPr>
          <w:p>
            <w:pPr>
              <w:spacing w:after="0"/>
              <w:rPr>
                <w:sz w:val="1"/>
                <w:szCs w:val="1"/>
                <w:color w:val="auto"/>
              </w:rPr>
            </w:pPr>
          </w:p>
        </w:tc>
      </w:tr>
      <w:tr>
        <w:trPr>
          <w:trHeight w:val="207"/>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95,491,405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9,549</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(19,933,055)</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(663,910)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1,049,576</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2,143,622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8"/>
              </w:rPr>
              <w:t>(58,009)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2,480,828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$2,484,942</w:t>
            </w:r>
          </w:p>
        </w:tc>
        <w:tc>
          <w:tcPr>
            <w:tcW w:w="0" w:type="dxa"/>
            <w:vAlign w:val="bottom"/>
          </w:tcPr>
          <w:p>
            <w:pPr>
              <w:spacing w:after="0"/>
              <w:rPr>
                <w:sz w:val="1"/>
                <w:szCs w:val="1"/>
                <w:color w:val="auto"/>
              </w:rPr>
            </w:pPr>
          </w:p>
        </w:tc>
      </w:tr>
      <w:tr>
        <w:trPr>
          <w:trHeight w:val="239"/>
        </w:trPr>
        <w:tc>
          <w:tcPr>
            <w:tcW w:w="19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Balance as of December 31,</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93,107,440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(18,941,926)</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(586,955)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837,453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1,833,557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w w:val="98"/>
              </w:rPr>
              <w:t>(91,444)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2,001,922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$2,005,525</w:t>
            </w:r>
          </w:p>
        </w:tc>
        <w:tc>
          <w:tcPr>
            <w:tcW w:w="0" w:type="dxa"/>
            <w:vAlign w:val="bottom"/>
          </w:tcPr>
          <w:p>
            <w:pPr>
              <w:spacing w:after="0"/>
              <w:rPr>
                <w:sz w:val="1"/>
                <w:szCs w:val="1"/>
                <w:color w:val="auto"/>
              </w:rPr>
            </w:pPr>
          </w:p>
        </w:tc>
      </w:tr>
      <w:tr>
        <w:trPr>
          <w:trHeight w:val="221"/>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141,877</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9"/>
              </w:rPr>
              <w:t>11,588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11,588</w:t>
            </w: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11,600</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restricted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stock issuances,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shares withheld for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non-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w:t>
            </w:r>
          </w:p>
        </w:tc>
        <w:tc>
          <w:tcPr>
            <w:tcW w:w="0" w:type="dxa"/>
            <w:vAlign w:val="bottom"/>
          </w:tcPr>
          <w:p>
            <w:pPr>
              <w:spacing w:after="0"/>
              <w:rPr>
                <w:sz w:val="1"/>
                <w:szCs w:val="1"/>
                <w:color w:val="auto"/>
              </w:rPr>
            </w:pPr>
          </w:p>
        </w:tc>
      </w:tr>
      <w:tr>
        <w:trPr>
          <w:trHeight w:val="207"/>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93,256,202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9,326</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(18,941,926)</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(586,955)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841,190</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1,974,657</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8"/>
              </w:rPr>
              <w:t>(79,856)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2,158,362</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$2,161,369</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141,877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166,766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(benefit from) deferred income taxes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(14,871)</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Gains on sales of assets,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interest expense,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non-cash items,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(7,836)</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Contract assets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 current and long-term portion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60,452</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liabilities, current and long-term portion</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w:t>
            </w:r>
          </w:p>
        </w:tc>
        <w:tc>
          <w:tcPr>
            <w:tcW w:w="20" w:type="dxa"/>
            <w:vAlign w:val="bottom"/>
            <w:tcBorders>
              <w:bottom w:val="single" w:sz="8" w:color="auto"/>
            </w:tcBorders>
            <w:shd w:val="clear" w:color="auto" w:fill="CCEEFF"/>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349,342</w:t>
            </w:r>
          </w:p>
        </w:tc>
        <w:tc>
          <w:tcPr>
            <w:tcW w:w="20" w:type="dxa"/>
            <w:vAlign w:val="bottom"/>
            <w:tcBorders>
              <w:bottom w:val="single" w:sz="8" w:color="auto"/>
            </w:tcBorders>
          </w:tcPr>
          <w:p>
            <w:pPr>
              <w:spacing w:after="0"/>
              <w:rPr>
                <w:sz w:val="17"/>
                <w:szCs w:val="17"/>
                <w:color w:val="auto"/>
              </w:rPr>
            </w:pPr>
          </w:p>
        </w:tc>
      </w:tr>
      <w:tr>
        <w:trPr>
          <w:trHeight w:val="199"/>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(589,055)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(97,029)</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20" w:type="dxa"/>
            <w:vAlign w:val="bottom"/>
            <w:shd w:val="clear" w:color="auto" w:fill="CCEEFF"/>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(220,021)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(676,114)</w:t>
            </w:r>
          </w:p>
        </w:tc>
        <w:tc>
          <w:tcPr>
            <w:tcW w:w="20" w:type="dxa"/>
            <w:vAlign w:val="bottom"/>
            <w:tcBorders>
              <w:top w:val="single" w:sz="8" w:color="auto"/>
              <w:bottom w:val="single" w:sz="8" w:color="auto"/>
            </w:tcBorders>
          </w:tcPr>
          <w:p>
            <w:pPr>
              <w:spacing w:after="0"/>
              <w:rPr>
                <w:sz w:val="17"/>
                <w:szCs w:val="17"/>
                <w:color w:val="auto"/>
              </w:rPr>
            </w:pPr>
          </w:p>
        </w:tc>
      </w:tr>
      <w:tr>
        <w:trPr>
          <w:trHeight w:val="199"/>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1,954,650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414,741</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Repayments of credit facilities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(161,375)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(76,630)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for acquisition-related contingent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to non-controlling interests, including acquisition of interests</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for stock-based awards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140,838</w:t>
            </w:r>
          </w:p>
        </w:tc>
        <w:tc>
          <w:tcPr>
            <w:tcW w:w="20" w:type="dxa"/>
            <w:vAlign w:val="bottom"/>
            <w:tcBorders>
              <w:bottom w:val="single" w:sz="8" w:color="auto"/>
            </w:tcBorders>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(185,847)</w:t>
            </w:r>
          </w:p>
        </w:tc>
        <w:tc>
          <w:tcPr>
            <w:tcW w:w="20" w:type="dxa"/>
            <w:vAlign w:val="bottom"/>
            <w:tcBorders>
              <w:bottom w:val="single" w:sz="8" w:color="auto"/>
            </w:tcBorders>
            <w:shd w:val="clear" w:color="auto" w:fill="CCEEFF"/>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423,118</w:t>
            </w:r>
          </w:p>
        </w:tc>
        <w:tc>
          <w:tcPr>
            <w:tcW w:w="20" w:type="dxa"/>
            <w:vAlign w:val="bottom"/>
            <w:tcBorders>
              <w:bottom w:val="single" w:sz="8" w:color="auto"/>
            </w:tcBorders>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237,271</w:t>
            </w:r>
          </w:p>
        </w:tc>
        <w:tc>
          <w:tcPr>
            <w:tcW w:w="20" w:type="dxa"/>
            <w:vAlign w:val="bottom"/>
            <w:tcBorders>
              <w:bottom w:val="single" w:sz="8" w:color="auto"/>
            </w:tcBorders>
            <w:shd w:val="clear" w:color="auto" w:fill="CCEEFF"/>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paid</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34,507</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28,401</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Additions to property and equipment from finance leases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98,984</w:t>
            </w:r>
          </w:p>
        </w:tc>
        <w:tc>
          <w:tcPr>
            <w:tcW w:w="20" w:type="dxa"/>
            <w:vAlign w:val="bottom"/>
          </w:tcPr>
          <w:p>
            <w:pPr>
              <w:spacing w:after="0"/>
              <w:rPr>
                <w:sz w:val="18"/>
                <w:szCs w:val="18"/>
                <w:color w:val="auto"/>
              </w:rPr>
            </w:pP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772" w:right="3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power delivery services, including transmission and distribution; wireless, wireline/fiber and customer fulfillment activities; power generation, primarily from clean energy and renewable sources; pipeline infrastructure, including natural gas pipeline and distribution infrastructure; heavy civil; and industrial infrastructure. MasTec’s customers are primarily in these industries. MasTec reports its results under five reportable segments: (1) Communications; (2) Clean Energy and Infrastructure; (3) Oil and Gas; (4) Power Delivery; and (5) Other. In the first quarter of 2022, the Company began integrating the acquisition of Henkels &amp; McCoy Holdings, Inc., formerly known as Henkels &amp; McCoy Group, Inc. (“HMG”), into its operations. The HMG acquisition was completed on December 30, 2021, with its initial balance sheet reported within the Company’s Power Delivery segment. During the first quarter of 2022, the Company reported portions of HMG’s operations within its Power Delivery, Communications and Oil and Gas segments, as appropriate, and HMG’s corporate functions within its Corporate results. Accordingly, HMG’s December 31, 2021 balance sheet information was recast to conform with the new reporting structure. See Note 13 - Segments and Related Information.</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2021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2021 contained in the Company’s 2021 Annual Report on Form 10-K (the “2021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with the current period presentation, including for the first quarter 2022 change in segment balance sheet information for HMG, as discussed above. In addition, in the fourth quarter of 2021, the Company updated its presentation of gains or losses, net, from the sale of property and equipment to include such amounts within general and administrative expenses. Previously, such gains or losses were included within other income or expense.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other liabilities. Net income or loss attributable to non-controlling interests is reported as a separate line item below net income or loss. The Company applies the equity method of accounting for its investments in entities for which it does not have a controlling financial interest, but over which it has the ability to exert significant influence.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1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these consolidated financial statements, “$” means U.S. dollars unless otherwise noted.</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Management Estimates</w:t>
      </w:r>
    </w:p>
    <w:p>
      <w:pPr>
        <w:spacing w:after="0" w:line="117" w:lineRule="exact"/>
        <w:rPr>
          <w:sz w:val="20"/>
          <w:szCs w:val="20"/>
          <w:color w:val="auto"/>
        </w:rPr>
      </w:pPr>
    </w:p>
    <w:p>
      <w:pPr>
        <w:jc w:val="both"/>
        <w:ind w:firstLine="175"/>
        <w:spacing w:after="0" w:line="263"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macroeconomic trends and events, such as rising inflation and interest rate levels; climate-related matters; market, regulatory and industry factors; global events, such as the ongoing military conflict in Ukraine; and public health matters, such as the COVID-19 pandemic. These estimates form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jc w:val="both"/>
        <w:spacing w:after="0" w:line="272" w:lineRule="auto"/>
        <w:rPr>
          <w:sz w:val="20"/>
          <w:szCs w:val="20"/>
          <w:color w:val="auto"/>
        </w:rPr>
      </w:pPr>
      <w:r>
        <w:rPr>
          <w:rFonts w:ascii="Times New Roman" w:cs="Times New Roman" w:eastAsia="Times New Roman" w:hAnsi="Times New Roman"/>
          <w:sz w:val="16"/>
          <w:szCs w:val="16"/>
          <w:color w:val="auto"/>
        </w:rPr>
        <w:t>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spacing w:after="0" w:line="6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and other assets, acquisition-related contingent consideration and other liabilities, equity investments and long-lived assets; allowances for credit losses; asset lives used in computing depreciation and amortization; fair values of financial instruments; self-insurance liabilities; other accruals and allowances; income taxes; and the estimated effects of litigation and other contingencies.</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General Economic Conditions, including the Effects of COVID-19</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Company has experienced, and may continue to experience, direct and indirect negative effects on its business and operations from negative economic conditions, including recent inflationary effects on fuel prices, labor and materials costs, rising interest rates and supply chain disruptions that have limited the availability of products. The Company may also experience negative effects from possible longer-term changes in consumer and customer behavior resulting from the effects of the COVID-19 pandemic. The COVID-19 pandemic disrupted business activities and global economic conditions beginning in 2020 and has negatively affected the Company’s operations during the same period. The Company has taken steps to mitigate the effects of the COVID-19 pandemic on its business, and its business model has, thus far, proven resilient. While the adverse effects of the COVID-19 pandemic have begun to subside, its effects vary by region, and uncertainties arising from the COVID-19 pandemic could continue to disrupt economic conditions and business activities, particularly as new variants arise. The extent to which general economic conditions and the COVID-19 pandemic, including its emerging variants, could affect the Company’s business, operations and financial results is uncertain as it will depend upon numerous evolving factors that management may not be able to accurately predict, and, therefore, any future impacts on the Company’s business, financial condition and/or results of operations cannot be quantified or predicted with specificity.</w:t>
      </w:r>
    </w:p>
    <w:p>
      <w:pPr>
        <w:spacing w:after="0" w:line="8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Coronavirus Aid, Relief and Economic Security Act (the “CARES Act”), which was enacted in response to the effects of the COVID-19 pandemic, permitted deferral and/or reduction of certain federal and payroll tax amounts, certain of which the Company pursued. As of June 30, 2022, payroll tax deferrals under the CARES Act, the amount of which is due by December 31, 2022, totaled approximately $42 million.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and other service agreements, which generally provide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54% and 32% of consolidated revenue for the three month periods ended June 30, 2022 and 2021, respectively, and totaled 56% and 31% for the six month periods ended June 30, 2022 and 2021, respectively.</w:t>
      </w:r>
    </w:p>
    <w:p>
      <w:pPr>
        <w:spacing w:after="0" w:line="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certain master service and other service agreements, revenue is recognized at a point in time, primarily for install-to-the-home and certain other wireless services in the Company’s Communications segment. This is generally when the work order has been fulfilled, which is typically the same day the work is initiated. Point in time revenue accounted for approximately 4% of consolidated revenue in each of the three and six month periods ended June 30, 2022 and 2021. Substantially all of the Company’s other revenue is recognized over time.</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total contract transaction price and cost estimation processes used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six month periods ended June 30, 2022 and 2021, project profit was affected by less than 5% as a result of changes in contract estimates included in projects that were in process as of December 31, 2021 and 2020. Changes in recognized revenue, net, as a result of changes in total contract transaction price estimates, including from variable consideration, from performance obligations satisfied or partially satisfied in prior periods, for the three month periods ended June 30, 2022 and 2021, totaled a net reduction of approximately $0.6 million and a net increase of approximately $30.5 million, respectively. For the six month periods ended June 30, 2022 and 2021, such changes totaled net increases of approximately $8.8 million and $37.0 million, respectively.</w:t>
      </w:r>
    </w:p>
    <w:p>
      <w:pPr>
        <w:spacing w:after="0" w:line="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The transaction price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 is allocated to each distinct performance obligation and recognized as revenue when or as the performance obligation is satisfied. The vast majority of the Company’s performance obligations are completed within one year.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June 30, 2022, the amount of the Company’s remaining performance obligations was $ 5.2 billion. Based on current expectations, the Company anticipates it will recognize approximately $2.8 billion of its remaining performance obligations as revenue during 2022, with the majority of the remaining balance expected to be recognized in 2023.</w:t>
      </w:r>
    </w:p>
    <w:p>
      <w:pPr>
        <w:spacing w:after="0" w:line="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June 30, 2022 and December 31, 2021, the Company included approximately $165 million and $104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June 30, 2022 and December 31, 2021, these change orders and/or claims primarily related to certain projects in the Company’s Clean Energy and Infrastructure and Power Delivery segments.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discussion below describes the effects of recent accounting pronouncements, as updated from the discussion in the Company’s 2021 Form 10-K.</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October 2021, the Financial Accounting Standards Board (“FASB”) issued Accounting Standards Update (“ASU”) 2021-08, </w:t>
      </w:r>
      <w:r>
        <w:rPr>
          <w:rFonts w:ascii="Times New Roman" w:cs="Times New Roman" w:eastAsia="Times New Roman" w:hAnsi="Times New Roman"/>
          <w:sz w:val="16"/>
          <w:szCs w:val="16"/>
          <w:i w:val="1"/>
          <w:iCs w:val="1"/>
          <w:color w:val="auto"/>
        </w:rPr>
        <w:t>Business Combinations (Topic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805): Accounting for Contract Assets and Contract Liabilities from Contracts with Customers </w:t>
      </w:r>
      <w:r>
        <w:rPr>
          <w:rFonts w:ascii="Times New Roman" w:cs="Times New Roman" w:eastAsia="Times New Roman" w:hAnsi="Times New Roman"/>
          <w:sz w:val="16"/>
          <w:szCs w:val="16"/>
          <w:color w:val="auto"/>
        </w:rPr>
        <w:t>(“ASU 2021-08”) to improve consistency for revenue recognition in the post-acquisition period for acquired contracts as compared to contracts entered into subsequent to acquisition. ASU 2021-08 requires an acquirer to recognize and measure contract assets and contract liabilities acquired in a business combination in accordance with Topic 606, Revenue from Contracts with Customers, rather than at fair value. ASU 2021-08 is effective for fiscal years, and for interim periods within those fiscal years, beginning after December 15, 2022, with early adoption permitted. The Company does not expect that this ASU will have a material effect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 For the six month period ended June 30, 2022, the Company reported a net loss, which resulted in the exclusion of approximately 1,173,000 weighted average common stock equivalents from the calculation of diluted net loss per share for the related period.</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34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4"/>
        </w:trPr>
        <w:tc>
          <w:tcPr>
            <w:tcW w:w="4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9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r>
      <w:tr>
        <w:trPr>
          <w:trHeight w:val="19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MasTec:</w:t>
            </w: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9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Net income (loss) - basic </w:t>
            </w:r>
            <w:r>
              <w:rPr>
                <w:rFonts w:ascii="Times New Roman" w:cs="Times New Roman" w:eastAsia="Times New Roman" w:hAnsi="Times New Roman"/>
                <w:sz w:val="21"/>
                <w:szCs w:val="21"/>
                <w:color w:val="auto"/>
                <w:vertAlign w:val="superscript"/>
              </w:rPr>
              <w:t>(a)</w:t>
            </w:r>
          </w:p>
        </w:tc>
        <w:tc>
          <w:tcPr>
            <w:tcW w:w="19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16,212</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141,100</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Fair value gain (loss) related to resolved contingent payments </w:t>
            </w:r>
            <w:r>
              <w:rPr>
                <w:rFonts w:ascii="Times New Roman" w:cs="Times New Roman" w:eastAsia="Times New Roman" w:hAnsi="Times New Roman"/>
                <w:sz w:val="21"/>
                <w:szCs w:val="21"/>
                <w:color w:val="auto"/>
                <w:vertAlign w:val="superscript"/>
              </w:rPr>
              <w:t>(b)</w:t>
            </w:r>
          </w:p>
        </w:tc>
        <w:tc>
          <w:tcPr>
            <w:tcW w:w="19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6"/>
        </w:trPr>
        <w:tc>
          <w:tcPr>
            <w:tcW w:w="49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Net income (loss) - diluted </w:t>
            </w:r>
            <w:r>
              <w:rPr>
                <w:rFonts w:ascii="Times New Roman" w:cs="Times New Roman" w:eastAsia="Times New Roman" w:hAnsi="Times New Roman"/>
                <w:sz w:val="21"/>
                <w:szCs w:val="21"/>
                <w:color w:val="auto"/>
                <w:vertAlign w:val="superscript"/>
              </w:rPr>
              <w:t>(a)</w:t>
            </w:r>
          </w:p>
        </w:tc>
        <w:tc>
          <w:tcPr>
            <w:tcW w:w="19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141,100</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Weighted average shares outstanding - basic</w:t>
            </w:r>
            <w:r>
              <w:rPr>
                <w:rFonts w:ascii="Times New Roman" w:cs="Times New Roman" w:eastAsia="Times New Roman" w:hAnsi="Times New Roman"/>
                <w:sz w:val="21"/>
                <w:szCs w:val="21"/>
                <w:color w:val="auto"/>
                <w:vertAlign w:val="superscript"/>
              </w:rPr>
              <w:t>(c)</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72,470</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Dilutive common stock equivalents </w:t>
            </w:r>
            <w:r>
              <w:rPr>
                <w:rFonts w:ascii="Times New Roman" w:cs="Times New Roman" w:eastAsia="Times New Roman" w:hAnsi="Times New Roman"/>
                <w:sz w:val="21"/>
                <w:szCs w:val="21"/>
                <w:color w:val="auto"/>
                <w:vertAlign w:val="superscript"/>
              </w:rPr>
              <w:t>(d)(e)</w:t>
            </w:r>
          </w:p>
        </w:tc>
        <w:tc>
          <w:tcPr>
            <w:tcW w:w="1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20" w:type="dxa"/>
            <w:vAlign w:val="bottom"/>
          </w:tcPr>
          <w:p>
            <w:pPr>
              <w:spacing w:after="0"/>
              <w:rPr>
                <w:sz w:val="18"/>
                <w:szCs w:val="18"/>
                <w:color w:val="auto"/>
              </w:rPr>
            </w:pPr>
          </w:p>
        </w:tc>
      </w:tr>
      <w:tr>
        <w:trPr>
          <w:trHeight w:val="204"/>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1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75,537</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73,976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74,647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73,913</w:t>
            </w:r>
          </w:p>
        </w:tc>
        <w:tc>
          <w:tcPr>
            <w:tcW w:w="20" w:type="dxa"/>
            <w:vAlign w:val="bottom"/>
          </w:tcPr>
          <w:p>
            <w:pPr>
              <w:spacing w:after="0"/>
              <w:rPr>
                <w:sz w:val="17"/>
                <w:szCs w:val="17"/>
                <w:color w:val="auto"/>
              </w:rPr>
            </w:pPr>
          </w:p>
        </w:tc>
      </w:tr>
      <w:tr>
        <w:trPr>
          <w:trHeight w:val="871"/>
        </w:trPr>
        <w:tc>
          <w:tcPr>
            <w:tcW w:w="4920" w:type="dxa"/>
            <w:vAlign w:val="bottom"/>
          </w:tcPr>
          <w:p>
            <w:pPr>
              <w:spacing w:after="0"/>
              <w:rPr>
                <w:sz w:val="24"/>
                <w:szCs w:val="24"/>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9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ind w:left="340" w:hanging="332"/>
        <w:spacing w:after="0" w:line="262" w:lineRule="auto"/>
        <w:tabs>
          <w:tab w:leader="none" w:pos="3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basic net income, calculated as total net income or loss less amounts attributable to non-controlling interests. For diluted net income, calculated as total net income or loss, less amounts attributable to non-controlling interests, adjusted for the fair value gain or loss, if any, related to additional contingent payments to the former owners of an acquired business for which the contingency has been resolved as of the respective period. See discussion above and in Note 3 – Acquisitions, Goodwill and Other Intangible Assets.</w:t>
      </w:r>
    </w:p>
    <w:p>
      <w:pPr>
        <w:spacing w:after="0" w:line="1" w:lineRule="exact"/>
        <w:rPr>
          <w:rFonts w:ascii="Times New Roman" w:cs="Times New Roman" w:eastAsia="Times New Roman" w:hAnsi="Times New Roman"/>
          <w:sz w:val="14"/>
          <w:szCs w:val="14"/>
          <w:color w:val="auto"/>
        </w:rPr>
      </w:pPr>
    </w:p>
    <w:p>
      <w:pPr>
        <w:ind w:left="340" w:right="20" w:hanging="332"/>
        <w:spacing w:after="0" w:line="259"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 periods ended June 30, 2022, represents the fair value gain or loss related to additional contingent payments for which the contingency has been resolved as of June 30, 2022. See Note 3 – Acquisitions, Goodwill and Other Intangible Assets for additional information.</w:t>
      </w:r>
    </w:p>
    <w:p>
      <w:pPr>
        <w:ind w:left="340" w:right="20" w:hanging="332"/>
        <w:spacing w:after="0" w:line="261" w:lineRule="auto"/>
        <w:tabs>
          <w:tab w:leader="none" w:pos="3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 periods ended June 30, 2022, basic shares include approximately 132,000 and 101,000 weighted average shares, respectively, related to additional contingent payments.</w:t>
      </w:r>
    </w:p>
    <w:p>
      <w:pPr>
        <w:ind w:left="340" w:hanging="332"/>
        <w:spacing w:after="0" w:line="25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 periods ended June 30, 2022, weighted average anti-dilutive common stock equivalents totaled approximately 178,000 and 1,273,000 respectively, and for the three and six month periods ended June 30, 2021, totaled approximately 1,000 and 2,000, respectively.</w:t>
      </w:r>
    </w:p>
    <w:p>
      <w:pPr>
        <w:jc w:val="both"/>
        <w:ind w:left="340" w:hanging="332"/>
        <w:spacing w:after="0" w:line="272" w:lineRule="auto"/>
        <w:tabs>
          <w:tab w:leader="none" w:pos="3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 periods ended June 30, 2022, common stock equivalents included approximately 1,000 and 32,000 weighted average shares, respectively, related to additional contingent payments to the former owners of an acquired business. For the six month period ended June 30, 2022, common stock equivalents were anti-dilutive except to the extent of the common stock equivalents associated with the additional contingent payments.</w:t>
      </w:r>
    </w:p>
    <w:p>
      <w:pPr>
        <w:spacing w:after="0" w:line="1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For the three and six month periods ended June 30, 2022, the Company repurchased approximately 936,000 and 1,124,000 shares of its common stock, respectively, the effect of which on the Company’s weighted average shares outstanding for the respective periods was a reduction of approximately 554,000 and 330,000 shares. See Note 11 – Equity for details of the Company’s share repurchase transactions. Additionally, in May 2022 and December 2021, the Company issued approximately 133,000 and 1,975,000 shares, respectively, of its common stock in conjunction with an acquisition. See Note 3 – Acquisitions, Goodwill and Other Intangible Assets for additional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Acquisitions, Goodwill and Other Intangible Assets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following table provides a reconciliation of changes in goodwill by reportable segment for the six month period ended June 30, 2022 (in millions). Goodwill balances as of December 31, 2021 were recast in the first quarter of 2022 to reflect the change in segment reporting for the HMG acquisition, as discussed in Note 1 – Business, Basis of Presentation and Significant Accounting Policies. Goodwill was reallocated based on the estimated relative fair value of the respective HMG reporting units. See Note 13 – Segments and Related Information for additional information.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Clean Energy</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Communications</w:t>
            </w: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5"/>
                <w:szCs w:val="15"/>
                <w:b w:val="1"/>
                <w:bCs w:val="1"/>
                <w:color w:val="auto"/>
                <w:w w:val="99"/>
              </w:rPr>
              <w:t>and</w:t>
            </w:r>
          </w:p>
        </w:tc>
        <w:tc>
          <w:tcPr>
            <w:tcW w:w="10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Oil and Gas</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Power Delivery</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Total Goodwill</w:t>
            </w: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Infrastructure</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Goodwill, gross, as of December 31, 2021 </w:t>
            </w:r>
            <w:r>
              <w:rPr>
                <w:rFonts w:ascii="Times New Roman" w:cs="Times New Roman" w:eastAsia="Times New Roman" w:hAnsi="Times New Roman"/>
                <w:sz w:val="21"/>
                <w:szCs w:val="21"/>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1,645.3</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(b)</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1,520.6</w:t>
            </w:r>
          </w:p>
        </w:tc>
        <w:tc>
          <w:tcPr>
            <w:tcW w:w="0" w:type="dxa"/>
            <w:vAlign w:val="bottom"/>
          </w:tcPr>
          <w:p>
            <w:pPr>
              <w:spacing w:after="0"/>
              <w:rPr>
                <w:sz w:val="1"/>
                <w:szCs w:val="1"/>
                <w:color w:val="auto"/>
              </w:rPr>
            </w:pPr>
          </w:p>
        </w:tc>
      </w:tr>
      <w:tr>
        <w:trPr>
          <w:trHeight w:val="207"/>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(c)</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3"/>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June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line="263" w:lineRule="auto"/>
        <w:tabs>
          <w:tab w:leader="none" w:pos="33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segment reporting for the HMG acquisition resulted in a decrease in Power Delivery segment goodwill of $23.4 million and an increase in goodwill for the Communications and Oil and Gas segments of $13.0 million and $10.4 million, respectively, as of December 31, 2021.</w:t>
      </w: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impairment losses include the effects of currency translation gains and/or losses.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to preliminary estimates of fair value within the measurement period of up to one year from the date of acquisition.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 indicated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5"/>
                <w:szCs w:val="15"/>
                <w:b w:val="1"/>
                <w:bCs w:val="1"/>
                <w:color w:val="auto"/>
              </w:rPr>
              <w:t>Other Intangible Assets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Non-Amortizing</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Amortizing</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20"/>
              <w:spacing w:after="0" w:line="148" w:lineRule="exact"/>
              <w:rPr>
                <w:sz w:val="20"/>
                <w:szCs w:val="20"/>
                <w:color w:val="auto"/>
              </w:rPr>
            </w:pPr>
            <w:r>
              <w:rPr>
                <w:rFonts w:ascii="Times New Roman" w:cs="Times New Roman" w:eastAsia="Times New Roman" w:hAnsi="Times New Roman"/>
                <w:sz w:val="15"/>
                <w:szCs w:val="15"/>
                <w:b w:val="1"/>
                <w:bCs w:val="1"/>
                <w:color w:val="auto"/>
              </w:rPr>
              <w:t>Customer</w:t>
            </w: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Pre-</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Trade Names</w:t>
            </w: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5"/>
                <w:szCs w:val="15"/>
                <w:b w:val="1"/>
                <w:bCs w:val="1"/>
                <w:color w:val="auto"/>
              </w:rPr>
              <w:t>Relationships</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 xml:space="preserve">Other </w:t>
            </w:r>
            <w:r>
              <w:rPr>
                <w:rFonts w:ascii="Times New Roman" w:cs="Times New Roman" w:eastAsia="Times New Roman" w:hAnsi="Times New Roman"/>
                <w:sz w:val="19"/>
                <w:szCs w:val="19"/>
                <w:b w:val="1"/>
                <w:bCs w:val="1"/>
                <w:color w:val="auto"/>
                <w:vertAlign w:val="superscript"/>
              </w:rPr>
              <w:t>(a)</w:t>
            </w:r>
          </w:p>
        </w:tc>
        <w:tc>
          <w:tcPr>
            <w:tcW w:w="260" w:type="dxa"/>
            <w:vAlign w:val="bottom"/>
          </w:tcPr>
          <w:p>
            <w:pPr>
              <w:spacing w:after="0"/>
              <w:rPr>
                <w:sz w:val="13"/>
                <w:szCs w:val="13"/>
                <w:color w:val="auto"/>
              </w:rPr>
            </w:pPr>
          </w:p>
        </w:tc>
        <w:tc>
          <w:tcPr>
            <w:tcW w:w="940" w:type="dxa"/>
            <w:vAlign w:val="bottom"/>
            <w:vMerge w:val="restart"/>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and Backlog</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Qualifications</w:t>
            </w: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gross,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996.1</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(325.8)</w:t>
            </w:r>
          </w:p>
        </w:tc>
        <w:tc>
          <w:tcPr>
            <w:tcW w:w="0" w:type="dxa"/>
            <w:vAlign w:val="bottom"/>
          </w:tcPr>
          <w:p>
            <w:pPr>
              <w:spacing w:after="0"/>
              <w:rPr>
                <w:sz w:val="1"/>
                <w:szCs w:val="1"/>
                <w:color w:val="auto"/>
              </w:rPr>
            </w:pPr>
          </w:p>
        </w:tc>
      </w:tr>
      <w:tr>
        <w:trPr>
          <w:trHeight w:val="19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670.3</w:t>
            </w:r>
          </w:p>
        </w:tc>
        <w:tc>
          <w:tcPr>
            <w:tcW w:w="0" w:type="dxa"/>
            <w:vAlign w:val="bottom"/>
          </w:tcPr>
          <w:p>
            <w:pPr>
              <w:spacing w:after="0"/>
              <w:rPr>
                <w:sz w:val="1"/>
                <w:szCs w:val="1"/>
                <w:color w:val="auto"/>
              </w:rPr>
            </w:pPr>
          </w:p>
        </w:tc>
      </w:tr>
      <w:tr>
        <w:trPr>
          <w:trHeight w:val="194"/>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18"/>
        </w:trPr>
        <w:tc>
          <w:tcPr>
            <w:tcW w:w="432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w:t>
            </w:r>
          </w:p>
        </w:tc>
        <w:tc>
          <w:tcPr>
            <w:tcW w:w="0" w:type="dxa"/>
            <w:vAlign w:val="bottom"/>
          </w:tcPr>
          <w:p>
            <w:pPr>
              <w:spacing w:after="0"/>
              <w:rPr>
                <w:sz w:val="1"/>
                <w:szCs w:val="1"/>
                <w:color w:val="auto"/>
              </w:rPr>
            </w:pPr>
          </w:p>
        </w:tc>
      </w:tr>
      <w:tr>
        <w:trPr>
          <w:trHeight w:val="194"/>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June 30,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665.0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trademarks, trade names and non-compete agreements.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to preliminary estimates of fair value within the measurement period of up to one year from the date of acquisition.</w:t>
      </w:r>
    </w:p>
    <w:p>
      <w:pPr>
        <w:spacing w:after="0" w:line="1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Quarterly Assessment for Indicators of Impairment</w:t>
      </w:r>
      <w:r>
        <w:rPr>
          <w:rFonts w:ascii="Times New Roman" w:cs="Times New Roman" w:eastAsia="Times New Roman" w:hAnsi="Times New Roman"/>
          <w:sz w:val="16"/>
          <w:szCs w:val="16"/>
          <w:color w:val="auto"/>
        </w:rPr>
        <w:t>. During the second quarter of 2022, the Company performed a quarterly review for indicators of impairment,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considered its results for the six month period ended June 30, 2022, together with its expectations of future results, including consideration of the potential effects of shifts in timing for certain projects. In conjunction with this quarterly review, management</w:t>
      </w: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12" w:name="page13"/>
    <w:bookmarkEnd w:id="12"/>
    <w:p>
      <w:pPr>
        <w:jc w:val="both"/>
        <w:spacing w:after="0" w:line="263" w:lineRule="auto"/>
        <w:rPr>
          <w:sz w:val="20"/>
          <w:szCs w:val="20"/>
          <w:color w:val="auto"/>
        </w:rPr>
      </w:pPr>
      <w:r>
        <w:rPr>
          <w:rFonts w:ascii="Times New Roman" w:cs="Times New Roman" w:eastAsia="Times New Roman" w:hAnsi="Times New Roman"/>
          <w:sz w:val="16"/>
          <w:szCs w:val="16"/>
          <w:color w:val="auto"/>
        </w:rPr>
        <w:t>performed a quantitative assessment of the goodwill associated with two reporting units within its Oil and Gas segment and one reporting unit within its Power Delivery segment. Based on the results of these assessments, management determined that the estimated fair values of these reporting units substantially exceeded their carrying values as of June 30, 2022. Significant changes in the assumptions or estimates used in management’s assessment, such as a reduction in profitability and/or cash flows, changes in market conditions, including decreases in market activity levels or the effects of rising inflation, including on interest rates, could result in non-cash impairment charges to goodwill and indefinite-lived intangible assets in the future.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Recent Acquisitions</w:t>
      </w:r>
    </w:p>
    <w:p>
      <w:pPr>
        <w:spacing w:after="0" w:line="117"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The Company seeks to grow and diversify its business both organically and through acquisitions and/or strategic arrangements in order to deepen its market presence, broaden its geographic reach and expand its service offerings.</w:t>
      </w:r>
    </w:p>
    <w:p>
      <w:pPr>
        <w:spacing w:after="0" w:line="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2022 Acquisitions. </w:t>
      </w:r>
      <w:r>
        <w:rPr>
          <w:rFonts w:ascii="Times New Roman" w:cs="Times New Roman" w:eastAsia="Times New Roman" w:hAnsi="Times New Roman"/>
          <w:sz w:val="16"/>
          <w:szCs w:val="16"/>
          <w:color w:val="auto"/>
        </w:rPr>
        <w:t>For the six month period ended June 30, 2022, MasTec completed two acquisitions, which included all of the equity interests of (i)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infrastructure construction company focusing on water, sewer and utility projects and with expertise in excavation and site work, which acquisition is included within the Company’s Oil and Gas segment and was effective in January; and (ii) a telecommunications company specializing in wireline services, which acquisition is included within the Company’s Communications segment and was effective as of the end of May. The aggregate purchase price for these acquisitions was composed of approximately $15.8 million in cash, net of cash acquired and earn-out liabilities valued at approximately $1.8 million. Determination of the estimated fair values of net assets acquired and the estimated earn-out liabilities and consideration transferred was preliminary as of June 30, 2022; as a result, further adjustments to these estimates may occur.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2021 Acquisitions. </w:t>
      </w:r>
      <w:r>
        <w:rPr>
          <w:rFonts w:ascii="Times New Roman" w:cs="Times New Roman" w:eastAsia="Times New Roman" w:hAnsi="Times New Roman"/>
          <w:sz w:val="16"/>
          <w:szCs w:val="16"/>
          <w:color w:val="auto"/>
        </w:rPr>
        <w:t>During 2021, MasTec completed fourteen acquisitions, including all of the equity interests of the following:</w:t>
      </w:r>
    </w:p>
    <w:p>
      <w:pPr>
        <w:spacing w:after="0" w:line="131" w:lineRule="exact"/>
        <w:rPr>
          <w:sz w:val="20"/>
          <w:szCs w:val="20"/>
          <w:color w:val="auto"/>
        </w:rPr>
      </w:pPr>
    </w:p>
    <w:p>
      <w:pPr>
        <w:jc w:val="both"/>
        <w:ind w:firstLine="656"/>
        <w:spacing w:after="0" w:line="259" w:lineRule="auto"/>
        <w:tabs>
          <w:tab w:leader="none" w:pos="86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Company’s Power Delivery segment: HMG, an industry-leading utility services firm providing critical infrastructure design, construction and maintenance services to the power and renewables, telecommunications, gas distribution and pipeline services end-markets, which acquisition was effective in December. In the first quarter of 2022, MasTec integrated and began reporting the results of HMG within its Power Delivery, Communications and Oil and Gas segments, as appropriate, and began reporting HMG’s corporate functions within its corporate results. See Note 13 – Segments and Related Information for additional details. During 2021, the Company also acquired an electric utility distribution contractor and a company specializing in vegetation management services for the electric and telecommunications industries, which acquisitions were effective in December; and Intren, LLC (“INTREN”), a premier specialty utility contractor primarily providing electrical distribution network services under various multi-year master service agreements to some of the nation’s largest utilities, municipalities and cooperatives, which acquisition was effective in May;</w:t>
      </w:r>
    </w:p>
    <w:p>
      <w:pPr>
        <w:spacing w:after="0" w:line="72" w:lineRule="exact"/>
        <w:rPr>
          <w:rFonts w:ascii="Times New Roman" w:cs="Times New Roman" w:eastAsia="Times New Roman" w:hAnsi="Times New Roman"/>
          <w:sz w:val="16"/>
          <w:szCs w:val="16"/>
          <w:color w:val="auto"/>
        </w:rPr>
      </w:pPr>
    </w:p>
    <w:p>
      <w:pPr>
        <w:ind w:right="20" w:firstLine="656"/>
        <w:spacing w:after="0" w:line="280" w:lineRule="auto"/>
        <w:tabs>
          <w:tab w:leader="none" w:pos="89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Company’s Clean Energy and Infrastructure segment: a heavy civil infrastructure construction company focusing on transportation projects; and a heavy industrial general contractor with concrete, piping and electrical capabilities, which acquisitions were effective in February and April, respectively;</w:t>
      </w:r>
    </w:p>
    <w:p>
      <w:pPr>
        <w:spacing w:after="0" w:line="70" w:lineRule="exact"/>
        <w:rPr>
          <w:rFonts w:ascii="Times New Roman" w:cs="Times New Roman" w:eastAsia="Times New Roman" w:hAnsi="Times New Roman"/>
          <w:sz w:val="16"/>
          <w:szCs w:val="16"/>
          <w:color w:val="auto"/>
        </w:rPr>
      </w:pPr>
    </w:p>
    <w:p>
      <w:pPr>
        <w:jc w:val="both"/>
        <w:ind w:right="20" w:firstLine="656"/>
        <w:spacing w:after="0" w:line="263" w:lineRule="auto"/>
        <w:tabs>
          <w:tab w:leader="none" w:pos="93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Company’s Communications segment: a telecommunications company specializing in cabling, plant and other network services, which acquisition was effective in November; a telecommunications and utility technical services company focusing on outside plant telecommunications engineering; a telecommunications and cable services provider; and a utilities infrastructure company, providing power line construction and repair services, all of which acquisitions were effective in May; and business operations specializing in install-to-the-home services, which acquisition was effective in August; and</w:t>
      </w:r>
    </w:p>
    <w:p>
      <w:pPr>
        <w:spacing w:after="0" w:line="71" w:lineRule="exact"/>
        <w:rPr>
          <w:rFonts w:ascii="Times New Roman" w:cs="Times New Roman" w:eastAsia="Times New Roman" w:hAnsi="Times New Roman"/>
          <w:sz w:val="16"/>
          <w:szCs w:val="16"/>
          <w:color w:val="auto"/>
        </w:rPr>
      </w:pPr>
    </w:p>
    <w:p>
      <w:pPr>
        <w:jc w:val="both"/>
        <w:ind w:firstLine="656"/>
        <w:spacing w:after="0" w:line="272" w:lineRule="auto"/>
        <w:tabs>
          <w:tab w:leader="none" w:pos="92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Company’s Oil and Gas segment: an infrastructure construction company focusing on water, sewer and utility projects, along with expertise in site work; and a company specializing in environmental services for energy infrastructure and heavy civil projects, both of which acquisitions were effective in December; and a pipeline contractor focusing on integrity and maintenance work related to gas distribution infrastructure, which acquisition was effective in February.</w:t>
      </w:r>
    </w:p>
    <w:p>
      <w:pPr>
        <w:spacing w:after="0" w:line="76"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These acquisitions were funded with cash on hand, borrowings under the Company’s credit facility and with shares of the Company’s common stock and are subject to customary purchase price adjustments.</w:t>
      </w:r>
    </w:p>
    <w:p>
      <w:pPr>
        <w:spacing w:after="0" w:line="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following table summarizes the estimated fair values of consideration paid and net assets acquired for the 2021 acquisitions, as adjusted (in millions):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 consideration</w:t>
            </w:r>
            <w:r>
              <w:rPr>
                <w:rFonts w:ascii="Times New Roman" w:cs="Times New Roman" w:eastAsia="Times New Roman" w:hAnsi="Times New Roman"/>
                <w:sz w:val="21"/>
                <w:szCs w:val="21"/>
                <w:b w:val="1"/>
                <w:bCs w:val="1"/>
                <w:color w:val="auto"/>
                <w:vertAlign w:val="superscript"/>
              </w:rPr>
              <w:t>(a)</w:t>
            </w:r>
            <w:r>
              <w:rPr>
                <w:rFonts w:ascii="Times New Roman" w:cs="Times New Roman" w:eastAsia="Times New Roman" w:hAnsi="Times New Roman"/>
                <w:sz w:val="16"/>
                <w:szCs w:val="16"/>
                <w:b w:val="1"/>
                <w:bCs w:val="1"/>
                <w:color w:val="auto"/>
              </w:rPr>
              <w:t>:</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HMG</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net of cash acquired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1,269.7</w:t>
            </w:r>
          </w:p>
        </w:tc>
      </w:tr>
      <w:tr>
        <w:trPr>
          <w:trHeight w:val="21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transferred</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r>
      <w:tr>
        <w:trPr>
          <w:trHeight w:val="21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Estimated fair value of contingent consideration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r>
      <w:tr>
        <w:trPr>
          <w:trHeight w:val="207"/>
        </w:trPr>
        <w:tc>
          <w:tcPr>
            <w:tcW w:w="65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consideration</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970.2</w:t>
            </w: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1,554.3</w:t>
            </w:r>
          </w:p>
        </w:tc>
      </w:tr>
      <w:tr>
        <w:trPr>
          <w:trHeight w:val="19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Identifiable assets acquired and liabilities assumed:</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and contract assets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w:t>
            </w:r>
          </w:p>
        </w:tc>
      </w:tr>
      <w:tr>
        <w:trPr>
          <w:trHeight w:val="21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1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w:t>
            </w:r>
          </w:p>
        </w:tc>
      </w:tr>
      <w:tr>
        <w:trPr>
          <w:trHeight w:val="21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assets, primarily operating lease right-of-use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r>
      <w:tr>
        <w:trPr>
          <w:trHeight w:val="21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r>
      <w:tr>
        <w:trPr>
          <w:trHeight w:val="21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r>
      <w:tr>
        <w:trPr>
          <w:trHeight w:val="21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 including current portion of operating lease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r>
      <w:tr>
        <w:trPr>
          <w:trHeight w:val="21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 obligations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liabilities, primarily operating lease liabilities and deferred income taxes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w:t>
            </w:r>
          </w:p>
        </w:tc>
      </w:tr>
      <w:tr>
        <w:trPr>
          <w:trHeight w:val="212"/>
        </w:trPr>
        <w:tc>
          <w:tcPr>
            <w:tcW w:w="6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807.6</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1,323.4</w:t>
            </w:r>
          </w:p>
        </w:tc>
      </w:tr>
      <w:tr>
        <w:trPr>
          <w:trHeight w:val="213"/>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w:t>
            </w:r>
          </w:p>
        </w:tc>
      </w:tr>
      <w:tr>
        <w:trPr>
          <w:trHeight w:val="212"/>
        </w:trPr>
        <w:tc>
          <w:tcPr>
            <w:tcW w:w="6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net assets acquired, including goodwill</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1,557.9</w:t>
            </w:r>
          </w:p>
        </w:tc>
      </w:tr>
      <w:tr>
        <w:trPr>
          <w:trHeight w:val="213"/>
        </w:trPr>
        <w:tc>
          <w:tcPr>
            <w:tcW w:w="65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Bargain purchase gain</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9"/>
        </w:trPr>
        <w:tc>
          <w:tcPr>
            <w:tcW w:w="6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consideration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970.2</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1,554.3</w:t>
            </w:r>
          </w:p>
        </w:tc>
      </w:tr>
    </w:tbl>
    <w:p>
      <w:pPr>
        <w:spacing w:after="0" w:line="126" w:lineRule="exact"/>
        <w:rPr>
          <w:sz w:val="20"/>
          <w:szCs w:val="20"/>
          <w:color w:val="auto"/>
        </w:rPr>
      </w:pPr>
    </w:p>
    <w:p>
      <w:pPr>
        <w:jc w:val="both"/>
        <w:ind w:left="340" w:hanging="332"/>
        <w:spacing w:after="0" w:line="271" w:lineRule="auto"/>
        <w:tabs>
          <w:tab w:leader="none" w:pos="36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consideration in the table above excludes approximately $65 million of measurement period adjustments for estimated payments that will be made to the sellers of HMG if certain acquired receivables are collected. Given the pass-through nature of these contingent payments, they have been excluded from total consideration and current assets in the table above. See below for related discussion.</w:t>
      </w:r>
    </w:p>
    <w:p>
      <w:pPr>
        <w:spacing w:after="0" w:line="1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Amortizing intangible assets related to the HMG acquisition are primarily composed of customer relationships, and to a lesser extent, trade names and backlog. Customer relationship intangible assets totaled approximately $132 million, and had a weighted average life of approximately 12 years, based on HMG’s operational history and established relationships with, and the nature of, its customers, which are primarily in the utilities industry. The weighted average life of amortizing intangible assets in the aggregate for the HMG acquisition was 11 years. Amortizing intangible assets related to “All other” acquisitions are primarily composed of customer relationships and trade names, which each had a weighted average life of approximately 17 years. The aggregate weighted average life related to “All other” amortizing intangible assets was 17 years. INTREN’s acquired intangible assets, which are included within “All other” acquisitions in the table above, included a customer relationship and a trade name intangible asset representing $284 million in the aggregate, having asset lives of approximately 20 years each based on INTREN’s operational history and established relationships with, and the nature of, its customers, which are primarily in the utilities industry. Amortizing intangible assets are amortized in a manner consistent with the pattern in which the related benefits are expected to be consumed.</w:t>
      </w:r>
    </w:p>
    <w:p>
      <w:pPr>
        <w:spacing w:after="0" w:line="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goodwill balances for each of the respective acquisitions, including approximately $49 million for INTREN, represent the estimated values of each acquired company’s geographic presence in key markets, assembled workforce, management team’s industry-specific project management expertise and synergies expected to be achieved from the combined operations of each of the acquired companies and MasTec. Approximately $149 million of the goodwill balance related to the 2021 acquisitions is expected to be tax deductible as of June 30, 2022. One of the Company’s fourth quarter 2021 acquisitions within its Power Delivery segment resulted in the recognition of a bargain purchase gain of $3.6 million, of which $0.2 million was recognized during the six month period ended June 30, 2022.</w:t>
      </w:r>
    </w:p>
    <w:p>
      <w:pPr>
        <w:spacing w:after="0" w:line="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HMG purchase agreement provides for certain additional payments to be made to the sellers if certain acquired receivables are collected by the Company (the “Additional Payments”). Pursuant to the terms of the purchase agreement, a portion of the Additional Payments will be made in cash, with the remainder due in shares of MasTec common stock. The estimated number of potential shares that could be issued related to such Additional Payments will be based on the amounts ultimately collected and the share price as defined within the purchase agreement. Changes in the estimated fair value of potential shares that could be issued, which result from changes in MasTec’s share price as compared with the share price as defined within the purchase agreement, are reflected within other income or expense, as appropriate. An Additional Payment of approximately $29.4 million was made in May 2022, which payment was composed of approximately $18 million in cash, which payment is reflected within financing activities in the consolidated statement of cash flows, and 133,157 shares of MasTec common stock. For both the three and six month periods ended June 30, 2022, a realized gain of approximately $1 million was recognized within other income, net, in connection with this payment. In addition, the HMG purchase agreement provides for a customary net working capital adjustment. In the second quarter of 2022, this working capital adjustment was resolved, resulting in a reduction in acquisition consideration for HMG of approximately $15 million, which reduction is reflected in the table above, and for which the related receivable is included within other current assets as of June 30, 2022. This working capital adjustment had no impact on the number of shares issued in connection with the acquisition.</w:t>
      </w:r>
    </w:p>
    <w:p>
      <w:pPr>
        <w:spacing w:after="0" w:line="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June 30, 2022, the estimated fair value of remaining Additional Payments was approximately $32 million, which amount is included within other current liabilities in the consolidated balance sheet and includes the effect of unrealized fair value gains related to the contingent shares. For both the three and six month periods ended June 30, 2022, unrealized fair value measurement activity related to the contingent shares totaled a gain of approximately $3.2 million, which amount is reflected within other income, net. The number of shares that would be paid in connection with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4" w:name="page15"/>
    <w:bookmarkEnd w:id="14"/>
    <w:p>
      <w:pPr>
        <w:jc w:val="both"/>
        <w:spacing w:after="0" w:line="280" w:lineRule="auto"/>
        <w:rPr>
          <w:sz w:val="20"/>
          <w:szCs w:val="20"/>
          <w:color w:val="auto"/>
        </w:rPr>
      </w:pPr>
      <w:r>
        <w:rPr>
          <w:rFonts w:ascii="Times New Roman" w:cs="Times New Roman" w:eastAsia="Times New Roman" w:hAnsi="Times New Roman"/>
          <w:sz w:val="16"/>
          <w:szCs w:val="16"/>
          <w:color w:val="auto"/>
        </w:rPr>
        <w:t>the remaining Additional Payment liability as of June 30, 2022 is approximately 160,000 shares. See Note 2 – Earnings Per Share for the effect of the above referenced shares on the Company’s earnings per share calculations.</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Included within “All other” acquisition consideration is approximately $455 million of consideration, including estimated earn-out liabilities, for INTREN. Total cash paid for acquisitions, net, includes approximately $78 million of cash acquired. The shares of MasTec common stock transferred in connection with the HMG acquisition in the table above consisted of approximately 2.0 million shares, as determined based on the terms of the purchase agreement, valued at approximately $182 million, based on the market price of the Company’s common stock on the date of closing.</w:t>
      </w:r>
    </w:p>
    <w:p>
      <w:pPr>
        <w:spacing w:after="0" w:line="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contingent consideration included in the table above is composed of earn-out liabilities, which equal a portion of the acquired companies’ earnings before interest, taxes, depreciation and amortization (“EBITDA”) in excess of thresholds agreed upon with the sellers, if applicable. The earn-out arrangements for the 2021 acquisitions generally range from one to five-year terms, as set forth in the respective purchase agreements, and are valued at approximately $103 million in the aggregate. The earn-out arrangement for the INTREN acquisition included within “All other” acquisitions had a term of less than one year. Earn-outs are generally payable annually and are recorded within other current and other long-term liabilities, as appropriate, in the consolidated balance sheets. See Note 4 - Fair Value of Financial Instruments for details pertaining to fair value estimates for the Company’s earn-out arrangements. As of June 30, 2022, the range of remaining potential undiscounted earn-out liabilities for the 2021 acquisitions was estimated to be between $4 million and $120 million; however, there is no maximum payment amount. Determination of the estimated fair values of the net assets acquired and the estimated earn-out liabilities and consideration transferred for certain of these acquisitions was preliminary as of June 30, 2022; as a result, further adjustments to these estimates may occur.</w:t>
      </w:r>
    </w:p>
    <w:p>
      <w:pPr>
        <w:spacing w:after="0" w:line="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 forma results. </w:t>
      </w:r>
      <w:r>
        <w:rPr>
          <w:rFonts w:ascii="Times New Roman" w:cs="Times New Roman" w:eastAsia="Times New Roman" w:hAnsi="Times New Roman"/>
          <w:sz w:val="16"/>
          <w:szCs w:val="16"/>
          <w:color w:val="auto"/>
        </w:rPr>
        <w:t>For the three month periods ended June 30, 2022 and 2021, unaudited supplemental pro forma revenue totaled approximately $2.3 billion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$2.5 billion, respectively, and unaudited supplemental pro forma net income totaled $20.4 million and $81.6 million, respectively. For the six month periods ended June 30, 2022 and 2021, unaudited supplemental pro forma revenue totaled approximately $4.3 billion and $4.9 billion, respectively. For the six month period ended June 30, 2022, unaudited supplemental pro forma net loss totaled approximately $15.4 million, and for the six month period ended June 30, 2021, unaudited supplemental pro forma net income totaled approximately $125.1 million.</w:t>
      </w:r>
    </w:p>
    <w:p>
      <w:pPr>
        <w:spacing w:after="0" w:line="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Acquisition-related results</w:t>
      </w:r>
      <w:r>
        <w:rPr>
          <w:rFonts w:ascii="Times New Roman" w:cs="Times New Roman" w:eastAsia="Times New Roman" w:hAnsi="Times New Roman"/>
          <w:sz w:val="16"/>
          <w:szCs w:val="16"/>
          <w:color w:val="auto"/>
        </w:rPr>
        <w:t>. For the three and six month periods ended June 30, 2022, the Company’s consolidated results of operations included acquisition-related revenue of approximately $602.3 million and $1,307.0 million, respectively, including a total of $480.4 million and $1,028.5 million, respectively, for HMG and INTREN in the aggregate, and for the three and six month periods ended June 30, 2021, acquisition-related revenue totaled approximately $271.4 million and $358.2 million, respectively, including a total of $102.5 million for INTREN for both the three and six month periods ended June 30, 2021. For the three and six month periods ended June 30, 2022, the Company’s consolidated results of operations included acquisition-related net income of approximately $18.7 million and $9.4 million, respectively, based on the Company’s consolidated effective tax rates, and for the three and six month periods ended June 30, 2021, included acquisition-related net income of approximately $3.5 million and $4.7 million, respectively, based on the Company’s consolidated effective tax rates. These acquisition-related results include amortization of acquired intangible assets and acquisition integration costs, and exclude the effects of interest expense associated with consideration paid for the related acquisitions.</w:t>
      </w:r>
    </w:p>
    <w:p>
      <w:pPr>
        <w:spacing w:after="0" w:line="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Acquisition and integration costs</w:t>
      </w:r>
      <w:r>
        <w:rPr>
          <w:rFonts w:ascii="Times New Roman" w:cs="Times New Roman" w:eastAsia="Times New Roman" w:hAnsi="Times New Roman"/>
          <w:sz w:val="16"/>
          <w:szCs w:val="16"/>
          <w:color w:val="auto"/>
        </w:rPr>
        <w:t>. The Company incurred certain acquisition and integration costs in connection with its fourth quarter 2021 acquisitions, which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costs are included within general and administrative expenses in the Company’s consolidated statements of operations. Acquisition and integration costs include i) the costs of integrating acquired entities, such as: employee termination expenses, including employee compensation relating to the elimination of certain positions that were determined to be redundant, and other integration-type costs, including facility consolidation expenses, lease termination expenses, system migration expenses, training, operating cost redundancies and other integration costs, as well as ii) legal, professional and other fees associated with the consummation of these acquisitions. The Company is currently in the process of integrating these acquisitions and expects to incur additional acquisition and integration expenses in 2022. Acquisition and integration costs for the three and six months period ended June 30, 2022 totaled approximately $12.5 million and $26.1 million, respectively, and as of June 30, 2022, approximately $1.5 million was included within current liabilities within the consolidated balance sheets related to such costs.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IEA Acquisition. </w:t>
      </w:r>
      <w:r>
        <w:rPr>
          <w:rFonts w:ascii="Times New Roman" w:cs="Times New Roman" w:eastAsia="Times New Roman" w:hAnsi="Times New Roman"/>
          <w:sz w:val="16"/>
          <w:szCs w:val="16"/>
          <w:color w:val="auto"/>
        </w:rPr>
        <w:t>In July 2022, MasTec announced that it entered into a definitive agreement under which MasTec will acquire all of the outstanding shares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Infrastructure and Energy Alternatives, Inc. (“IEA”), a premier clean energy and infrastructure services provider, which acquisition is expected to close at the end of the fourth quarter of 2022, subject to IEA shareholder approval, regulatory approvals and other customary closing conditions. IEA is expected to be included within the Company’s Clean Energy and Infrastructure segment. Under the terms of the agreement, MasTec will acquire IEA in a cash and stock transaction valued at $14.00 per IEA share, composed of 75% cash ($10.50 per IEA share) and 25% stock consideration ($3.50 per IEA share). This acquisition will be funded with cash on hand, borrowings under the Company’s senior secured credit facility and additional debt financing. The Company intends to finance at least a portion of the cash required in connection with the transaction with a bridge facility, pursuant to which certain lenders have committed to provide a 364-day senior unsecured bridge term loan facility, or, as an alternative to the bridge facility, with the proceeds from the Term Facilities (as defined in Note 7 - Debt), for which it has also received bank commitments. See Note 7 - Debt for additional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115"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6"/>
          <w:szCs w:val="16"/>
          <w:color w:val="auto"/>
        </w:rPr>
        <w:t>The Company’s financial instruments are primarily composed of cash and cash equivalents, accounts and notes receivable, cash collateral deposited with insurance carriers, life insurance assets, equity investments, certain other investments, deferred compensation plan assets and liabilities, accounts payable and other current liabilities, acquisition-related contingent consideration and additional contingent payments, mandatorily redeemable non-controlling interests and debt obligations.</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jc w:val="both"/>
        <w:spacing w:after="0" w:line="280" w:lineRule="auto"/>
        <w:rPr>
          <w:sz w:val="20"/>
          <w:szCs w:val="20"/>
          <w:color w:val="auto"/>
        </w:rPr>
      </w:pPr>
      <w:r>
        <w:rPr>
          <w:rFonts w:ascii="Times New Roman" w:cs="Times New Roman" w:eastAsia="Times New Roman" w:hAnsi="Times New Roman"/>
          <w:sz w:val="16"/>
          <w:szCs w:val="16"/>
          <w:color w:val="auto"/>
        </w:rPr>
        <w:t>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 and Other Liabilities</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Acquisition-related contingent consideration and other liabilities is composed of earn-outs, which represent the estimated fair value of future amounts payable for businesses, including for mandatorily redeemable non-controlling interests (together, “Earn-outs”), that are contingent upon the acquired business achieving certain levels of earnings in the future. As of June 30, 2022 and December 31, 2021, the estimated fair value of the Company’s Earn-out liabilities totaled $135.3 million and $160.2 million, respectively, of which $13.9 million related to mandatorily redeemable non-controlling interests as of both periods. Earn-out liabilities included within other current liabilities totaled approximately $39.6 million and $38.8 million as of June 30, 2022 and December 31, 2021,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June 30, 2022, ranged from 12.0% to 14.0%, with a weighted average rate of 12.5% based on the relative fair value of each instrument,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June 30, 2022, the range of potential undiscounted Earn-out liabilities was estimated to be between $17 million and $183 million; however, there is no maximum payment amount.</w:t>
      </w:r>
    </w:p>
    <w:p>
      <w:pPr>
        <w:spacing w:after="0" w:line="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Earn-out activity consists primarily of additions from new business combinations; changes in the expected fair value of future payment obligations; and payments. There were no additions from new business combinations for the three month period ended June 30, 2022, and additions for the six month period ended June 30, 2022 totaled approximately $1.7 million. For both the three and six month periods ended June 30, 2021, additions from new business combinations totaled $40.1 million. Measurement period adjustments totaled an increase of approximately $3.4 million for the three month period ended June 30, 2022 and related to the Company’s Oil and Gas segment, and for the six month period ended June 30, 2022, totaled an increase, net, of approximately $1.5 million and related to a net increase in the Company’s Oil and Gas segment, partially offset by a decrease in its Communications segment. There were no measurement period adjustments in either of the three or six month periods ended June 30, 2021. For both the three and six month periods ended June 30, 2022, fair value adjustments totaled a net decrease of approximately $1.3 million, and related primarily to the Company’s Communications segment. Fair value adjustments for the three and six month periods ended June 30, 2021 totaled net decreases of $8.9 million and $9.3 million, respectively, and related to decreases in the Company’s Oil and Gas and Clean Energy and Infrastructure segments, partially offset by increases in the Company’s Communications segment. Earn-out payments totaled $26.8 million for both the three and six month periods ended June 30, 2022, and totaled $46.2 million for both the three and six month periods ended June 30, 2021, including approximately $2.1 million related to mandatorily redeemable non-controlling interests.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3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The Company’s equity investments as of June 30, 2022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spacing w:after="0" w:line="6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i w:val="1"/>
          <w:iCs w:val="1"/>
          <w:color w:val="auto"/>
        </w:rPr>
        <w:t>Investment Arrangements</w:t>
      </w:r>
      <w:r>
        <w:rPr>
          <w:rFonts w:ascii="Times New Roman" w:cs="Times New Roman" w:eastAsia="Times New Roman" w:hAnsi="Times New Roman"/>
          <w:sz w:val="16"/>
          <w:szCs w:val="16"/>
          <w:color w:val="auto"/>
        </w:rPr>
        <w:t>. From time to time, the Company may participate in selected investment or strategic arrangements, including equity interests in various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entities and participation in contractual joint ventures, some of which may involve the extension of loans or other types of financing arrangements. The Company has determined that certain of its investment arrangements are variable interest entities (“VIEs”). As of June 30, 2022,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7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(“adjusted cost basis”). As of June 30, 2022 and December 31, 2021, the aggregate carrying value of the Company’s equity investments, including equity investments measured on an adjusted cost basis, totaled approximately $288 million and $267 million, respectively. As of both June 30, 2022 and December 31, 2021, equity investments measured on an adjusted cost basis, including the Company’s $15 million investment in CCI, totaled approximately $20 million. There were no impairments related to these investments in any of the three or six month periods ended June 30, 2022 or 2021.</w:t>
      </w:r>
    </w:p>
    <w:p>
      <w:pPr>
        <w:spacing w:after="0" w:line="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The Waha JVs. </w:t>
      </w:r>
      <w:r>
        <w:rPr>
          <w:rFonts w:ascii="Times New Roman" w:cs="Times New Roman" w:eastAsia="Times New Roman" w:hAnsi="Times New Roman"/>
          <w:sz w:val="16"/>
          <w:szCs w:val="16"/>
          <w:color w:val="auto"/>
        </w:rPr>
        <w:t>The Waha JVs own and operate certain pipeline infrastructure that transports natural gas to the Mexican border for export. The Company’s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in the Waha JVs are accounted for as equity method investments. Equity in earnings related to the Company’s proportionate share of income from the Waha JVs, which is included within the Company’s Other segment, totaled approximately $7.6 million and $15.0 million for the three and six month periods ended June 30, 2022, respectively, and totaled $8.6 million and $16.3 million for the three and six month periods ended June 30, 2021, respectively. Distributions of earnings from the Waha JVs, which are included within operating cash flows, totaled $4.6 million and $7.6 million for the three and six month periods ended June 30, 2022, respectively. There were no distributions of earnings in either of the three or six month periods ended June 30, 2021. Cumulative undistributed earnings from the Waha JVs, which represents cumulative equity in earnings for the Waha JVs less distributions of earnings, totaled $102.3 million as of June 30, 2022. The Company’s net investment in the Waha JVs, which differs from its proportionate share of the net assets of the Waha JVs due primarily to equity method goodwill associated with capitalized investment costs, totaled approximately $245 million and $216 million as of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six month periods ended June 30, 2022, the Company’s proportionate share of unrecognized unrealized activity on the Waha JV swaps totaled gains of approximately $10.4 million and $28.7 million, respectively, or $7.8 million and $21.6 million, net of tax, respectively. For the three and six month periods ended June 30, 2021, the Company’s proportionate share of unrecognized unrealized activity on the Waha JV swaps totaled losses of approximately $4.9 million and gains of approximately $12.3 million, respectively, or $3.7 million and $9.4 million, net of tax, respectively.</w:t>
      </w:r>
    </w:p>
    <w:p>
      <w:pPr>
        <w:spacing w:after="0" w:line="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Other Investments. </w:t>
      </w:r>
      <w:r>
        <w:rPr>
          <w:rFonts w:ascii="Times New Roman" w:cs="Times New Roman" w:eastAsia="Times New Roman" w:hAnsi="Times New Roman"/>
          <w:sz w:val="16"/>
          <w:szCs w:val="16"/>
          <w:color w:val="auto"/>
        </w:rPr>
        <w:t>The Company has equity interests in certain telecommunications entities that are accounted for as equity method investments. As of both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June 30, 2022 and December 31, 2021, the Company had an aggregate investment of approximately $20 million in these entities, including $18 million and $17 million for FM Tech, respectively, as of June 30, 2022 and December 31, 2021. For the three and six month periods ended June 30, 2022, the Company made equity contributions related to its investments in telecommunications entities totaling approximately $0.6 million and $1.1 million, respectively. For the three month period ended June 30, 2021, the Company made no equity contributions related to its investments in these entities, and for the six month period ended June 30, 2021, made equity contributions totaling approximately $2.0 million. Equity in losses, net, related to the Company’s proportionate share of income from these telecommunications entities totaled approximately $0.5 million and $0.9 million for the three and six month periods ended June 30, 2022, respectively, and equity in losses, net, totaled approximately $1.0 million for both the three and six month periods ended June 30, 2021. The difference between the carrying amount of these investments and the Company’s underlying equity in the net assets of the respective entities relates primarily to equity method goodwill associated with assembled workforce for each of these entities.</w:t>
      </w:r>
    </w:p>
    <w:p>
      <w:pPr>
        <w:spacing w:after="0" w:line="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Certain of these telecommunications entities provide services to MasTec. Expense recognized in connection with services provided by these entities totaled $1.6 million and $2.5 million for the three and six month periods ended June 30, 2022, respectively, and totaled $2.4 million and $4.1 million for the three and six month periods ended June 30, 2021, respectively. As of June 30, 2022 and December 31, 2021, related amounts payable to these entities totaled approximately $0.1 million and $0.3 million, respectively. In addition, the Company had an employee leasing arrangement with one of these entities and has advanced certain amounts to these entities. For the three and six month periods ended June 30, 2022, there were no employee lease expenses or advances. Employee lease expenses and advances to these entities for the three month period ended June 30, 2021 were de minimis, and for the six month period ended June 30, 2021, amounts advanced totaled $0.2 million. As of June 30, 2022 and December 31, 2021, employee lease and advances receivable totaled approximately $0.6 million and $0.9 million, respectively.</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has 49% equity interests in certain entities included within its Power Delivery segment that are accounted for as equity method investments, for which its aggregate investment as of both June 30, 2022 and December 31, 2021 totaled approximately $4 million. For the three and six month periods ended June 30, 2022, equity in losses, net, related to these entities totaled approximately $0.2 million and $0.3 million, respectively. Certain of these entities provide construction services to MasTec. Expense recognized in connection with construction services provided by these entities totaled approximately $1.4 million and $5.0 million for the three and six month periods ended June 30, 2022, respectively. As of June 30, 2022, related amounts payable totaled approximately $0.1 million. In addition, the Company has line of credit arrangements with these investees, which, as of June 30, 2022 and December 31, 2021, provide for up to $4.5 million and $8.5 million, respectively, of borrowing availability, of which $0.5 million and $0.4 million, respectively, was drawn, which amounts are included within other current assets in the consolidated balance sheets.</w:t>
      </w:r>
    </w:p>
    <w:p>
      <w:pPr>
        <w:spacing w:after="0" w:line="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During the first quarter of 2021, MasTec committed to fund up to $2.5 million for a 75% equity interest in Confluence Networks, LLC (“Confluence”), an undersea fiber-optic communications systems developer and VIE. As of June 30, 2022, a total of $1.9 million had been funded, of which $0.2 million was funded during the second quarter of 2022. During the three and six month periods ended June 30, 2021, $0.6 million and $1.0 million, respectively, of funding was provided. Equity in losses related to the Company’s proportionate share of this investment totaled $0.1 million and $0.3 million for the three and six month periods ended June 30, 2022, and totaled $0.3 million for both the three and six month periods ended June 30, 2021. As of June 30, 2022, MasTec had less than a majority of the members on the board of Confluence and determined that it did not have a controlling financial interest, and therefore does not have the power to direct the primary activities that most significantly impact its economic performance, nor is it the primary beneficiary. The Company has the ability to exert significant influence over Confluence, and as a result, accounts for its investment in Confluence as an equity method investment as of June 30, 2022.</w:t>
      </w:r>
    </w:p>
    <w:p>
      <w:pPr>
        <w:spacing w:after="0" w:line="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has certain equity investments in American Virtual Cloud Technologies, Inc. (“AVCT”), a publicly-traded company in which the Company currently has no active involvement. The Company’s investments in AVCT are included within other current assets in its consolidated financial statements, and include shares of AVCT common stock, which are equity securities, and warrants for the purchase of AVCT common stock, which are derivative financial instruments. Previously, the Company’s investment in AVCT included debentures that were convertible into shares of AVCT common stock, which were available-for-sale securities. In the third quarter of 2021, the Company’s investment in AVCT convertible debentures was automatically converted into shares of AVCT common stock. As of June 30, 2022 and December 31, 2021, the Company’s ownership interest in AVCT’s common stock totaled approximately 3% for both periods, and its aggregate ownership interest, assuming the exercise of all legally exercisable warrants into AVCT common stock, totaled approximately 5% and 6%, respectively.</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June 30, 2022 and December 31, 2021, the aggregate fair value of the Company’s investments in AVCT approximated $1 million and $8 million, respectively, with an aggregate cost approximating $6 million as of both periods. Unrealized fair value measurement activity related to the AVCT securities, which is based on the market price of its securities, a Level 1 input, and is recorded within other income or expense, net, totaled losses of approximately $2.2 million and $7.1 million for the three and six month periods ended June 30, 2022. For the three month period ended June 30, 2021, unrealized fair value measurement gains, net, totaled approximately $1.0 million, primarily related to the AVCT shares, and for the six month period ended June 30, 2021, unrealized fair value measurement losses, net, on the AVCT securities were de minimis. Unrealized fair value measurement activity related to the AVCT convertible debentures based on Level 3 inputs and recognized within other comprehensive income for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three and six month periods ended June 30, 2021, totaled gains of approximately $0.3 million and $1.3 million, respectively, or $0.2 million and $1.0 million, net of tax, respectively.</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17"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As of both June 30, 2022 and December 31, 2021, the gross carrying amount of the Company’s 4.50% senior notes due August 15, 2028 (the “4.50% Senior Notes”) totaled $600 million, and their estimated fair value, based on an exit price approach using Level 1 inputs, totaled $542.3 million and $619.5 million,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accounts receivable, net of allowance, and contract assets (together, “accounts receivable, net”) as of the dates indicated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Contract billings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1,027.1</w:t>
            </w:r>
          </w:p>
        </w:tc>
      </w:tr>
      <w:tr>
        <w:trPr>
          <w:trHeight w:val="213"/>
        </w:trPr>
        <w:tc>
          <w:tcPr>
            <w:tcW w:w="8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Less allowance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9"/>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1,019.3</w:t>
            </w:r>
          </w:p>
        </w:tc>
      </w:tr>
      <w:tr>
        <w:trPr>
          <w:trHeight w:val="239"/>
        </w:trPr>
        <w:tc>
          <w:tcPr>
            <w:tcW w:w="8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Retainage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r>
      <w:tr>
        <w:trPr>
          <w:trHeight w:val="213"/>
        </w:trPr>
        <w:tc>
          <w:tcPr>
            <w:tcW w:w="8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931.1</w:t>
            </w:r>
          </w:p>
        </w:tc>
      </w:tr>
      <w:tr>
        <w:trPr>
          <w:trHeight w:val="210"/>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1,227.9</w:t>
            </w:r>
          </w:p>
        </w:tc>
      </w:tr>
    </w:tbl>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The increase in unbilled receivables as of June 30, 2022 was driven primarily by ordinary course project activity associated with higher levels of revenue. For the six month period ended June 30, 2022, provisions for credit losses totaled $0.5 million, and for the six month period ended June 30, 2021, provisions for credit losses totaled a recovery of $11.0 million resulting from successful collection of previously reserved amounts. Impairment losses on contract assets were not material in either period.</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$298.6 million and $314.0 million as of June 30, 2022 and December 31, 2021, respectively, of which deferred revenue comprised approximately $282.6 million and $296.1 million, respectively. For the three and six month periods ended June 30, 2022, the Company recognized revenue of approximately $59.5 million and $245.7 million, respectively, related to amounts that were included in deferred revenue as of December 31, 2021, resulting primarily from the advancement of physical progress on the related projects during the respective periods.</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is party to non-recourse financing arrangements in the ordinary course of business, under which certain receivables are settled with the customer’s bank in return for a nominal fee. Discount charges related to these arrangements, which are included within interest expense, net, totaled approximately $1.5 million and $0.8 million for the three month periods ended June 30, 2022 and 2021, respectively, and totaled $2.5 million and $1.5 million, respectively, for the six month periods ended June 30, 2022 and 2021.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Property and Equipment, Net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property and equipment, net, including property and equipment held under finance leases as of the dates indicated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4380" w:type="dxa"/>
            <w:vAlign w:val="bottom"/>
            <w:tcBorders>
              <w:bottom w:val="single" w:sz="8" w:color="CCEEFF"/>
            </w:tcBorders>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Land</w:t>
            </w:r>
          </w:p>
        </w:tc>
        <w:tc>
          <w:tcPr>
            <w:tcW w:w="38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3"/>
        </w:trPr>
        <w:tc>
          <w:tcPr>
            <w:tcW w:w="4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19"/>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Machinery and equipment</w:t>
            </w:r>
          </w:p>
        </w:tc>
        <w:tc>
          <w:tcPr>
            <w:tcW w:w="3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2,411.0</w:t>
            </w:r>
          </w:p>
        </w:tc>
      </w:tr>
      <w:tr>
        <w:trPr>
          <w:trHeight w:val="213"/>
        </w:trPr>
        <w:tc>
          <w:tcPr>
            <w:tcW w:w="4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w:t>
            </w:r>
          </w:p>
        </w:tc>
      </w:tr>
      <w:tr>
        <w:trPr>
          <w:trHeight w:val="219"/>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8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07"/>
        </w:trPr>
        <w:tc>
          <w:tcPr>
            <w:tcW w:w="4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384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3,108.8</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2,840.4</w:t>
            </w:r>
          </w:p>
        </w:tc>
      </w:tr>
      <w:tr>
        <w:trPr>
          <w:trHeight w:val="219"/>
        </w:trPr>
        <w:tc>
          <w:tcPr>
            <w:tcW w:w="4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8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w:t>
            </w:r>
          </w:p>
        </w:tc>
      </w:tr>
      <w:tr>
        <w:trPr>
          <w:trHeight w:val="204"/>
        </w:trPr>
        <w:tc>
          <w:tcPr>
            <w:tcW w:w="4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8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1,436.1</w:t>
            </w:r>
          </w:p>
        </w:tc>
      </w:tr>
      <w:tr>
        <w:trPr>
          <w:trHeight w:val="857"/>
        </w:trPr>
        <w:tc>
          <w:tcPr>
            <w:tcW w:w="4380" w:type="dxa"/>
            <w:vAlign w:val="bottom"/>
          </w:tcPr>
          <w:p>
            <w:pPr>
              <w:spacing w:after="0"/>
              <w:rPr>
                <w:sz w:val="24"/>
                <w:szCs w:val="24"/>
                <w:color w:val="auto"/>
              </w:rPr>
            </w:pPr>
          </w:p>
        </w:tc>
        <w:tc>
          <w:tcPr>
            <w:tcW w:w="3840" w:type="dxa"/>
            <w:vAlign w:val="bottom"/>
          </w:tcPr>
          <w:p>
            <w:pPr>
              <w:jc w:val="right"/>
              <w:ind w:right="2439"/>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21"/>
        </w:trPr>
        <w:tc>
          <w:tcPr>
            <w:tcW w:w="43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gross amount of capitalized internal-use software, which is included within office furniture and equipment, totaled $182.1 million and $176.4 million as of June 30, 2022 and December 31, 2021, respectively. Capitalized internal-use software, net of accumulated amortization, totaled $42.4 million and $43.9 million as of June 30, 2022 and December 31, 2021,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Debt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dates indicated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780" w:type="dxa"/>
            <w:vAlign w:val="bottom"/>
            <w:gridSpan w:val="2"/>
            <w:vMerge w:val="continue"/>
          </w:tcPr>
          <w:p>
            <w:pPr>
              <w:spacing w:after="0"/>
              <w:rPr>
                <w:sz w:val="18"/>
                <w:szCs w:val="18"/>
                <w:color w:val="auto"/>
              </w:rPr>
            </w:pPr>
          </w:p>
        </w:tc>
        <w:tc>
          <w:tcPr>
            <w:tcW w:w="2700" w:type="dxa"/>
            <w:vAlign w:val="bottom"/>
            <w:gridSpan w:val="3"/>
            <w:vMerge w:val="continue"/>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Revolving loans</w:t>
            </w:r>
          </w:p>
        </w:tc>
        <w:tc>
          <w:tcPr>
            <w:tcW w:w="27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loan</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21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4.50% Senior Notes</w:t>
            </w:r>
          </w:p>
        </w:tc>
        <w:tc>
          <w:tcPr>
            <w:tcW w:w="2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0" w:type="dxa"/>
            <w:vAlign w:val="bottom"/>
          </w:tcPr>
          <w:p>
            <w:pPr>
              <w:spacing w:after="0"/>
              <w:rPr>
                <w:sz w:val="1"/>
                <w:szCs w:val="1"/>
                <w:color w:val="auto"/>
              </w:rPr>
            </w:pPr>
          </w:p>
        </w:tc>
      </w:tr>
      <w:tr>
        <w:trPr>
          <w:trHeight w:val="207"/>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debt obligations</w:t>
            </w: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2,286.9</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2,032.6</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unamortized deferred financing costs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7"/>
        </w:trPr>
        <w:tc>
          <w:tcPr>
            <w:tcW w:w="5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net of deferred financing costs</w:t>
            </w:r>
          </w:p>
        </w:tc>
        <w:tc>
          <w:tcPr>
            <w:tcW w:w="2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2,014.1</w:t>
            </w:r>
          </w:p>
        </w:tc>
        <w:tc>
          <w:tcPr>
            <w:tcW w:w="0" w:type="dxa"/>
            <w:vAlign w:val="bottom"/>
          </w:tcPr>
          <w:p>
            <w:pPr>
              <w:spacing w:after="0"/>
              <w:rPr>
                <w:sz w:val="1"/>
                <w:szCs w:val="1"/>
                <w:color w:val="auto"/>
              </w:rPr>
            </w:pPr>
          </w:p>
        </w:tc>
      </w:tr>
      <w:tr>
        <w:trPr>
          <w:trHeight w:val="212"/>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0" w:type="dxa"/>
            <w:vAlign w:val="bottom"/>
          </w:tcPr>
          <w:p>
            <w:pPr>
              <w:spacing w:after="0"/>
              <w:rPr>
                <w:sz w:val="1"/>
                <w:szCs w:val="1"/>
                <w:color w:val="auto"/>
              </w:rPr>
            </w:pPr>
          </w:p>
        </w:tc>
      </w:tr>
      <w:tr>
        <w:trPr>
          <w:trHeight w:val="207"/>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1,876.2</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June 30, 2022, the Company’s senior unsecured credit facility (the “Credit Facility”) had aggregate borrowing commitments totaling approximately $2.0 billion, which amount is composed of $1.65 billion of revolving commitments and a term loan with an original principal amount of $350 million (the “Term Loan”). The Term Loan is subject to amortization in quarterly principal installments of approximately $2.2 million commencing in March 2023, which quarterly installments increase to approximately $4.0 million in March 2025 until maturity. Quarterly principal installments on the Term Loan are subject to adjustment, if applicable, for certain prepayments.</w:t>
      </w:r>
    </w:p>
    <w:p>
      <w:pPr>
        <w:spacing w:after="0" w:line="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As of June 30, 2022 and December 31, 2021, outstanding revolving loans, which included $0.5 million and $32.3 million, respectively, of borrowings denominated in foreign currencies, accrued interest at weighted average rates of approximately 2.61% and 2.32% per annum, respectively. The Term Loan accrued interest at rates of 2.92% and 1.35% as of June 30, 2022 and December 31, 2021, respectively. Letters of credit of approximately $197.5 million and $166.3 million were issued as of June 30, 2022 and December 31, 2021, respectively. As of both June 30, 2022 and December 31, 2021, letter of credit fees accrued at 0.4375% per annum for performance standby letters of credit and at 1.25% per annum for financial standby letters of credit. Outstanding letters of credit mature at various dates and most have automatic renewal provisions, subject to prior notice of cancellation. As of June 30, 2022 and December 31, 2021, availability for revolving loans totaled $466.9 million and $711.5 million, respectively, or up to $452.5 million and $483.7 million, respectively, for new letters of credit. Revolving loan borrowing capacity included $299.5 million and $267.7 million of availability in either Canadian dollars or Mexican pesos as of June 30, 2022 and December 31, 2021, respectively. The unused facility fee as of both June 30, 2022 and December 31, 2021 accrued at a rate of 0.175% per annum.</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Credit Facility is guaranteed by certain subsidiaries of the Company and the obligations under the Credit Facility are not secured.</w:t>
      </w:r>
    </w:p>
    <w:p>
      <w:pPr>
        <w:spacing w:after="0" w:line="10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Other Credit Facilities</w:t>
      </w:r>
      <w:r>
        <w:rPr>
          <w:rFonts w:ascii="Times New Roman" w:cs="Times New Roman" w:eastAsia="Times New Roman" w:hAnsi="Times New Roman"/>
          <w:sz w:val="16"/>
          <w:szCs w:val="16"/>
          <w:color w:val="auto"/>
        </w:rPr>
        <w:t>. The Company has other credit facilities that support: (i) the working capital requirements of its foreign operations and (ii) certain letter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credit issuances. There were no outstanding borrowings under the Company’s other credit facilities as of June 30, 2022 or December 31, 2021. Additionally, the Company has a separate credit facility, under which it may issue performance standby letters of credit. As of June 30, 2022 and December 31, 2021, letters of credit issued under this facility totaled $18.3 million and $22.2 million, respectively, and accrued fees at 0.50% and 0.40% per annum, respectively. The Company’s other credit facilities are subject to customary provisions and covenants.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Guarantees and Covenants</w:t>
      </w:r>
    </w:p>
    <w:p>
      <w:pPr>
        <w:spacing w:after="0" w:line="13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4.50% Senior Notes are fully and unconditionally guaranteed on a senior unsecured, joint and several basis by certain of the Company’s wholly-owned domestic restricted subsidiaries that guarantee its existing credit facilities. MasTec was in compliance with the provisions and covenants of its outstanding debt instruments as of both June 30, 2022 and December 31, 2021.</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As of June 30, 2022 and December 31, 2021, accrued interest payable, which is recorded within other accrued expenses in the consolidated balance sheets, totaled $13.1 million and $11.7 million, respectively. For additional information pertaining to the Company’s debt instruments, see Note 7 - Debt in the Company’s 2021 Form 10-K.</w:t>
      </w: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Bridge Facility and Term Loan Commitments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July 2022, MasTec announced that it entered into an agreement to acquire all of the outstanding shares of IEA. This acquisition will be funded with cash on hand, borrowings under the Company’s senior secured credit facility and additional debt financing. The Company intends to finance at least a portion of the cash required in connection with this transaction with a bridge facility, pursuant to which certain lenders have committed to provide a 364-day senior unsecured bridge term loan facility in an aggregate principal amount of up to $1 billion, or, as an alternative to the bridge facility, with the proceeds from the Term Facilities (as defined below), for which the Company has also received bank commitments.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6"/>
          <w:szCs w:val="16"/>
          <w:color w:val="auto"/>
        </w:rPr>
        <w:t>Certain lenders have agreed to use commercially reasonable efforts to provide (i) a three-year senior unsecured term loan facility in an aggregate principal amount of $500 million and (ii) a five-year senior unsecured term loan facility in an aggregate principal amount of $500 million (together, the “Term Facilities”). Additionally, the Company may continue to evaluate alternative financing structures and amounts based on its needs and capital market conditions. The availability of borrowings under the above described facilities is subject to the satisfaction of certain customary conditions, including execution of definitive documentation and the substantially concurrent consummation of the IEA acquisition. Through August 1, 2022, MasTec has incurred approximately $3 million of financing costs in connection with these financing commitments, which amounts will be recorded as deferred financing costs and amortized to interest expense over the period of the related instruments. See Note 3 – Acquisitions, Goodwill and Other Intangible Assets for additional information related to the IEA transaction.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Lease Obligations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agreements that provide financing for machinery and equipment and for other of its facility, vehicle and equipment needs, including related party leases. As of June 30, 2022, the Company’s leases have remaining lease terms of up to eleven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gross amount of assets held under finance leases as of June 30, 2022 and December 31, 2021 totaled $624.8 million and $653.5 million, respectively. Assets held under finance leases, net of accumulated depreciation, totaled $452.3 million and $468.5 million as of June 30, 2022 and December 31, 2021, respectively. Depreciation expense associated with finance leases totaled $20.0 million and $18.7 million for the three month periods ended June 30, 2022 and 2021, respectively, and totaled $40.3 million and $37.7 million for the six month periods ended June 30, 2022 and 2021, respectively.</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3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Operating lease additions for the three month periods ended June 30, 2022 and 2021 totaled $18.4 million and $79.7 million, respectively, and for the six month periods ended June 30, 2022 and 2021, totaled $45.3 million and $85.3 million, respectively. Acquisition-related lease additions totaled $74.6 million for the six month period ended June 30, 2021.</w:t>
      </w:r>
    </w:p>
    <w:p>
      <w:pPr>
        <w:spacing w:after="0" w:line="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For the three month periods ended June 30, 2022 and 2021, rent expense for leases that have terms in excess of one year totaled approximately $33.9 million and $28.1 million, respectively, of which $2.5 million and $2.9 million, respectively, represented variable lease costs. For the six month periods ended June 30, 2022 and 2021, rent expense for such leases totaled approximately $67.9 million and $55.5 million, respectively, of which $5.5 million and $5.1 million, respectively, represented variable lease costs. The Company also incurred rent expense for leases with terms of one year or less totaling approximately $53.7 million and $130.8 million for the three month periods ended June 30, 2022 and 2021, respectively. Rent expense for such leases totaled approximately $159.3 million and $240.9 million for the six month periods ended June 30, 2022 and 2021, respectively. Rent expense for operating leases is generally consistent with the amount of the related payments, which payments are included within operating activities in the consolidated statements of cash flows.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Lease Information</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7"/>
        </w:trPr>
        <w:tc>
          <w:tcPr>
            <w:tcW w:w="8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Future minimum lease commitments as of June 30, 2022 were as follows (in millions):</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3"/>
        </w:trPr>
        <w:tc>
          <w:tcPr>
            <w:tcW w:w="8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4"/>
        </w:trPr>
        <w:tc>
          <w:tcPr>
            <w:tcW w:w="8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remaining six months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126.4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3"/>
        </w:trPr>
        <w:tc>
          <w:tcPr>
            <w:tcW w:w="8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Thereafter</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12"/>
        </w:trPr>
        <w:tc>
          <w:tcPr>
            <w:tcW w:w="8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352.6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w:t>
            </w:r>
          </w:p>
        </w:tc>
      </w:tr>
      <w:tr>
        <w:trPr>
          <w:trHeight w:val="207"/>
        </w:trPr>
        <w:tc>
          <w:tcPr>
            <w:tcW w:w="82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(15.9)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2"/>
        </w:trPr>
        <w:tc>
          <w:tcPr>
            <w:tcW w:w="8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lease obligations, net of interest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336.7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r>
      <w:tr>
        <w:trPr>
          <w:trHeight w:val="213"/>
        </w:trPr>
        <w:tc>
          <w:tcPr>
            <w:tcW w:w="82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current portion</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147.1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10"/>
        </w:trPr>
        <w:tc>
          <w:tcPr>
            <w:tcW w:w="8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Long-term portion of lease obligations, net of interest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189.6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June 30, 2022, finance leases had a weighted average remaining lease term of 2.8 years and a weighted average discount rate of 3.4%, and non-cancelable operating leases had a weighted average remaining lease term of 4.3 years and a weighted average discount rate of 2.9%. As of June 30, 2022, future lease obligations for leases that had not yet commenced totaled approximately $20.0 million. These leases commence in 2022 with a lease term of 4 years.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color w:val="auto"/>
        </w:rPr>
        <w:t>Note 9 – Stock-Based Compensation and Other Employee Benefit Plans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has stock-based compensation plans, under which shares of the Company’s common stock are reserved for issuance. Under all stock-based compensation plans in effect as of June 30, 2022, there were approximately 3,404,000 shares available for future grant. Non-cash stock-based compensation expense under all plans totaled $6.8 million and $6.1 million for the three month periods ended June 30, 2022 and 2021, respectively, and totaled $13.2 million and $11.6 million for the six month periods ended June 30, 2022 and 2021, respectively. Income tax benefits associated with stock-based compensation arrangements totaled $1.2 million for both the three month periods ended June 30, 2022 and 2021. For the six month periods ended June 30, 2022 and 2021, income tax benefits totaled $3.4 million and $2.3 million, respectively, including net tax benefits related to the vesting of share-based payment awards totaling $0.9 million and $0.1 million, respectively.</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June 30, 2022, total unearned compensation related to restricted shares was approximately $44.3 million, which amount is expected to be recognized over a weighted average period of approximately 2.0 years. The fair value of restricted shares that vested, which is based on the market price on the date of vesting, totaled $0.2 million and $0.5 million for the three month periods ended June 30, 2022 and 2021, respectively, and totaled $19.2 million and $11.3 million for the six month periods ended June 30, 2022 and 2021, respectively.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Weighted</w:t>
            </w:r>
          </w:p>
        </w:tc>
        <w:tc>
          <w:tcPr>
            <w:tcW w:w="0" w:type="dxa"/>
            <w:vAlign w:val="bottom"/>
          </w:tcPr>
          <w:p>
            <w:pPr>
              <w:spacing w:after="0"/>
              <w:rPr>
                <w:sz w:val="1"/>
                <w:szCs w:val="1"/>
                <w:color w:val="auto"/>
              </w:rPr>
            </w:pPr>
          </w:p>
        </w:tc>
      </w:tr>
      <w:tr>
        <w:trPr>
          <w:trHeight w:val="162"/>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1"/>
                <w:szCs w:val="21"/>
                <w:b w:val="1"/>
                <w:bCs w:val="1"/>
                <w:color w:val="auto"/>
                <w:vertAlign w:val="superscript"/>
              </w:rPr>
              <w:t>(a)</w:t>
            </w:r>
          </w:p>
        </w:tc>
        <w:tc>
          <w:tcPr>
            <w:tcW w:w="1560" w:type="dxa"/>
            <w:vAlign w:val="bottom"/>
            <w:gridSpan w:val="2"/>
            <w:vMerge w:val="continue"/>
          </w:tcPr>
          <w:p>
            <w:pPr>
              <w:spacing w:after="0"/>
              <w:rPr>
                <w:sz w:val="14"/>
                <w:szCs w:val="14"/>
                <w:color w:val="auto"/>
              </w:rPr>
            </w:pPr>
          </w:p>
        </w:tc>
        <w:tc>
          <w:tcPr>
            <w:tcW w:w="14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 Date</w:t>
            </w:r>
          </w:p>
        </w:tc>
        <w:tc>
          <w:tcPr>
            <w:tcW w:w="0" w:type="dxa"/>
            <w:vAlign w:val="bottom"/>
          </w:tcPr>
          <w:p>
            <w:pPr>
              <w:spacing w:after="0"/>
              <w:rPr>
                <w:sz w:val="1"/>
                <w:szCs w:val="1"/>
                <w:color w:val="auto"/>
              </w:rPr>
            </w:pPr>
          </w:p>
        </w:tc>
      </w:tr>
      <w:tr>
        <w:trPr>
          <w:trHeight w:val="216"/>
        </w:trPr>
        <w:tc>
          <w:tcPr>
            <w:tcW w:w="8220" w:type="dxa"/>
            <w:vAlign w:val="bottom"/>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December 31, 2021</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1,748,685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0" w:type="dxa"/>
            <w:vAlign w:val="bottom"/>
          </w:tcPr>
          <w:p>
            <w:pPr>
              <w:spacing w:after="0"/>
              <w:rPr>
                <w:sz w:val="1"/>
                <w:szCs w:val="1"/>
                <w:color w:val="auto"/>
              </w:rPr>
            </w:pPr>
          </w:p>
        </w:tc>
      </w:tr>
      <w:tr>
        <w:trPr>
          <w:trHeight w:val="207"/>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June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1,688,972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2,150 and 1,300 restricted stock units as of June 30, 2022 and December 31, 2021, respectively.</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At the Company’s discretion, share purchases may be satisfied by delivering newly issued common shares or common shares reacquired on the open market or in privately negotiated transactions.</w:t>
      </w:r>
    </w:p>
    <w:p>
      <w:pPr>
        <w:spacing w:after="0" w:line="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For the three month periods ended June 30, 2022 and 2021, 31,888 shares and 20,191 shares, respectively, were purchased by participants under the Company’s ESPPs for $1.8 million in both periods, and for the six month periods ended June 30, 2022 and 2021, 56,625 shares and 39,033 shares, respectively, were purchased for $3.6 million and $3.2 million, respectively. All shares purchased by participants under the Company’s ESPPs for the three and six month periods ended June 30, 2022 and 2021 were reacquired by the Company on the open market. Compensation expense associated with the Company’s ESPPs totaled approximately $0.3 million and $0.2 million for the three month periods ended June 30, 2022 and 2021, respectively, and totaled approximately $0.7 million and $0.5 million for the six month periods ended June 30, 2022 and 2021,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Other Retirement Plans</w:t>
      </w:r>
    </w:p>
    <w:p>
      <w:pPr>
        <w:spacing w:after="0" w:line="1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Multiemployer Plans. </w:t>
      </w:r>
      <w:r>
        <w:rPr>
          <w:rFonts w:ascii="Times New Roman" w:cs="Times New Roman" w:eastAsia="Times New Roman" w:hAnsi="Times New Roman"/>
          <w:sz w:val="16"/>
          <w:szCs w:val="16"/>
          <w:color w:val="auto"/>
        </w:rPr>
        <w:t>Certain of MasTec’s subsidiaries contribute amounts to multiemployer pension and other multiemployer benefit plans and trusts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(“MEPPs”).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Multiemployer Plans</w:t>
            </w: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Covered Employees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 xml:space="preserve">Contributions </w:t>
            </w:r>
            <w:r>
              <w:rPr>
                <w:rFonts w:ascii="Times New Roman" w:cs="Times New Roman" w:eastAsia="Times New Roman" w:hAnsi="Times New Roman"/>
                <w:sz w:val="15"/>
                <w:szCs w:val="15"/>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940" w:type="dxa"/>
            <w:vAlign w:val="bottom"/>
          </w:tcPr>
          <w:p>
            <w:pPr>
              <w:spacing w:after="0"/>
              <w:rPr>
                <w:sz w:val="13"/>
                <w:szCs w:val="13"/>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Low</w:t>
            </w:r>
          </w:p>
        </w:tc>
        <w:tc>
          <w:tcPr>
            <w:tcW w:w="11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High</w:t>
            </w:r>
          </w:p>
        </w:tc>
        <w:tc>
          <w:tcPr>
            <w:tcW w:w="24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40" w:type="dxa"/>
            <w:vAlign w:val="bottom"/>
          </w:tcPr>
          <w:p>
            <w:pPr>
              <w:spacing w:after="0"/>
              <w:rPr>
                <w:sz w:val="13"/>
                <w:szCs w:val="13"/>
                <w:color w:val="auto"/>
              </w:rPr>
            </w:pPr>
          </w:p>
        </w:tc>
        <w:tc>
          <w:tcPr>
            <w:tcW w:w="132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9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Multiemployer</w:t>
            </w: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The fluctuations in the number of employees covered under multiemployer plans and associated contributions in the table above related primarily to the timing of activity for the Company’s union resource-based projects. For the three and six month periods ended June 30, 2022, multiemployer plan activity was driven primarily by acquisition-related project work within the Company’s Power Delivery operations, whereas for the three and six month periods ended June 30, 2021, activity was driven primarily by projects within the Company’s Oil and Gas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Equity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Share Activity</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Company’s share repurchase programs provide for the repurchase, from time to time, of MasTec common shares in open market transactions or in privately negotiated transactions in accordance with applicable securities laws. The Company’s share repurchase programs do not have an expiration date and may be modified or suspended at any time at the Company’s discretion. For the three and six month periods ended June 30, 2022, the Company repurchased 0.9 million and 1.1 million shares of its common stock, respectively, under its share repurchase programs for an aggregate purchase price of approximately $67.5 million and $81.3 million, respectively. Of the total repurchased shares, 0.1 million were repurchased in the first quarter of 2022 for $8.6 million under the Company’s December 2018 $100 million share repurchase program, which completed the program. The remaining 1.0 million shares were repurchased for $72.7 million under the Company’s March 2020 $150 million share repurchase program. There were no share repurchases under the Company’s share repurchase programs in either of the three or six month periods ended June 30, 2021.</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may use either authorized or unissued shares or treasury shares to meet its share issuance requirements. During the second quarter of 2022, the Company reissued 0.1 million shares of its treasury stock with a cost basis of $4.3 million in settlement of certain Additional Payments in connection with an acquisition. See Note 3 – Acquisitions, Goodwill and Other Intangible Assets for additional information. As of June 30, 2022, $77.3 million was available for future share repurchases under the Company’s March 2020 share repurchase program.</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Accumulated Other Comprehensive Loss</w:t>
      </w:r>
    </w:p>
    <w:p>
      <w:pPr>
        <w:spacing w:after="0" w:line="1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Unrealized foreign currency translation activity, net, for the three and six month periods ended June 30, 2022 and 2021 relates to the Company’s operations in Canada and Mexico. Unrealized investment activity, net, for the three and six month periods ended June 30, 2022 relates to activity associated with the Waha JV interest rate swaps. For the three month period ended June 30, 2021, unrealized investment activity, net, includes unrealized losses on the interest rate swaps, offset, in part, by unrealized gains on the Company’s investment in AVCT convertible debentures. For the six month period ended June 30, 2021, unrealized investment activity, net, includes unrealized gains on both the interest rate swaps and on the AVCT convertible debentures. See Note 4 - Fair Value of Financial Instruments for additional information related to the Waha JV swaps and the AVCT convertible debentures.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Income Taxes</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June 30, 2022 and 2021, the Company’s consolidated effective tax rates were 10.9% and 26.3%, respectively, and for the six month periods ended June 30, 2022 and 2021, were 37.4% and 28.4%, respectively. The Company’s effective tax rate for the six month period ended June 30, 2022 included a net tax benefit of approximately $1.0 million related to the vesting of share-based payment awards as well as a benefit of approximately $2.0 million from the true-up of certain prior year non-deductible expenses, whereas for the six month period ended June 30, 2021, included the negative effect of $2.3 million related to non-deductible share-based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Segments and Related Information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manages its operations under five operating segments, which represent its five reportable segments: (1) Communications; (2) Clean Energy and Infrastructure; (3) Oil and Gas; (4) Power Delivery and (5) Other. This structure is generally focused on broad end-user markets for the Company’s labor-based construction services. All five reportable segments derive their revenue from the engineering, installation and maintenance of infrastructure, primarily in North America. In the first quarter of 2022, the Company began integrating the acquisition of HMG into its operations. The HMG acquisition was completed on December 30, 2021, with its initial balance sheet reported within the Company’s Power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22" w:name="page23"/>
    <w:bookmarkEnd w:id="22"/>
    <w:p>
      <w:pPr>
        <w:jc w:val="both"/>
        <w:spacing w:after="0" w:line="272" w:lineRule="auto"/>
        <w:rPr>
          <w:sz w:val="20"/>
          <w:szCs w:val="20"/>
          <w:color w:val="auto"/>
        </w:rPr>
      </w:pPr>
      <w:r>
        <w:rPr>
          <w:rFonts w:ascii="Times New Roman" w:cs="Times New Roman" w:eastAsia="Times New Roman" w:hAnsi="Times New Roman"/>
          <w:sz w:val="16"/>
          <w:szCs w:val="16"/>
          <w:color w:val="auto"/>
        </w:rPr>
        <w:t>Delivery segment. During the first quarter of 2022, the Company reported portions of HMG’s operations within its Power Delivery, Communications and Oil and Gas segments, as appropriate, and HMG’s corporate functions within its Corporate results. Accordingly, HMG’s December 31, 2021 balance sheet information was recast to conform with the new reporting structure.</w:t>
      </w:r>
    </w:p>
    <w:p>
      <w:pPr>
        <w:spacing w:after="0" w:line="6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for renewable energy and various types of heavy civil and industrial infrastructure. The Company performs engineering, construction and maintenance services for pipelines and processing facilities for the energy and utilities industries through its Oil and Gas segment. The Power Delivery segment primarily serves the energy and utility industries through the engineering, construction and maintenance of power transmission and distribution infrastructure, including electrical and gas transmission lines, distribution network systems and substations. The Other segment includes certain equity investees, the services of which vary from those provided by the Company’s primary segments, as well as other small business units that perform construction and other services for certain international end-markets.</w:t>
      </w:r>
    </w:p>
    <w:p>
      <w:pPr>
        <w:spacing w:after="0" w:line="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7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2"/>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40" w:type="dxa"/>
            <w:vAlign w:val="bottom"/>
            <w:tcBorders>
              <w:bottom w:val="single" w:sz="8" w:color="auto"/>
            </w:tcBorders>
          </w:tcPr>
          <w:p>
            <w:pPr>
              <w:spacing w:after="0"/>
              <w:rPr>
                <w:sz w:val="18"/>
                <w:szCs w:val="18"/>
                <w:color w:val="auto"/>
              </w:rPr>
            </w:pP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Communications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1,486.2</w:t>
            </w:r>
          </w:p>
        </w:tc>
        <w:tc>
          <w:tcPr>
            <w:tcW w:w="4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1,199.0</w:t>
            </w: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831.9</w:t>
            </w: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w:t>
            </w: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4,256.2</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3,738.1</w:t>
            </w:r>
          </w:p>
        </w:tc>
      </w:tr>
    </w:tbl>
    <w:p>
      <w:pPr>
        <w:spacing w:after="0" w:line="112" w:lineRule="exact"/>
        <w:rPr>
          <w:sz w:val="20"/>
          <w:szCs w:val="20"/>
          <w:color w:val="auto"/>
        </w:rPr>
      </w:pPr>
    </w:p>
    <w:p>
      <w:pPr>
        <w:ind w:left="340" w:hanging="332"/>
        <w:spacing w:after="0" w:line="302" w:lineRule="auto"/>
        <w:tabs>
          <w:tab w:leader="none" w:pos="40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generated primarily by utilities customers represented 24.1% and 20.6% of Communications segment revenue for the three month periods ended June 30, 2022 and 2021, respectively, and represented 24.8% and 20.4% for the six month periods ended June 30, 2021 and 2020, respectively.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2"/>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40" w:type="dxa"/>
            <w:vAlign w:val="bottom"/>
            <w:tcBorders>
              <w:bottom w:val="single" w:sz="8" w:color="auto"/>
            </w:tcBorders>
          </w:tcPr>
          <w:p>
            <w:pPr>
              <w:spacing w:after="0"/>
              <w:rPr>
                <w:sz w:val="18"/>
                <w:szCs w:val="18"/>
                <w:color w:val="auto"/>
              </w:rPr>
            </w:pP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4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w:t>
            </w:r>
          </w:p>
        </w:tc>
      </w:tr>
    </w:tbl>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For the three month period ended June 30, 2022, Power Delivery, Communications, Oil and Gas and Corporate EBITDA included $7.0 million, $1.1 million, $1.4 million and $3.0 million, respectively, of acquisition and integration costs related to the Company’s fourth quarter 2021 acquisitions, and for the six month period ended June 30, 2022, included $14.1 million, $1.9 million, $3.3 million and $6.8 million, respectively, of such costs. For the three and six month periods ended June 30, 2022, Corporate EBITDA included fair value losses related to an investment of $2.2 million and $7.1 million, respectively. For the three month period ended June 30, 2021, Corporate EBITDA included fair value gains, net, of $1.0 million related to this investment, and for the three and six month period ended June 30, 2021, fair value activity on this investment was de minimis.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2"/>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40" w:type="dxa"/>
            <w:vAlign w:val="bottom"/>
            <w:tcBorders>
              <w:bottom w:val="single" w:sz="8" w:color="auto"/>
            </w:tcBorders>
          </w:tcPr>
          <w:p>
            <w:pPr>
              <w:spacing w:after="0"/>
              <w:rPr>
                <w:sz w:val="18"/>
                <w:szCs w:val="18"/>
                <w:color w:val="auto"/>
              </w:rPr>
            </w:pP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4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r>
    </w:tbl>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08"/>
        </w:trPr>
        <w:tc>
          <w:tcPr>
            <w:tcW w:w="826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9"/>
                <w:szCs w:val="9"/>
                <w:color w:val="auto"/>
              </w:rPr>
            </w:pPr>
          </w:p>
        </w:tc>
        <w:tc>
          <w:tcPr>
            <w:tcW w:w="1140" w:type="dxa"/>
            <w:vAlign w:val="bottom"/>
            <w:vMerge w:val="restart"/>
          </w:tcPr>
          <w:p>
            <w:pPr>
              <w:jc w:val="right"/>
              <w:ind w:right="459"/>
              <w:spacing w:after="0" w:line="16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jc w:val="right"/>
              <w:ind w:right="563"/>
              <w:spacing w:after="0" w:line="108" w:lineRule="exact"/>
              <w:rPr>
                <w:sz w:val="20"/>
                <w:szCs w:val="20"/>
                <w:color w:val="auto"/>
              </w:rPr>
            </w:pPr>
            <w:r>
              <w:rPr>
                <w:rFonts w:ascii="Times New Roman" w:cs="Times New Roman" w:eastAsia="Times New Roman" w:hAnsi="Times New Roman"/>
                <w:sz w:val="11"/>
                <w:szCs w:val="11"/>
                <w:b w:val="1"/>
                <w:bCs w:val="1"/>
                <w:color w:val="auto"/>
              </w:rPr>
              <w:t>(a)</w:t>
            </w:r>
          </w:p>
        </w:tc>
        <w:tc>
          <w:tcPr>
            <w:tcW w:w="0" w:type="dxa"/>
            <w:vAlign w:val="bottom"/>
          </w:tcPr>
          <w:p>
            <w:pPr>
              <w:spacing w:after="0"/>
              <w:rPr>
                <w:sz w:val="1"/>
                <w:szCs w:val="1"/>
                <w:color w:val="auto"/>
              </w:rPr>
            </w:pPr>
          </w:p>
        </w:tc>
      </w:tr>
      <w:tr>
        <w:trPr>
          <w:trHeight w:val="54"/>
        </w:trPr>
        <w:tc>
          <w:tcPr>
            <w:tcW w:w="826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2,100.9</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1,067.0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1,527.6</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2,017.2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238.1</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170.6</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segment assets</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7,121.4</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340" w:hanging="332"/>
        <w:spacing w:after="0" w:line="281" w:lineRule="auto"/>
        <w:tabs>
          <w:tab w:leader="none" w:pos="38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assets as of December 31, 2021 were recast during the first quarter of 2022 to conform with the change in segment reporting for the HMG acquisition, the effect of which was a decrease in Power Delivery segment assets of $192.2 million, an increase in assets for the Communications and Oil and Gas segments of $69.4 million and $77.0 million, respectively, and an increase in Corporate assets of $45.8 million.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r>
      <w:tr>
        <w:trPr>
          <w:trHeight w:val="212"/>
        </w:trPr>
        <w:tc>
          <w:tcPr>
            <w:tcW w:w="6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422.5</w:t>
            </w:r>
          </w:p>
        </w:tc>
      </w:tr>
    </w:tbl>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Foreign Operations and Other. </w:t>
      </w:r>
      <w:r>
        <w:rPr>
          <w:rFonts w:ascii="Times New Roman" w:cs="Times New Roman" w:eastAsia="Times New Roman" w:hAnsi="Times New Roman"/>
          <w:sz w:val="16"/>
          <w:szCs w:val="16"/>
          <w:color w:val="auto"/>
        </w:rPr>
        <w:t>MasTec operates primarily in the United States and Canada, and, to a far lesser extent, in Mexico, the Caribbean and India.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derived from U.S. operations totaled $2.3 billion and $1.9 billion for the three month periods ended June 30, 2022 and 2021, respectively, and totaled $4.2 billion and $3.7 billion for the six month periods ended June 30, 2022 and 2021, respectively. Revenue derived from foreign operations totaled $51.3 million and $33.4 million for the three month periods ended June 30, 2022 and 2021, respectively, and totaled $75.8 million and $79.9 million for the six month periods ended June 30, 2022 and 2021, respectively. Revenue from foreign operations was derived primarily from the Company’s Canadian operations in its Oil and Gas segment, and, to a lesser extent, from the Company’s operations in Mexico. Long-lived assets held in the U.S. included property and equipment, net, of $1.5 billion and $1.4 billion as of June 30, 2022 and December 31, 2021, respectively, and for the Company’s businesses in foreign countries, totaled $23.9 million and $24.5 million, respectively. Intangible assets and goodwill, net, related to the Company’s U.S. operations totaled approximately $2.1 billion as of both June 30, 2022 and December 31, 2021, and for the Company’s businesses in foreign countries, totaled approximately $40.7 million and $43.8 million as of June 30, 2022 and December 31, 2021, respectively. Substantially all of the Company’s long-lived and intangible assets and goodwill in foreign countries relate to its Canadian operations. As of both June 30, 2022 and December 31, 2021, amounts due from customers from which foreign revenue was derived accounted for approximately 2% of the Company’s consolidated net accounts receivable position, which represents accounts receivable, net, less deferred revenue. Revenue from governmental entities for both the three and six month periods ended June 30, 2022 totaled approximately 7% of total revenue, and for the three and six month periods ended June 30, 2021, totaled approximately 6% and 5%, respectively, substantially all of which was derived from the Company’s U.S. operations.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Significant Customers</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For the three and six month periods ended June 30, 2022, no customer represented greater than 10% of the Company’s total consolidated revenue. For the three and six month periods ended June 30, 2021, Enbridge, Inc. represented 12% and 18%, respectively, of the Company’s total consolidated revenue. The Company’s relationship with Enbridge, Inc. is based upon various construction contracts for pipeline activities, for which the related revenue is included within the Oil and Gas segment.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Note 14 – Commitments and Contingencies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 In the third quarter of 2021, a settlement was finalized in favor of MasTec for approximately $25 million. As of June 30, 2022, $12 million, net of related settlement costs, is due in 2022.</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113"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Leases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related party leases. See Note 8 - Lease Obligations and Note 15 - Related Party Transactions.</w:t>
      </w:r>
    </w:p>
    <w:p>
      <w:pPr>
        <w:spacing w:after="0" w:line="3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Letters of Credit. </w:t>
      </w:r>
      <w:r>
        <w:rPr>
          <w:rFonts w:ascii="Times New Roman" w:cs="Times New Roman" w:eastAsia="Times New Roman" w:hAnsi="Times New Roman"/>
          <w:sz w:val="16"/>
          <w:szCs w:val="16"/>
          <w:color w:val="auto"/>
        </w:rPr>
        <w:t>In the ordinary course of business, the Company is required to post letters of credit for its insurance carriers and surety bond providers and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June 30, 2022 and December 31, 2021, there were $215.8 million and $188.5 million, respectively, of letters of credit issued under the Company’s credit facilities. The Company is not aware of any material claims relating to its outstanding letters of credit as of June 30, 2022.</w:t>
      </w:r>
    </w:p>
    <w:p>
      <w:pPr>
        <w:spacing w:after="0" w:line="2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June 30, 2022 and December 31, 2021, outstanding performance and payment bonds approximated $2,154.3 million and $2,155.2 million, respectively, and estimated costs to complete projects secured by these bonds totaled $770.7 million and $768.8 million as of June 30, 2022 and December 31, 2021, respectively. Included in these balances as of both June 30, 2022 and December 31, 2021 are $115.0 million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Investment and Strategic Arrangements. </w:t>
      </w:r>
      <w:r>
        <w:rPr>
          <w:rFonts w:ascii="Times New Roman" w:cs="Times New Roman" w:eastAsia="Times New Roman" w:hAnsi="Times New Roman"/>
          <w:sz w:val="16"/>
          <w:szCs w:val="16"/>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30% to 50% in three civil construction projects.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June 30, 2022, the Company was not aware of material future claims against it in connection with these arrangements. Included in the Company’s cash balances as of June 30, 2022 and December 31, 2021 are amounts held by entities that are proportionately consolidated totaling $13.1 million and $14.6 million, respectively. These amounts are available to support the operations of those entities, but are not available for the Company’s other operations.</w:t>
      </w:r>
    </w:p>
    <w:p>
      <w:pPr>
        <w:spacing w:after="0" w:line="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spacing w:after="0" w:line="5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Self-Insurance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deductibles. The Company is self-insured up to the amount of the deductible. The Company also maintains excess umbrella coverage. The Company manages certain of its insurance liabilities indirectly through its wholly-owned captive insurance companies, which reimburse claims up to the applicable insurance limits. Cash balances held by the Company’s captive insurance companies, which totaled approximately $0.3 million as of both June 30, 2022 and December 31, 2021, are generally not available for use in the Company’s other operations.</w:t>
      </w:r>
    </w:p>
    <w:p>
      <w:pPr>
        <w:spacing w:after="0" w:line="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June 30, 2022 and December 31, 2021, MasTec’s estimated liability for unpaid claims and associated expenses, including incurred but not reported losses related to its insurance policies, totaled $190.8 million and $189.8 million, respectively, of which $125.4 million and $126.5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$4.4 million and $4.2 million as of June 30, 2022 and December 31, 2021, respectively.</w:t>
      </w:r>
    </w:p>
    <w:p>
      <w:pPr>
        <w:spacing w:after="0" w:line="7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$154.3 million and $125.7 million as of June 30, 2022 and December 31, 2021, respectively. As of both June 30, 2022 and December 31, 2021, outstanding surety bonds related to self-insurance programs amounted to $52.9 million.</w:t>
      </w:r>
    </w:p>
    <w:p>
      <w:pPr>
        <w:spacing w:after="0" w:line="6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Collective Bargaining Agreements and Multiemployer Plans. </w:t>
      </w:r>
      <w:r>
        <w:rPr>
          <w:rFonts w:ascii="Times New Roman" w:cs="Times New Roman" w:eastAsia="Times New Roman" w:hAnsi="Times New Roman"/>
          <w:sz w:val="16"/>
          <w:szCs w:val="16"/>
          <w:color w:val="auto"/>
        </w:rPr>
        <w:t>As discussed in Note 10 - Other Retirement Plans, certain of MasTec’s subsidiaries are party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w:t>
      </w:r>
    </w:p>
    <w:p>
      <w:pPr>
        <w:sectPr>
          <w:pgSz w:w="11900" w:h="16838" w:orient="portrait"/>
          <w:cols w:equalWidth="0" w:num="1">
            <w:col w:w="11240"/>
          </w:cols>
          <w:pgMar w:left="320" w:top="11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25" w:name="page26"/>
    <w:bookmarkEnd w:id="25"/>
    <w:p>
      <w:pPr>
        <w:jc w:val="both"/>
        <w:spacing w:after="0" w:line="280" w:lineRule="auto"/>
        <w:rPr>
          <w:sz w:val="20"/>
          <w:szCs w:val="20"/>
          <w:color w:val="auto"/>
        </w:rPr>
      </w:pPr>
      <w:r>
        <w:rPr>
          <w:rFonts w:ascii="Times New Roman" w:cs="Times New Roman" w:eastAsia="Times New Roman" w:hAnsi="Times New Roman"/>
          <w:sz w:val="16"/>
          <w:szCs w:val="16"/>
          <w:color w:val="auto"/>
        </w:rPr>
        <w:t>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7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Company currently contributes, and in the past, has contributed to, plans that are underfunded, and, therefore, could have potential liability associated with a voluntary or involuntary withdrawal from, or termination of, these plans. As of June 30, 2022,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 In connection with the HMG acquisition, the Company assumed an obligation related to HMG’s 2016 withdrawal from a multiemployer pension plan, under which HMG is obligated to make quarterly payments of approximately $74,000 through 2036. As of June 30, 2022 and December 31, 2021, a withdrawal liability of approximately $3.3 million and $3.4 million, respectively, was recorded within other current and other long-term liabilities, as appropriate, within the consolidated balance sheets related to this obligation.</w:t>
      </w:r>
    </w:p>
    <w:p>
      <w:pPr>
        <w:spacing w:after="0" w:line="2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subject the Company to indemnity claims, liabilities and related litigation. As of both June 30, 2022 and December 31, 2021, the Company had accrued project close-out liabilities of approximately $40 million. The Company is not aware of any other material asserted or unasserted claims in connection with its potential indemnity obligations.</w:t>
      </w:r>
    </w:p>
    <w:p>
      <w:pPr>
        <w:spacing w:after="0" w:line="2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Guarantees. </w:t>
      </w:r>
      <w:r>
        <w:rPr>
          <w:rFonts w:ascii="Times New Roman" w:cs="Times New Roman" w:eastAsia="Times New Roman" w:hAnsi="Times New Roman"/>
          <w:sz w:val="16"/>
          <w:szCs w:val="16"/>
          <w:color w:val="auto"/>
        </w:rPr>
        <w:t>From time to time in the ordinary course of its business, MasTec guarantees the obligations of its subsidiaries, including obligations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Concentrations of Risk. </w:t>
      </w:r>
      <w:r>
        <w:rPr>
          <w:rFonts w:ascii="Times New Roman" w:cs="Times New Roman" w:eastAsia="Times New Roman" w:hAnsi="Times New Roman"/>
          <w:sz w:val="16"/>
          <w:szCs w:val="16"/>
          <w:color w:val="auto"/>
        </w:rPr>
        <w:t>For the six month period ended June 30, 2022, the Company had approximately 920 customers. In the third quarter of 2021, DIRECTV®</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was spun off from AT&amp;T. As a result, for customer reporting purposes, AT&amp;T and DIRECTV® are reported separately and all prior periods have been updated to give retroactive effect to the spin-off of DIRECTV® from AT&amp;T. As of June 30, 2022 and December 31, 2021, there were no customers that represented greater than 10% of the Company’s consolidated net accounts receivable position, which is calculated as accounts receivable, net, less deferred revenue. For the three month periods ended June 30, 2022 and 2021, the Company derived approximately 42% and 53%, respectively, of its revenue from its top ten customers, and derived 43% and 58% for the six month periods ended June 30,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Related Party Transactions</w:t>
      </w:r>
    </w:p>
    <w:p>
      <w:pPr>
        <w:spacing w:after="0" w:line="11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MasTec purchases, rents and leases equipment and purchases various types of supplies and services used in its business, including ancillary construction services, project-related site restoration and marketing, business development and administrative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June 30, 2022 and 2021, such payments to related party entities totaled approximately $7.8 million and $30.7 million, respectively, and for the six month periods ended June 30, 2022 and 2021, totaled approximately $14.6 million and $51.1 million, respectively. Payables associated with such arrangements totaled approximately $0.8 million and $0.6 million as of June 30, 2022 and December 31, 2021, respectively. Revenue from such related party arrangements totaled approximately $1.3 million and $0.9 million for the three month periods ended June 30, 2022 and 2021, respectively, and totaled approximately $5.1 million and $2.1 million, respectively, for the six month periods ended June 30, 2022 and 2021. Related amounts receivable, net, totaled approximately $2.5 million and $0.4 million as of June 30, 2022 and December 31, 2021, respectively.</w:t>
      </w:r>
    </w:p>
    <w:p>
      <w:pPr>
        <w:spacing w:after="0" w:line="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For the three and six month periods ended June 30, 2022, MasTec paid CCI $0.7 million and $1.7 million, respectively, related to this activity, and for the three and six month periods ended June 30, 2021, paid approximately $5.6 million and $10.7 million, net of rebates, respectively. Amounts payable to CCI totaled approximately $0.8 million as of both June 30, 2022 and December 31, 2021.</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June 30, 2022 and 2021, MasTec incurred subcontracting expenses in connection with this arrangement of approximately $0.1 million and $16.8 million, respectively, and for the six month periods ended June 30, 2022 and 2021, incurred subcontracting expenses of approximately $0.1 million and $45.8 million, respectively. As of June 30, 2022 and December 31, 2021, related amounts payable totaled approximately $0.1 million and $0.5 million, respectively.</w:t>
      </w:r>
    </w:p>
    <w:p>
      <w:pPr>
        <w:spacing w:after="0" w:line="8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MasTec has a leasing arrangement for an aircraft that is owned by an entity that Jorge Mas owns. For both the three month periods ended June 30, 2022 and 2021, MasTec paid approximately $0.6 million related to this leasing arrangement, and paid approximately $1.3 million for both the six month periods ended June 30, 2022 and 2021.</w:t>
      </w:r>
    </w:p>
    <w:p>
      <w:pPr>
        <w:spacing w:after="0" w:line="6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MasTec has performed construction services on behalf of a professional Miami soccer franchise (the “Franchise”) in which Jorge Mas and José R. Mas are majority owners. Services provided by MasTec have included the construction of a soccer facility and stadium as well as wireless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72" w:lineRule="auto"/>
        <w:rPr>
          <w:sz w:val="20"/>
          <w:szCs w:val="20"/>
          <w:color w:val="auto"/>
        </w:rPr>
      </w:pPr>
      <w:r>
        <w:rPr>
          <w:rFonts w:ascii="Times New Roman" w:cs="Times New Roman" w:eastAsia="Times New Roman" w:hAnsi="Times New Roman"/>
          <w:sz w:val="16"/>
          <w:szCs w:val="16"/>
          <w:color w:val="auto"/>
        </w:rPr>
        <w:t>infrastructure services. MasTec may perform additional construction services for the Franchise in the future. Payments for other expenses related to the Franchise for the three month periods ended June 30, 2022 and 2021 totaled approximately $0.2 million and $0.1 million, respectively, and totaled approximately $0.3 million and $0.2 million for the six month periods ended June 30, 2022 and 2021.</w:t>
      </w:r>
    </w:p>
    <w:p>
      <w:pPr>
        <w:spacing w:after="0" w:line="6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connection with a fourth quarter 2021 acquisition, MasTec has a subcontracting arrangement to perform construction services for an entity, of which José R. Mas acquired a minority interest, and of which a member of management of a MasTec subsidiary owns the remaining interest. For the three and six month periods ended June 30, 2022, revenue recognized by MasTec under this arrangement totaled approximately $31.9 million and $60.7 million, respectively, and as of June 30, 2022, related amounts receivable totaled approximately $9.0 million. There were no amounts receivable as of December 31, 2021. MasTec pays a management fee to this entity in connection with the subcontracting arrangement. MasTec incurred approximately $0.5 million and $0.7 million of management fee expenses related to this arrangement for the three and six month periods ended June 30, 2022, of which $0.3 million was payable as of June 30, 2022.</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leases employees and provides satellite communication services to a customer in which Jorge Mas and José R. Mas own a majority interest. Charges to this customer under these arrangements totaled approximately $0.3 million for both the three month periods ended June 30, 2022 and 2021, and totaled approximately $0.6 million for both the six month periods ended June 30, 2022 and 2021. As of both June 30, 2022 and December 31, 2021, related amounts receivable totaled approximately $0.8 million.</w:t>
      </w:r>
    </w:p>
    <w:p>
      <w:pPr>
        <w:spacing w:after="0" w:line="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Company has advanced amounts on behalf of an entity that was acquired in 2021. Amounts outstanding for such advances, which are expected to be settled under customary terms associated with the related purchase agreement, totaled approximately $1.9 million and $0.5 million as of June 30, 2022 and December 31, 2021, respectively. Additionally, in 2021, the Company advanced amounts to the former owner of an acquired business. There were no remaining amounts outstanding as of June 30, 2022, and as of December 31, 2021, approximately $1.0 million of such advances was outstanding. In addition, the Company, through a 2020 acquisition, has a 25% interest in an entity, under which the acquired business and the 25% owned entity have a subcontracting arrangement. The Company’s interest in this entity, for which post acquisition operating activity is de minimis, is accounted for as an equity method investment. For the three month period ended June 30, 2022, the Company made no equity contributions to this entity, and for the six month period ended June 30, 2022, the Company made equity contributions of $0.5 million. As of June 30, 2022 and December 31, 2021, the Company’s net investment in this entity was a liability of approximately $1.3 million and $1.6 million, respectively, which net amounts each included approximately $2.3 million of accounts receivable, net, less deferred revenue, related to the subcontracting arrangement. Additionally, the Company has certain arrangements with an entity in which members of management have an ownership interest, including a fee arrangement in conjunction with a $15.0 million letter of credit issued by the Company on behalf of this entity. Income recognized in connection with these arrangements totaled approximately $0.2 million for both the three month periods ended June 30, 2022 and 2021, and totaled $0.4 million for both the six month periods ended June 30, 2022 and 2021. As of both June 30, 2022 and December 31, 2021, related amounts receivable totaled $0.4 million.</w:t>
      </w:r>
    </w:p>
    <w:p>
      <w:pPr>
        <w:spacing w:after="0" w:line="81" w:lineRule="exact"/>
        <w:rPr>
          <w:sz w:val="20"/>
          <w:szCs w:val="20"/>
          <w:color w:val="auto"/>
        </w:rPr>
      </w:pPr>
    </w:p>
    <w:p>
      <w:pPr>
        <w:ind w:right="340" w:firstLine="648"/>
        <w:spacing w:after="0" w:line="272" w:lineRule="auto"/>
        <w:rPr>
          <w:sz w:val="20"/>
          <w:szCs w:val="20"/>
          <w:color w:val="auto"/>
        </w:rPr>
      </w:pPr>
      <w:r>
        <w:rPr>
          <w:rFonts w:ascii="Times New Roman" w:cs="Times New Roman" w:eastAsia="Times New Roman" w:hAnsi="Times New Roman"/>
          <w:sz w:val="16"/>
          <w:szCs w:val="16"/>
          <w:color w:val="auto"/>
        </w:rPr>
        <w:t>Non-controlling interests in entities consolidated by the Company represent ownership interests held by members of management of certain of the Company’s subsidiaries, primarily in the Company’s Oil and Gas segment. In June 2021, the Company acquired an additional 15% of the non-controlling interests in one of these entities from two members of subsidiary management for $6.8 million in cash.</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Split Dollar Agreements</w:t>
      </w:r>
    </w:p>
    <w:p>
      <w:pPr>
        <w:spacing w:after="0" w:line="131"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6"/>
          <w:szCs w:val="16"/>
          <w:color w:val="auto"/>
        </w:rPr>
        <w:t>MasTec has split dollar life insurance agreements with trusts, for one of which Jorge Mas is a trustee and for the other of which José R. Mas is a trustee. The Company paid $0.5 million and $0.7 million, respectively, in both the second quarters of 2022 and 2021 in connection with these agreements. As of June 30, 2022 and December 31, 2021, life insurance assets associated with these agreements totaled approximately $25.2 million and $24.0 million,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1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ongoing COVID-19 pandemic.</w:t>
      </w:r>
    </w:p>
    <w:p>
      <w:pPr>
        <w:spacing w:after="0" w:line="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These risks and uncertainties include those described in “Management’s Discussion and Analysis of Financial Condition and Results of Operations,” and elsewhere in this report and in our 2021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following is a discussion and analysis of our business, financial condition and results of operations as of and for the three and six month periods ended June 30, 2022 and 2021.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2021 Form 10-K. In this MD&amp;A, “$” means U.S. dollars unless specified otherwise.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Transactions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July 2022, we entered into a definitive agreement to acquire all of the outstanding shares of Infrastructure and Energy Alternatives, Inc. (“IEA”), a premier clean energy and infrastructure services provider, which acquisition is expected to close at the end of the fourth quarter of 2022, subject to IEA shareholder approval, regulatory approvals and other customary closing conditions. IEA is expected to be included within our Clean Energy and Infrastructure segment. Under the terms of the agreement, we will acquire IEA in a cash and stock transaction valued at $14.00 per IEA share, composed of 75% cash ($10.50 per IEA share) and 25% stock consideration ($3.50 per IEA share). Based on current estimates of IEA net debt levels at closing, the total transaction consideration is expected to approximate $1.1 billion, including approximately 2.8 million MasTec shares.</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This acquisition will be funded with cash on hand, borrowings under our senior secured credit facility and additional debt financing. We intend to finance at least a portion of the cash required in connection with the transaction with a bridge facility, for which we have received bank commitments, or the Term Facilities (as defined below), for which we have also received bank commitments. Pursuant to the terms set forth in the bridge commitment letter, certain lenders have agreed to provide us with a 364-day senior unsecured bridge term loan facility in an aggregate principal amount of up to $1.0 billion. In addition, as an alternative to the bridge facility, certain lenders have agreed to use commercially reasonable efforts to provide (i) a three-year senior unsecured term loan facility in an aggregate principal amount of $500 million and (ii) a five-year senior unsecured term loan facility in an aggregate principal amount of $500 million (together, the “Term Facilities”). Additionally, we may continue to evaluate alternative financing structures and amounts based on our needs and capital market conditions. The availability of borrowings under the above described facilities is subject to the satisfaction of certain customary conditions, including execution of definitive documentation and the substantially concurrent consummation of the IEA acquisition.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Economic Conditions, Including the Effects of COVID-19</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have experienced, and may continue to experience, direct and indirect negative effects on our business and operations from negative economic conditions, including recent inflationary effects on fuel prices, labor and materials costs, rising interest rates and supply chain disruptions that have limited the availability of products. We may also experience negative effects from possible longer-term changes in consumer and customer behavior resulting from the effects of the COVID-19 pandemic. The COVID-19 pandemic has disrupted business activities and global economic conditions since 2020 and has negatively affected our operations during the same period. We have taken steps to mitigate the effects of general economic conditions, including the effects of the COVID-19 pandemic, on our business, and our business model has, thus far, proven resilient. While the adverse effects of the COVID-19 pandemic have begun to subside, its effects vary by region, and uncertainties arising from the COVID-19 pandemic could continue to disrupt economic conditions and business activities, particularly as new variants arise. The extent to which general economic conditions and the COVID-19 pandemic, including its emerging variants,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w:t>
      </w:r>
    </w:p>
    <w:p>
      <w:pPr>
        <w:spacing w:after="0" w:line="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believe that our financial position, cash flows and operational strengths will enable us to manage the current uncertainties resulting from general economic conditions, including the effects of the COVID-19 pandemic, as well as afford us the flexibility to invest strategically in our efforts to maximize shareholder value through potential mergers and acquisitions, share repurchases and capital expenditures. We carefully manage our liquidity and will continue to monitor any potential effects from changing economic conditions on our financial results, cash flows and/or working capital and intend to take appropriate actions in efforts to mitigate any impacts.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1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6"/>
          <w:szCs w:val="16"/>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power delivery services, including transmission and distribution, wireless, wireline/fiber and customer fulfillment activities; power generation, primarily from clean energy and renewable sources; pipeline infrastructure, including natural gas pipeline and distribution infrastructure; heavy civil; and industrial infrastructure. Our customers are primarily in these industries. Including our predecessor companies, we have been in business for over 90 years. For the twelve month period ended June 30, 2022, we had an average of approximately 710 locations and approximately 27,000 employees, and as of June 30, 2022, we had approximately 750 locations and 30,000 employees. We offer our services under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other service marks. We have been consistently ranked among the top specialty contractors by Engineering News-Record for the past several years.</w:t>
      </w:r>
    </w:p>
    <w:p>
      <w:pPr>
        <w:spacing w:after="0" w:line="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We manage our operations under five operating segments, which represent our five reportable segments: (1) Communications; (2) Clean Energy and Infrastructure; (3) Oil and Gas; (4) Power Delivery; and (5) Other. This structure is generally focused on broad end-user markets for our labor-based construction services. In the first quarter of 2022, we began integrating the acquisition of HMG. The HMG acquisition was completed on December 30, 2021, with its initial balance sheet reported within our Power Delivery segment. During the first quarter of 2022, we reported portions of HMG’s operations within our Power Delivery, Communications and Oil and Gas segments, as appropriate, and HMG’s corporate functions within our Corporate results. Accordingly, HMG’s December 31, 2021 balance sheet information was recast to conform with the new reporting structure. See Note 13 - Segments and Related Information and Note 14 - Commitments and Contingencies in the notes to the consolidated financial statements, which are incorporated by reference, for additional information regarding our segment reporting and significant customer concentrations.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41% of our estimated June 30, 2022 backlog in 2022. The following table presents 18-month estimated backlog by reportable segment as of the dates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(in millions):</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664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0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0" w:type="dxa"/>
            <w:vAlign w:val="bottom"/>
          </w:tcPr>
          <w:p>
            <w:pPr>
              <w:spacing w:after="0"/>
              <w:rPr>
                <w:sz w:val="1"/>
                <w:szCs w:val="1"/>
                <w:color w:val="auto"/>
              </w:rPr>
            </w:pP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0" w:type="dxa"/>
            <w:vAlign w:val="bottom"/>
          </w:tcPr>
          <w:p>
            <w:pPr>
              <w:spacing w:after="0"/>
              <w:rPr>
                <w:sz w:val="1"/>
                <w:szCs w:val="1"/>
                <w:color w:val="auto"/>
              </w:rPr>
            </w:pP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3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3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11,005</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As of June 30, 2022, 62%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economic or other conditions, including supply chain disruptions, inflationary effects, climate-related matters, political unrest, such as the ongoing military conflict in Ukraine, COVID-19 effects and/or other project-related factors. These effects, among others,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changes in governmental permitting, regulatory delays and/or other factors. There can be no assurance as to our customers’ requirements or if actual results will be consistent with the estimates included in our forecasts. As a result, our backlog as of any particular date is an uncertain indicator of future revenue and earnings.</w:t>
      </w:r>
    </w:p>
    <w:p>
      <w:pPr>
        <w:spacing w:after="0" w:line="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June 30, 2022, total 18-month backlog differed from the amount of our remaining performance obligations due primarily to the inclusion of $6.8 billion of estimated future revenue under master service and other service agreements within our backlog estimates, as described above, and the exclusion of approximately $1.0 billion of remaining performance obligations and estimated future revenue under master service and other service agreements in excess of 18 months, which amount is not included in the backlog estimates above. Backlog expected to be realized in 2022 differs from the amount of our remaining performance obligations expected to be recognized for the same period due primarily to the inclusion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29" w:name="page30"/>
    <w:bookmarkEnd w:id="29"/>
    <w:p>
      <w:pPr>
        <w:ind w:right="820"/>
        <w:spacing w:after="0" w:line="396" w:lineRule="auto"/>
        <w:rPr>
          <w:sz w:val="20"/>
          <w:szCs w:val="20"/>
          <w:color w:val="auto"/>
        </w:rPr>
      </w:pPr>
      <w:r>
        <w:rPr>
          <w:rFonts w:ascii="Times New Roman" w:cs="Times New Roman" w:eastAsia="Times New Roman" w:hAnsi="Times New Roman"/>
          <w:sz w:val="16"/>
          <w:szCs w:val="16"/>
          <w:color w:val="auto"/>
        </w:rPr>
        <w:t xml:space="preserve">of approximately $1.7 billion of estimated future revenue under master service and other service agreements that is included within the related backlog estimate. </w:t>
      </w:r>
      <w:r>
        <w:rPr>
          <w:rFonts w:ascii="Times New Roman" w:cs="Times New Roman" w:eastAsia="Times New Roman" w:hAnsi="Times New Roman"/>
          <w:sz w:val="16"/>
          <w:szCs w:val="16"/>
          <w:b w:val="1"/>
          <w:bCs w:val="1"/>
          <w:color w:val="auto"/>
        </w:rPr>
        <w:t>Economic, Industry and Market Factors</w:t>
      </w: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We closely monitor the effects of changes in economic and market conditions on our customers, including the potential effects of inflation, climate-related matters, the ongoing military conflict in Ukraine and the COVID-19 pandemic. Changes in general economic and market conditions can affect demand for our customers’ products and services, which can increase or decrease our customers’ planned capital and maintenance budgets in certain end-markets. Market, regulatory and industry factors could affect demand for our services, or the cost to provide such services, including (i) changes to our customers’ capital spending plans, including any potential effects from inflationary, recessionary or supply chain issues, rising interest rates or public health matters; (ii) new or changing regulatory requirements, governmental policy changes, and customer or industry initiatives, including with respect to climate change, sustainability and related environmental concerns, and changes in governmental permitting;</w:t>
      </w:r>
    </w:p>
    <w:p>
      <w:pPr>
        <w:spacing w:after="0" w:line="1" w:lineRule="exact"/>
        <w:rPr>
          <w:sz w:val="20"/>
          <w:szCs w:val="20"/>
          <w:color w:val="auto"/>
        </w:rPr>
      </w:pPr>
    </w:p>
    <w:p>
      <w:pPr>
        <w:ind w:firstLine="8"/>
        <w:spacing w:after="0" w:line="275" w:lineRule="auto"/>
        <w:tabs>
          <w:tab w:leader="none" w:pos="28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political or other market developments or uncertainty, such as the ongoing military conflict in Ukraine and/or access to capital for customers in the industries we serve; (iv) changes in technology, tax and other incentives; and (v) mergers, acquisitions or other business transactions among the customers we serve.</w:t>
      </w:r>
    </w:p>
    <w:p>
      <w:pPr>
        <w:spacing w:after="0" w:line="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Changes in demand for, and fluctuations in market prices for, oil, gas and other energy sources can affect demand for our services. In particular, such changes can affect the level of activity in energy generation projects, including from renewable energy sources, as well as pipeline construction and carbon capture projects. The availability of transportation and transmission capacity can also affect demand for our services, including energy generation, electric grid and pipeline construction projects. These fluctuations, as well as the highly competitive nature of our industry, can result in changes in the levels of activity, the project mix, and/or the profitability of the services we provide. In the face of increased pricing pressure or other market developments that have had, and could continue to have, a negative effect on our profitability, such as rising fuel, labor and materials costs, to the extent that we are unable to pass these costs through to our customers,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could have on our future results of operations, liquidity and cash flows, and we may be unable to fully mitigate, or benefit from, such changes.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1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Our revenue and results of operations can be subject to seasonal and other variations. These variations are influenced by weather, customer spending patterns, bidding seasons, project schedules, holidays, regulatory matters and/or timing, in particular, for large non-recurring projects, and the effects of market uncertainty or disruptions, as described within “Economic, Industry and Market Factors,” above. Typically, our revenue is lowest at the beginning of the year and during the winter months because cold, snowy or wet conditions can delay projects.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and/or the effects of climate-related matters, including warm winter weather, excessive rainfall, flooding or natural catastrophes such as wildfires, hurricanes or other severe weather, making it difficult to predict quarterly revenue and margin variations.</w:t>
      </w:r>
    </w:p>
    <w:p>
      <w:pPr>
        <w:spacing w:after="0" w:line="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including climate-related matters; and acquisitions, dispositions or strategic arrangements can also materially affect quarterly results in a given period. Accordingly, our operating results in any particular period may not be indicative of the results that can be expected for any other period.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We base our estimates on historical experience and various other assumptions that we believe to be reasonable under the circumstances, including the potential future effects of macroeconomic trends and events, such as rising inflation and interest rate levels; climate-related matters; market, regulatory and industry factors; global events, such as the ongoing military conflict in Ukraine; and public health matters, such as the COVID-19 pandemic. These estimates form the basis for making judgments about our operating results and the carrying values of 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assets and acquisition-related contingent consideration; equity investments; income taxes; self-insurance liabilities; and litigation and other contingencies, are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jc w:val="both"/>
        <w:spacing w:after="0" w:line="280" w:lineRule="auto"/>
        <w:rPr>
          <w:sz w:val="20"/>
          <w:szCs w:val="20"/>
          <w:color w:val="auto"/>
        </w:rPr>
      </w:pPr>
      <w:r>
        <w:rPr>
          <w:rFonts w:ascii="Times New Roman" w:cs="Times New Roman" w:eastAsia="Times New Roman" w:hAnsi="Times New Roman"/>
          <w:sz w:val="16"/>
          <w:szCs w:val="16"/>
          <w:color w:val="auto"/>
        </w:rPr>
        <w:t>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Refer to Note 1 - Business, Basis of Presentation and Significant Accounting Policies in the notes to the consolidated financial statements, which is incorporated by reference, and to our 2021 Form 10-K for a more detailed discussion of our significant accounting policies and critical accounting estimates. As described in more detail in Note 1 - Business, Basis of Presentation and Significant Accounting Policies, our consolidated financial statements include certain reclassifications of prior period amounts to conform with the current period presentation. For details of our second quarter 2022 quarterly review for indicators of impairment, refer to Note 3 - Acquisitions, Goodwill and Other Intangible Assets in the notes to the consolidated financial statements, which is incorporated by reference.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Comparison of Quarterly Results</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11"/>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20" w:type="dxa"/>
            <w:vAlign w:val="bottom"/>
            <w:gridSpan w:val="11"/>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6"/>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9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gridSpan w:val="6"/>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85.3 %</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9"/>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MasTec,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review our operating results by reportable segment. See Note 13 - Segments and Related Information in the notes to the consolidated financial statements, which is incorporated by reference. Our reportable segments are: (1) Communications; (2) Clean Energy and Infrastructure; (3) Oil and Gas; (4) Power Delivery;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5"/>
        </w:trPr>
        <w:tc>
          <w:tcPr>
            <w:tcW w:w="1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11"/>
          </w:tcPr>
          <w:p>
            <w:pPr>
              <w:ind w:left="300"/>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6"/>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For the Three</w:t>
            </w:r>
          </w:p>
        </w:tc>
        <w:tc>
          <w:tcPr>
            <w:tcW w:w="15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For the Six</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8"/>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7"/>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gridSpan w:val="7"/>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Months Ended June</w:t>
            </w:r>
          </w:p>
        </w:tc>
        <w:tc>
          <w:tcPr>
            <w:tcW w:w="1640" w:type="dxa"/>
            <w:vAlign w:val="bottom"/>
            <w:gridSpan w:val="4"/>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Months Ended June</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8"/>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7"/>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ind w:left="320"/>
              <w:spacing w:after="0" w:line="213" w:lineRule="exact"/>
              <w:rPr>
                <w:sz w:val="20"/>
                <w:szCs w:val="20"/>
                <w:color w:val="auto"/>
              </w:rPr>
            </w:pPr>
            <w:r>
              <w:rPr>
                <w:rFonts w:ascii="Times New Roman" w:cs="Times New Roman" w:eastAsia="Times New Roman" w:hAnsi="Times New Roman"/>
                <w:sz w:val="16"/>
                <w:szCs w:val="16"/>
                <w:b w:val="1"/>
                <w:bCs w:val="1"/>
                <w:color w:val="auto"/>
                <w:w w:val="87"/>
              </w:rPr>
              <w:t xml:space="preserve">2022 </w:t>
            </w:r>
            <w:r>
              <w:rPr>
                <w:rFonts w:ascii="Times New Roman" w:cs="Times New Roman" w:eastAsia="Times New Roman" w:hAnsi="Times New Roman"/>
                <w:sz w:val="21"/>
                <w:szCs w:val="21"/>
                <w:b w:val="1"/>
                <w:bCs w:val="1"/>
                <w:color w:val="auto"/>
                <w:w w:val="87"/>
                <w:vertAlign w:val="superscript"/>
              </w:rPr>
              <w:t>(a)</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$ 1,486.2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$ 1,199.0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70"/>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w:t>
            </w:r>
          </w:p>
        </w:tc>
        <w:tc>
          <w:tcPr>
            <w:tcW w:w="140" w:type="dxa"/>
            <w:vAlign w:val="bottom"/>
          </w:tcPr>
          <w:p>
            <w:pPr>
              <w:spacing w:after="0"/>
              <w:rPr>
                <w:sz w:val="23"/>
                <w:szCs w:val="2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120" w:type="dxa"/>
            <w:vAlign w:val="bottom"/>
          </w:tcPr>
          <w:p>
            <w:pPr>
              <w:spacing w:after="0"/>
              <w:rPr>
                <w:sz w:val="23"/>
                <w:szCs w:val="2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930.4</w:t>
            </w:r>
          </w:p>
        </w:tc>
        <w:tc>
          <w:tcPr>
            <w:tcW w:w="100" w:type="dxa"/>
            <w:vAlign w:val="bottom"/>
          </w:tcPr>
          <w:p>
            <w:pPr>
              <w:spacing w:after="0"/>
              <w:rPr>
                <w:sz w:val="23"/>
                <w:szCs w:val="2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3"/>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Infrastructure</w:t>
            </w:r>
          </w:p>
        </w:tc>
        <w:tc>
          <w:tcPr>
            <w:tcW w:w="1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0" w:type="dxa"/>
            <w:vAlign w:val="bottom"/>
          </w:tcPr>
          <w:p>
            <w:pPr>
              <w:spacing w:after="0"/>
              <w:rPr>
                <w:sz w:val="1"/>
                <w:szCs w:val="1"/>
                <w:color w:val="auto"/>
              </w:rPr>
            </w:pPr>
          </w:p>
        </w:tc>
      </w:tr>
      <w:tr>
        <w:trPr>
          <w:trHeight w:val="321"/>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1,296.9</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32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1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Results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2,301.8</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1,962.7</w:t>
            </w:r>
          </w:p>
        </w:tc>
        <w:tc>
          <w:tcPr>
            <w:tcW w:w="1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$ 4,256.2</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$ 3,738.1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69" w:lineRule="exact"/>
        <w:rPr>
          <w:sz w:val="20"/>
          <w:szCs w:val="20"/>
          <w:color w:val="auto"/>
        </w:rPr>
      </w:pPr>
    </w:p>
    <w:p>
      <w:pPr>
        <w:jc w:val="both"/>
        <w:ind w:left="340" w:hanging="332"/>
        <w:spacing w:after="0" w:line="281" w:lineRule="auto"/>
        <w:tabs>
          <w:tab w:leader="none" w:pos="36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 period ended June 30, 2022, Power Delivery, Communications, Oil and Gas and Corporate EBITDA included $7.0 million, $1.1 million, $1.4 million and $3.0 million, respectively, of acquisition and integration costs related to our fourth quarter 2021 acquisitions, and for the six month period ended June 30, 2022, included $14.1 million, $1.9 million, $3.3 million and $6.8 million of such costs,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2022 Compared to Three Months Ended June 30, 2021</w:t>
      </w:r>
    </w:p>
    <w:p>
      <w:pPr>
        <w:spacing w:after="0" w:line="11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three month period ended June 30, 2022, consolidated revenue totaled $2,302 million as compared with $1,963 million for the same period in 2021,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 increase of $339 million, or 17%. Revenue increased in our Power Delivery segment by $414 million, or 178%, in our Communications segment by $192 million, or 30%, and in our Clean Energy and Infrastructure segment by $13 million, or 3%, whereas revenue decreased in our Oil and Gas segment by $280 million, or 45%. Acquisitions contributed $602 million of increased revenue for the three month period ended June 30, 2022, whereas organic revenue decreased by approximately $263 million, or 13%, as compared with the same period in 2021.</w:t>
      </w:r>
    </w:p>
    <w:p>
      <w:pPr>
        <w:spacing w:after="0" w:line="8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$822 million for the three month period ended June 30, 2022, as compared with $630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2021, an increase of $192 million, or 30%. Acquisitions contributed $37 million of revenue for the three month period ended June 30, 2022, and organic revenue increased by approximately $155 million, or 25%, as compared with the same period in 2021. The increase in organic revenue was driven primarily by higher levels of wireless and wireline project activity.</w:t>
      </w:r>
    </w:p>
    <w:p>
      <w:pPr>
        <w:spacing w:after="0" w:line="65"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Clean Energy and Infrastructure revenue was $495 million for the three month period ended June 30, 2022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$482 million for the same period in 2021, an increase of $13 million, or 3%, due primarily to higher levels of project activity and mix.</w:t>
      </w:r>
    </w:p>
    <w:p>
      <w:pPr>
        <w:spacing w:after="0" w:line="3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$341 million for the three month period ended June 30, 2022, as compared with $621 million for the same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2021, a decrease of $280 million, or 45%. For the three month period ended June 30, 2022, acquisitions contributed $113 million of revenue, whereas organic revenue decreased by $393 million, or 63%, as compared with the same period in 2021, primarily due to a project timing-related decrease in large diameter project activity, as well as lower levels of activity for other projects.</w:t>
      </w:r>
    </w:p>
    <w:p>
      <w:pPr>
        <w:spacing w:after="0" w:line="7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Power Delivery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Delivery revenue was $647 million for the three month period ended June 30, 2022, as compared with $233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2021, an increase of $414 million, or 178%. For the three month period ended June 30, 2022, acquisitions contributed $452 million of revenue, whereas organic revenue decreased by approximately $38 million, or 16%, as compared with the same period in 2021, primarily due to timing and mix of project activity.</w:t>
      </w:r>
    </w:p>
    <w:p>
      <w:pPr>
        <w:spacing w:after="0" w:line="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increased by approximately $353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21%, to $2,028 million for the three month period ended June 30, 2022 from $1,675 million for the same period in 2021. Higher levels of revenue contributed an increase of $289 million in costs of revenue, excluding depreciation and amortization, and reduced productivity contributed an increase of approximately $63 million. Costs of revenue, excluding depreciation and amortization, as a percentage of revenue increased by approximately 280 basis points, from 85.4% of revenue for the three month period ended June 30, 2021 to 88.1% of revenue for the same period in 2022. The basis point increase was due primarily to segment revenue mix, including lower levels of revenue for our oil and gas operations, as well as the effects of inflation on labor, fuel and materials costs for our projects, other project inefficiencies and project start-up costs.</w:t>
      </w:r>
    </w:p>
    <w:p>
      <w:pPr>
        <w:spacing w:after="0" w:line="6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Depreciation was $87 million, or 3.8% of revenue, for the three month period ended June 30, 2022, as compared with $88 million, or 4.5% of revenue,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2021, a decrease of approximately $0.5 million, or 1%. Acquisitions contributed $25 million of depreciation for the three month period ended June 30, 2022 whereas organic depreciation decreased by $26 million, or 29%, due primarily to lower levels of capital investments related to large diameter pipeline project activity. As a percentage of revenue, depreciation decreased by approximately 70 basis points.</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Amortization of intangible assets was $28 million, or 1.2% of revenue, for the three month period ended June 30, 2022,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$20 million, or 1.0% of revenue, for the same period in 2021, an increase of $8 million, or 39%. Acquisitions contributed $12 million of amortization for the three month period ended June 30, 2022 whereas organic amortization decreased by approximately $5 million, or 23%, due to the effects of timing of amortization for certain intangible assets. As a percentage of revenue, amortization of intangible assets increased by approximately 20 basis points.</w:t>
      </w:r>
    </w:p>
    <w:p>
      <w:pPr>
        <w:sectPr>
          <w:pgSz w:w="11900" w:h="16838" w:orient="portrait"/>
          <w:cols w:equalWidth="0" w:num="1">
            <w:col w:w="11240"/>
          </w:cols>
          <w:pgMar w:left="320" w:top="1028"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type w:val="continuous"/>
        </w:sectPr>
      </w:pPr>
    </w:p>
    <w:bookmarkStart w:id="32" w:name="page33"/>
    <w:bookmarkEnd w:id="32"/>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totaled $134 million, or 5.8% of revenue, for the three month period ended June 30, 2022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compared with $82 million, or 4.2% of revenue, for the same period in 2021, for an increase of $52 million, or 64%. Acquisitions contributed $38 million of general and administrative expenses for the three month period ended June 30, 2022. For the three month period ended June 30, 2022, general and administrative expenses not related to acquisitions increased by approximately $15 million, or 18%, as compared with the same period in the prior year, primarily due to increases in legal and professional fees, travel expense, information technology and other administrative expenses, including certain acquisition and integration costs, as well as the effect of prior year recoveries of provisions for credit losses. Overall, general and administrative expenses, including approximately $12 million of acquisition and integration costs, increased by approximately 170 basis points as a percentage of revenue for the three month period ended June 30, 2022 as compared with the same period in 2021.</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approximately $19 million, or approximately 0.8% of revenue, for the three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June 30, 2022, as compared with approximately $14 million, or 0.7% of revenue, for the same period in 2021, an increase of $6 million, or approximately 40%. The increase in interest expense, net, resulted primarily from credit facility activity, which increased by approximately $5 million due to higher average balances, including from indebtedness incurred in connection with acquisition and share repurchase activity, and higher average interest rates as compared with the same period in 2021. In addition, interest expense from financing arrangements increased by approximately $1 million due primarily to higher average interest rates.</w:t>
      </w:r>
    </w:p>
    <w:p>
      <w:pPr>
        <w:spacing w:after="0" w:line="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Equity in earnings or losses of unconsolidated affiliates includes our share of income or losses from equity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investees. For the three month periods ended June 30, 2022 and 2021, equity in earnings from unconsolidated affiliates, net, totaled approximately $7 million and $8 million, respectively, and related primarily to our investments in the Waha JVs, partially offset by equity in losses from investments in certain telecommunications and other entities.</w:t>
      </w:r>
    </w:p>
    <w:p>
      <w:pPr>
        <w:spacing w:after="0" w:line="7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net. </w:t>
      </w:r>
      <w:r>
        <w:rPr>
          <w:rFonts w:ascii="Times New Roman" w:cs="Times New Roman" w:eastAsia="Times New Roman" w:hAnsi="Times New Roman"/>
          <w:sz w:val="16"/>
          <w:szCs w:val="16"/>
          <w:color w:val="auto"/>
        </w:rPr>
        <w:t>Other income, net, consists primarily of gains or losses from changes to estimated Earn-out accruals and certain contingent payments to the former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owners of an acquired business; certain legal/other settlements; gains or losses, or changes in estimated recoveries from certain assets and investments; and other miscellaneous income or expense. Other income, net, was $6 million for the three month period ended June 30, 2022, as compared with $11 million for the same period in 2021. For the three month period ended June 30, 2022, other income, net, included approximately $1 million of income, net, from changes to estimated Earn-out accruals, $4 million of income from changes in the fair value of additional contingent payments to the former owners of an acquired business and approximately $2 million of other miscellaneous income, offset, in part, by $2 million of expense from changes in the fair value of certain investments, net of income from strategic arrangements. For the three month period ended June 30, 2021, other income, net, included approximately $9 million of income, net, from changes to estimated Earn-out accruals and $1 million of income, net, from changes in the fair value of certain investments and income from strategic arrangements.</w:t>
      </w:r>
    </w:p>
    <w:p>
      <w:pPr>
        <w:spacing w:after="0" w:line="7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Income tax expense was $2 million for the three month period ended June 30, 2022 as compared with $27 million for the same period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prior year. Pre-tax income decreased to $18 million for the three month period ended June 30, 2022 from $103 million for the same period in 2021. For the three month period ended June 30, 2022, our effective tax rate decreased to 10.9% from 26.3% for the same period in 2021, due primarily to a benefit of approximately $2 million for the three month period ended June 30, 2022 from the true-up of certain prior year non-deductible expenses.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Analysis of EBITDA by Segment</w:t>
      </w:r>
    </w:p>
    <w:p>
      <w:pPr>
        <w:spacing w:after="0" w:line="11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$84 million, or 10.2% of revenue, for the three month period ended June 30, 2022,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$73 million, or 11.5% of revenue, for the same period in 2021, an increase of approximately $12 million, or 16%. Higher levels of revenue contributed an increase in EBITDA of $22 million. As a percentage of revenue, EBITDA decreased by 130 basis points, or approximately $10 million, due primarily to project timing delays and inefficiencies, the effects of inflation on labor, fuel and materials costs, as well as the effects of project start-up and acquisition and integration costs.</w:t>
      </w:r>
    </w:p>
    <w:p>
      <w:pPr>
        <w:spacing w:after="0" w:line="7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Clean Energy and Infrastructure Segment. </w:t>
      </w:r>
      <w:r>
        <w:rPr>
          <w:rFonts w:ascii="Times New Roman" w:cs="Times New Roman" w:eastAsia="Times New Roman" w:hAnsi="Times New Roman"/>
          <w:sz w:val="16"/>
          <w:szCs w:val="16"/>
          <w:color w:val="auto"/>
        </w:rPr>
        <w:t>EBITDA for our Clean Energy and Infrastructure segment was negative $5 million, or negative 1.1% of revenue,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three month period ended June 30, 2022, as compared with EBITDA of $16 million, or 3.2% of revenue, for the same period in 2021, a decrease of approximately $21 million, or 134%, due primarily to the reduction in EBITDA margins. As a percentage of revenue, EBITDA decreased by approximately 430 basis points, due primarily to project inefficiencies and the effects of inflation on labor, fuel and materials costs, as well as project timing delays.</w:t>
      </w:r>
    </w:p>
    <w:p>
      <w:pPr>
        <w:spacing w:after="0" w:line="6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$63 million, or 18.4% of revenue, for the three month period ended June 30, 2022,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EBITDA of $138 million, or 22.2% of revenue, for the same period in 2021, a decrease of approximately $75 million, or 55%. Lower levels of revenue contributed a decrease in EBITDA of $62 million, and reduced productivity contributed a decrease in EBITDA of approximately $13 million. EBITDA margins decreased by approximately 380 basis points due primarily to inefficiencies resulting from lower levels of revenue, including from project timing delays and project mix, as well as the effects of inflation on labor, fuel and materials costs and acquisition and integration costs.</w:t>
      </w:r>
    </w:p>
    <w:p>
      <w:pPr>
        <w:spacing w:after="0" w:line="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Power Delivery Segment. </w:t>
      </w:r>
      <w:r>
        <w:rPr>
          <w:rFonts w:ascii="Times New Roman" w:cs="Times New Roman" w:eastAsia="Times New Roman" w:hAnsi="Times New Roman"/>
          <w:sz w:val="16"/>
          <w:szCs w:val="16"/>
          <w:color w:val="auto"/>
        </w:rPr>
        <w:t>EBITDA for our Power Delivery segment was $41 million, or 6.4% of revenue, for the three month period ended June 30, 2022,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EBITDA of $9 million, or 4.0% of revenue, for the same period in 2021, an increase in EBITDA of approximately $32 million, or 344%. Higher levels of revenue contributed an increase in EBITDA of $17 million. As a percentage of revenue, EBITDA increased by approximately 240 basis points, or $15 million primarily due to project efficiencies resulting from higher levels of revenue and project mix, partially offset by the effects of acquisition and integration costs and the effects of inflation on labor, fuel and materials costs for our projects.</w:t>
      </w:r>
    </w:p>
    <w:p>
      <w:pPr>
        <w:spacing w:after="0" w:line="6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was $7 million for the three month period ended June 30, 2022 as compared with $8 million for the same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2021, and related primarily to equity in earnings from our investments in the Waha JVs, partially offset by equity in losses from other investments.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$38 million for the three month period ended June 30, 2022, as compared with EBITDA of</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jc w:val="both"/>
        <w:spacing w:after="0" w:line="259" w:lineRule="auto"/>
        <w:rPr>
          <w:sz w:val="20"/>
          <w:szCs w:val="20"/>
          <w:color w:val="auto"/>
        </w:rPr>
      </w:pPr>
      <w:r>
        <w:rPr>
          <w:rFonts w:ascii="Times New Roman" w:cs="Times New Roman" w:eastAsia="Times New Roman" w:hAnsi="Times New Roman"/>
          <w:sz w:val="16"/>
          <w:szCs w:val="16"/>
          <w:color w:val="auto"/>
        </w:rPr>
        <w:t>negative $20 million for the same period in 2021, for a decrease in EBITDA of approximately $18 million. Acquisitions, including certain acquisition and integration costs, contributed $7 million of Corporate expenses for the three month period ended June 30, 2022. For the three month period ended June 30, 2022, Corporate EBITDA also included approximately $1 million of income, net, from changes to estimated Earn-out accruals, and $4 million of income from changes in the fair value of additional contingent payments to the former owners of an acquired business, offset, in part by approximately $2 million of expense from changes in the fair value of certain investments, net of income from strategic arrangements. For the three month period ended June 30, 2021, Corporate EBITDA included $9 million of income, net from changes to estimated Earn-out accruals and approximately $1 million of income, net, from changes in the fair value of certain investments and income from strategic arrangements. For the three month period ended June 30, 2022, Corporate expenses not related to the above-described items increased by approximately $4 million as compared with the same period in the prior year, due primarily to increases in legal and professional fees and other administrative expenses.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 June 30, 2022 Compared to Six Months Ended June 30, 2021</w:t>
      </w:r>
    </w:p>
    <w:p>
      <w:pPr>
        <w:spacing w:after="0" w:line="12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six month period ended June 30, 2022, consolidated revenue totaled $4,256 million as compared with $3,738 million for the same period in 2021,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of $518 million, or 14%. Revenue increased in our Power Delivery segment by $931 million, or 254%, in our Communications segment by $287 million, or 24%, and in our Clean Energy and Infrastructure segment by $98 million, or 12%, whereas revenue in our Oil and Gas segment decreased by $795 million, or 59%. Acquisitions contributed $1,307 million of increased revenue for the six month period ended June 30, 2022, whereas organic revenue decreased by approximately $789 million, or 21%, as compared with the same period in 2021.</w:t>
      </w:r>
    </w:p>
    <w:p>
      <w:pPr>
        <w:spacing w:after="0" w:line="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$1,486 million for the six month period ended June 30, 2022, as compared with $1,199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2021, an increase of $287 million, or 24%. Acquisitions contributed $100 million of revenue for the six month period ended June 30, 2022, and organic revenue increased by approximately $187 million, or 16%, as compared with the same period in 2021. The increase in organic revenue was driven primarily by higher levels of wireless and wireline project activity.</w:t>
      </w:r>
    </w:p>
    <w:p>
      <w:pPr>
        <w:spacing w:after="0" w:line="6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Clean Energy and Infrastructure revenue was $930 million for the six month period ended June 30, 2022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$832 million for the same period in 2021, an increase of $98 million, or 12%. Acquisitions contributed $47 million of revenue for the six month period ended June 30, 2022, and organic revenue increased by $51 million, or 6%, as compared with the same period in 2021, due primarily to higher levels of project activity and mix.</w:t>
      </w:r>
    </w:p>
    <w:p>
      <w:pPr>
        <w:spacing w:after="0" w:line="5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$552 million for the six month period ended June 30, 2022, as compared with $1,347 million for the same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2021, a decrease of $795 million, or 59%. For the six month period ended June 30, 2022, acquisitions contributed approximately $168 million of revenue, whereas organic revenue decreased by approximately $963 million, or 71%, as compared with the same period in 2021, primarily due to a project timing-related decrease in large diameter project activity as well as lower levels of activity for other projects.</w:t>
      </w:r>
    </w:p>
    <w:p>
      <w:pPr>
        <w:spacing w:after="0" w:line="7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Power Delivery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Delivery revenue was $1,297 million for the six month period ended June 30, 2022 as compared with $366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2021, an increase of $931 million, or 254%. For the six month period ended June 30, 2022, acquisitions contributed $992 million of revenue, whereas organic revenue decreased by approximately $61 million, or 17%, as compared with the same period in 2021, primarily due to timing and mix of project activity.</w:t>
      </w:r>
    </w:p>
    <w:p>
      <w:pPr>
        <w:spacing w:after="0" w:line="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increased by approximately $572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18%, to $3,761 million for the six month period ended June 30, 2022 from $3,189 million for the same period in 2021. Higher levels of revenue contributed an increase of $442 million in costs of revenue, excluding depreciation and amortization, and reduced productivity contributed an increase of approximately $130 million. Costs of revenue, excluding depreciation and amortization, as a percentage of revenue increased by approximately 310 basis points, from 85.3% of revenue for the six month period ended June 30, 2021 to 88.4% of revenue for the same period in 2022. The basis point increase was due primarily to segment revenue mix, including lower levels of revenue for our oil and gas operations, as well as the effects of inflation on labor, fuel and materials costs for our projects, other project inefficiencies and project start-up costs.</w:t>
      </w:r>
    </w:p>
    <w:p>
      <w:pPr>
        <w:spacing w:after="0" w:line="6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Depreciation was $172 million, or 4.0% of revenue, for the six month period ended June 30, 2022, as compared with $167 million, or 4.5% of revenue,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2021, an increase of approximately $5 million, or 3%. Acquisitions contributed $53 million of depreciation for the six month period ended June 30, 2022, whereas organic depreciation decreased by $48 million, or approximately 29%, due primarily to lower levels of capital investments related to large diameter pipeline project activity. As a percentage of revenue, depreciation decreased by approximately 40 basis points.</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Amortization of intangible assets was $53 million, or 1.3% of revenue, for the six month period ended June 30, 2022,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$31 million, or 0.8% of revenue, for the same period in 2021, an increase of approximately $22 million, or 71%. Acquisitions contributed $30 million of amortization for the six month period ended June 30, 2022, whereas organic amortization decreased by approximately $8 million, or 25%, due to the effects of timing of amortization for certain intangible assets. As a percentage of revenue, amortization of intangible assets increased by approximately 40 basis points.</w:t>
      </w:r>
    </w:p>
    <w:p>
      <w:pPr>
        <w:spacing w:after="0" w:line="6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were $279 million, or 6.6% of revenue, for the six month period ended June 30, 2022,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$152 million, or 4.1% of revenue, for the same period in 2021, an increase of $127 million, or 84%. Acquisitions contributed $94 million of general and administrative expenses for the six month period ended June 30, 2022. For the six month period ended June 30, 2022, general and administrative expenses not related to acquisitions increased by approximately $33 million, or approximately 22%, as compared with the same period in the prior year, primarily due to the effect of prior year recoveries of provisions for credit losses and increases in travel expense, professional fees, information technology and other administrative expenses, including certain acquisition and integration costs, as well as the effects of timing of legal and settlement matters. Overall, general and administrative expenses, including approximately $26 million of acquisition and integration costs, increased by approximately 250 basis points as a percentage of revenue for the six month period ended June 30, 2022 as compared with the same period in 2021.</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$35 million, or 0.8% of revenue, for the six month period ended June 30,</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jc w:val="both"/>
        <w:spacing w:after="0" w:line="263" w:lineRule="auto"/>
        <w:rPr>
          <w:sz w:val="20"/>
          <w:szCs w:val="20"/>
          <w:color w:val="auto"/>
        </w:rPr>
      </w:pPr>
      <w:r>
        <w:rPr>
          <w:rFonts w:ascii="Times New Roman" w:cs="Times New Roman" w:eastAsia="Times New Roman" w:hAnsi="Times New Roman"/>
          <w:sz w:val="16"/>
          <w:szCs w:val="16"/>
          <w:color w:val="auto"/>
        </w:rPr>
        <w:t>2022, as compared with $26 million, or 0.7% of revenue, for the same period in 2021, an increase of approximately $9 million, or 35%. The increase in interest expense, net, resulted primarily from credit facility activity, which increased by $7 million due to higher average balances, including from indebtedness incurred in connection with acquisition and share repurchase activity, and higher average interest rates as compared with the same period in 2021. In addition, interest expense from financing arrangements increased by approximately $1 million due primarily to higher average interest rates.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For the six month periods ended June 30, 2022 and 2021, equity in earnings from unconsolidated affiliates,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totaled approximately $13 million and $15 million, respectively, and related primarily to our investments in the Waha JVs, partially offset by equity in losses from investments in certain telecommunications and other entities.</w:t>
      </w:r>
    </w:p>
    <w:p>
      <w:pPr>
        <w:spacing w:after="0" w:line="7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net. </w:t>
      </w:r>
      <w:r>
        <w:rPr>
          <w:rFonts w:ascii="Times New Roman" w:cs="Times New Roman" w:eastAsia="Times New Roman" w:hAnsi="Times New Roman"/>
          <w:sz w:val="16"/>
          <w:szCs w:val="16"/>
          <w:color w:val="auto"/>
        </w:rPr>
        <w:t>Other income, net, was $2 million for the six month period ended June 30, 2022, as compared with $11 million of other income, net,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2021. For the six month period ended June 30, 2022, other income, net, included approximately $1 million of income, net, from changes to estimated Earn-out accruals, $4 million of income from changes in the fair value of additional contingent payments to the former owners of an acquired business and approximately $3 million of other miscellaneous income, offset, in part, by $7 million of expense from changes in the fair value of certain investments, net of income from strategic arrangements. For the six month period ended June 30, 2021, other income, net, included approximately $9 million of income, net, from changes to estimated Earn-out accruals.</w:t>
      </w:r>
    </w:p>
    <w:p>
      <w:pPr>
        <w:spacing w:after="0" w:line="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Benefit from (provision for) income taxes. </w:t>
      </w:r>
      <w:r>
        <w:rPr>
          <w:rFonts w:ascii="Times New Roman" w:cs="Times New Roman" w:eastAsia="Times New Roman" w:hAnsi="Times New Roman"/>
          <w:sz w:val="16"/>
          <w:szCs w:val="16"/>
          <w:color w:val="auto"/>
        </w:rPr>
        <w:t>Income tax benefit was $11 million for the six month period ended June 30, 2022, as compared with income tax expense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six month period ended June 30, 2021 of $56 million. Pre-tax losses totaled $30 million for the six month period ended June 30, 2022, whereas pre-tax income totaled $198 million for the same period in 2021. For the six month period ended June 30, 2022, our effective tax rate was 37.4% as compared with 28.4% for the same period in 2021. Our effective tax rate for the six month period ended June 30, 2022 included a net tax benefit of approximately $1 million related to the vesting of share-based payment awards and a benefit of approximately $2 million from the true-up of certain prior year non-deductible expenses, whereas for the six month period ended June 30, 2021, included the negative effect of $2 million related to non-deductible share-based compensation.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$125 million, or 8.4% of revenue, for the six month period ended June 30, 2022,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EBITDA of $122 million, or 10.1% of revenue, for the same period in 2021, an increase of approximately $3 million, or approximately 2%. Higher levels of revenue contributed an increase in EBITDA of $29 million. As a percentage of revenue, EBITDA decreased by approximately 180 basis points, or approximately $26 million, due primarily to project timing delays and inefficiencies, the effects of inflation on labor, fuel and materials costs, as well as the effects of project start-up and acquisition and integration costs.</w:t>
      </w:r>
    </w:p>
    <w:p>
      <w:pPr>
        <w:spacing w:after="0" w:line="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Clean Energy and Infrastructure Segment. </w:t>
      </w:r>
      <w:r>
        <w:rPr>
          <w:rFonts w:ascii="Times New Roman" w:cs="Times New Roman" w:eastAsia="Times New Roman" w:hAnsi="Times New Roman"/>
          <w:sz w:val="16"/>
          <w:szCs w:val="16"/>
          <w:color w:val="auto"/>
        </w:rPr>
        <w:t>EBITDA for our Clean Energy and Infrastructure segment was $6 million, or 0.6% of revenue, for the six month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ended June 30, 2022, as compared with EBITDA of $26 million, or 3.2% of revenue, for the same period in 2021, a decrease in EBITDA of approximately $21 million, or 79%. Higher levels of revenue contributed an increase in EBITDA of approximately $3 million, whereas as a percentage of revenue, EBITDA decreased by approximately 260 basis points, or $24 million, due to project inefficiencies and the effects of inflation on labor, fuel and materials costs, as well as project timing delays.</w:t>
      </w:r>
    </w:p>
    <w:p>
      <w:pPr>
        <w:spacing w:after="0" w:line="6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$84 million, or 15.3% of revenue, for the six month period ended June 30, 2022,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EBITDA of $306 million, or 22.7% of revenue, for the same period in 2021, a decrease of $221 million, or 72%. Lower levels of revenue contributed a decrease in EBITDA of $180 million. EBITDA margins decreased by approximately 740 basis points, or $41 million, due primarily to inefficiencies resulting from lower levels of revenue, including from project timing delays, as well as the effects of inflation on labor, fuel and materials costs, and the effects of acquisition and integration costs.</w:t>
      </w:r>
    </w:p>
    <w:p>
      <w:pPr>
        <w:spacing w:after="0" w:line="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Power Delivery Segment. </w:t>
      </w:r>
      <w:r>
        <w:rPr>
          <w:rFonts w:ascii="Times New Roman" w:cs="Times New Roman" w:eastAsia="Times New Roman" w:hAnsi="Times New Roman"/>
          <w:sz w:val="16"/>
          <w:szCs w:val="16"/>
          <w:color w:val="auto"/>
        </w:rPr>
        <w:t>EBITDA for our Power Delivery segment was $88 million, or 6.7% of revenue, for the six month period ended June 30, 2022,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EBITDA of $13 million, or 3.5% of revenue, for the same period in 2021, an increase in EBITDA of approximately $75 million, or 579%. As a percentage of revenue, EBITDA increased by approximately 320 basis points, or $42 million, primarily due to project efficiencies resulting from higher levels of revenue and project mix, partially offset by the effects of acquisition and integration costs and the effects of inflation on labor, fuel and materials costs for our projects. Higher levels of revenue contributed an increase in EBITDA of $33 million.</w:t>
      </w:r>
    </w:p>
    <w:p>
      <w:pPr>
        <w:spacing w:after="0" w:line="70" w:lineRule="exact"/>
        <w:rPr>
          <w:sz w:val="20"/>
          <w:szCs w:val="20"/>
          <w:color w:val="auto"/>
        </w:rPr>
      </w:pPr>
    </w:p>
    <w:p>
      <w:pPr>
        <w:jc w:val="both"/>
        <w:ind w:right="20"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totaled approximately $14 million for the six month period ended June 30, 2022 as compared with $16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2021, and related primarily to equity in earnings from our investments in the Waha JVs, partially offset by equity in losses from other investments.</w:t>
      </w:r>
    </w:p>
    <w:p>
      <w:pPr>
        <w:spacing w:after="0" w:line="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$85 million for the six month period ended June 30, 2022, as compared with EBITDA of negative $60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2021, for a decrease in EBITDA of approximately $25 million. Acquisitions, including certain acquisition and integration costs, contributed $16 million of Corporate expenses for the six month period ended June 30, 2022. For the six month period ended June 30, 2022, Corporate EBITDA also included approximately $1 million of income, net, from changes to estimated Earn-out accruals and $4 million of income from changes in the fair value of additional contingent payments to the former owners of an acquired business, offset by approximately $7 million, of expense from changes in the fair value of certain investments, net of income from strategic arrangements. For the six month period ended June 30, 2021, Corporate EBITDA included $9 million of income, net, from changes to estimated Earn-out accruals. For the six month period ended June 30, 2022, Corporate expenses not related to the above-described items decreased by approximately $2 million as compared with the same period in the prior year, due primarily to the effects of timing of legal and settlement matters, offset, in part, by increases in compensation expense, professional fees, information technology and other administrative expenses, including certain acquisition and integration costs.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Foreign Operations</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Our foreign operations are primarily in Canada and, to a far lesser extent, in Mexico, the Caribbean and India. See Note 13 - Segments and Related Information in the notes to the consolidated financial statements, which is incorporated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acquisition and integration costs related to our 2021 acquisitions; the bargain purchase gain from a 2021 acquisition; fair value gains or losses, net, on an investment; and, for Adjusted Net Income and Adjusted Diluted Earnings Per Share, amortization of intangible assets, the effects of changes in statutory tax rates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Beginning with the fourth quarter of 2021, due to the extent of the acquisition costs related to our fourth quarter 2021 acquisitions, and the costs of the integration efforts that have been, and will continue to be, required in connection with such acquisitions, we are excluding acquisition and integration costs in calculating Adjusted EBITDA and Adjusted Net Income for these acquisitions, and we intend to exclude such costs for future acquisitions requiring substantial integration efforts. In addition, beginning in the second quarter of 2022, we are excluding fair value gains or losses, net, for our investment in AVCT, a publicly-traded company in which we currently have no active involvement, in calculating our adjusted results, and prior periods have been updated to conform with this presentation. We believe that fair value gains or losses for this investment, which vary from period to period based on fluctuations in the market price of the investment, are not indicative of our core operations, and that this presentation improves comparability of our results with those of our peers. We exclude intangible asset amortization, acquisition costs and selected purchase accounting adjustments, including the bargain purchase gain from a 2021 acquisition, from our adjusted measures due to their non-operational nature and inherent volatility, as acquisition activity varies from period to period. We also believe that this presentation is common practice in our industry and improves comparability of our results with those of our peers. Each company’s definitions of these adjusted measures may vary as they are not standardized and should be used in light of the provided reconciliations.</w:t>
      </w:r>
    </w:p>
    <w:p>
      <w:pPr>
        <w:spacing w:after="0" w:line="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74"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11"/>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00" w:type="dxa"/>
            <w:vAlign w:val="bottom"/>
          </w:tcPr>
          <w:p>
            <w:pPr>
              <w:spacing w:after="0"/>
              <w:rPr>
                <w:sz w:val="18"/>
                <w:szCs w:val="18"/>
                <w:color w:val="auto"/>
              </w:rPr>
            </w:pPr>
          </w:p>
        </w:tc>
        <w:tc>
          <w:tcPr>
            <w:tcW w:w="3280" w:type="dxa"/>
            <w:vAlign w:val="bottom"/>
            <w:gridSpan w:val="1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4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7"/>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1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(Gains) losses, net, on fair value of investment</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6"/>
          <w:szCs w:val="16"/>
          <w:color w:val="auto"/>
        </w:rPr>
        <w:t>A reconciliation of EBITDA and EBITDA margin to Adjusted EBITDA and Adjusted EBITDA margin by reportable segment for the periods indicated is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11"/>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00" w:type="dxa"/>
            <w:vAlign w:val="bottom"/>
          </w:tcPr>
          <w:p>
            <w:pPr>
              <w:spacing w:after="0"/>
              <w:rPr>
                <w:sz w:val="18"/>
                <w:szCs w:val="18"/>
                <w:color w:val="auto"/>
              </w:rPr>
            </w:pPr>
          </w:p>
        </w:tc>
        <w:tc>
          <w:tcPr>
            <w:tcW w:w="2780" w:type="dxa"/>
            <w:vAlign w:val="bottom"/>
            <w:gridSpan w:val="9"/>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500" w:type="dxa"/>
            <w:vAlign w:val="bottom"/>
          </w:tcPr>
          <w:p>
            <w:pPr>
              <w:spacing w:after="0"/>
              <w:rPr>
                <w:sz w:val="18"/>
                <w:szCs w:val="18"/>
                <w:color w:val="auto"/>
              </w:rPr>
            </w:pPr>
          </w:p>
        </w:tc>
      </w:tr>
      <w:tr>
        <w:trPr>
          <w:trHeight w:val="211"/>
        </w:trPr>
        <w:tc>
          <w:tcPr>
            <w:tcW w:w="4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16"/>
        </w:trPr>
        <w:tc>
          <w:tcPr>
            <w:tcW w:w="4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Non-cash stock-based compensation expense </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6"/>
        </w:trPr>
        <w:tc>
          <w:tcPr>
            <w:tcW w:w="41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Acquisition and integration costs </w:t>
            </w:r>
            <w:r>
              <w:rPr>
                <w:rFonts w:ascii="Times New Roman" w:cs="Times New Roman" w:eastAsia="Times New Roman" w:hAnsi="Times New Roman"/>
                <w:sz w:val="21"/>
                <w:szCs w:val="21"/>
                <w:color w:val="auto"/>
                <w:vertAlign w:val="superscript"/>
              </w:rPr>
              <w:t>(b)</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4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Bargain purchase gain </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41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(Gains) losses, net, on fair value of investment </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Reportable Segment:</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321"/>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Communications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327"/>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321"/>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Oil and Gas</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r>
      <w:tr>
        <w:trPr>
          <w:trHeight w:val="327"/>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Power Delivery</w:t>
            </w: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321"/>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11.6 %</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69" w:lineRule="exact"/>
        <w:rPr>
          <w:sz w:val="20"/>
          <w:szCs w:val="20"/>
          <w:color w:val="auto"/>
        </w:rPr>
      </w:pPr>
    </w:p>
    <w:p>
      <w:pPr>
        <w:ind w:left="340" w:hanging="332"/>
        <w:spacing w:after="0" w:line="271" w:lineRule="auto"/>
        <w:tabs>
          <w:tab w:leader="none" w:pos="32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stock-based compensation expense, bargain purchase gain from a fourth quarter 2021 acquisition, and (gains) losses, net, on the fair value of our investment in AVCT are included within Corporate results.</w:t>
      </w:r>
    </w:p>
    <w:p>
      <w:pPr>
        <w:ind w:left="340" w:hanging="332"/>
        <w:spacing w:after="0" w:line="283" w:lineRule="auto"/>
        <w:tabs>
          <w:tab w:leader="none" w:pos="35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Delivery, Communications, Oil and Gas and Corporate results include acquisition and integration costs of $7.0 million, $1.1 million, $1.4 million and $3.0 million, respectively, for the three month period ended June 30, 2022, and include $14.1 million, $1.9 million, $3.3 million and $6.8 million, respectively, for the six month period ended June 30, 2022.</w:t>
      </w:r>
    </w:p>
    <w:p>
      <w:pPr>
        <w:spacing w:after="0" w:line="62" w:lineRule="exact"/>
        <w:rPr>
          <w:sz w:val="20"/>
          <w:szCs w:val="20"/>
          <w:color w:val="auto"/>
        </w:rPr>
      </w:pPr>
    </w:p>
    <w:p>
      <w:pPr>
        <w:ind w:right="20" w:firstLine="648"/>
        <w:spacing w:after="0" w:line="280" w:lineRule="auto"/>
        <w:rPr>
          <w:sz w:val="20"/>
          <w:szCs w:val="20"/>
          <w:color w:val="auto"/>
        </w:rPr>
      </w:pPr>
      <w:r>
        <w:rPr>
          <w:rFonts w:ascii="Times New Roman" w:cs="Times New Roman" w:eastAsia="Times New Roman" w:hAnsi="Times New Roman"/>
          <w:sz w:val="16"/>
          <w:szCs w:val="16"/>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80" w:type="dxa"/>
            <w:vAlign w:val="bottom"/>
            <w:tcBorders>
              <w:bottom w:val="single" w:sz="8" w:color="auto"/>
            </w:tcBorders>
          </w:tcPr>
          <w:p>
            <w:pPr>
              <w:spacing w:after="0"/>
              <w:rPr>
                <w:sz w:val="18"/>
                <w:szCs w:val="18"/>
                <w:color w:val="auto"/>
              </w:rPr>
            </w:pPr>
          </w:p>
        </w:tc>
      </w:tr>
      <w:tr>
        <w:trPr>
          <w:trHeight w:val="157"/>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Net Income (in</w:t>
            </w:r>
          </w:p>
        </w:tc>
        <w:tc>
          <w:tcPr>
            <w:tcW w:w="13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Diluted Earnings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Net Income (in</w:t>
            </w:r>
          </w:p>
        </w:tc>
        <w:tc>
          <w:tcPr>
            <w:tcW w:w="130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Diluted Earnings</w:t>
            </w:r>
          </w:p>
        </w:tc>
      </w:tr>
      <w:tr>
        <w:trPr>
          <w:trHeight w:val="214"/>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11"/>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U.S. GAAP measure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(Gains) losses, net, on fair value of investment</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r>
      <w:tr>
        <w:trPr>
          <w:trHeight w:val="25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5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Statutory tax rate effects </w:t>
            </w:r>
            <w:r>
              <w:rPr>
                <w:rFonts w:ascii="Times New Roman" w:cs="Times New Roman" w:eastAsia="Times New Roman" w:hAnsi="Times New Roman"/>
                <w:sz w:val="21"/>
                <w:szCs w:val="21"/>
                <w:color w:val="auto"/>
                <w:vertAlign w:val="superscript"/>
              </w:rPr>
              <w:t>(b)</w:t>
            </w:r>
          </w:p>
        </w:tc>
        <w:tc>
          <w:tcPr>
            <w:tcW w:w="1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34"/>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non-U.S. GAAP measure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80" w:type="dxa"/>
            <w:vAlign w:val="bottom"/>
            <w:tcBorders>
              <w:bottom w:val="single" w:sz="8" w:color="auto"/>
            </w:tcBorders>
          </w:tcPr>
          <w:p>
            <w:pPr>
              <w:spacing w:after="0"/>
              <w:rPr>
                <w:sz w:val="18"/>
                <w:szCs w:val="18"/>
                <w:color w:val="auto"/>
              </w:rPr>
            </w:pPr>
          </w:p>
        </w:tc>
      </w:tr>
      <w:tr>
        <w:trPr>
          <w:trHeight w:val="157"/>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Net Loss (in</w:t>
            </w:r>
          </w:p>
        </w:tc>
        <w:tc>
          <w:tcPr>
            <w:tcW w:w="13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Diluted Loss Per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Net Income (in</w:t>
            </w:r>
          </w:p>
        </w:tc>
        <w:tc>
          <w:tcPr>
            <w:tcW w:w="130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Diluted Earnings</w:t>
            </w:r>
          </w:p>
        </w:tc>
      </w:tr>
      <w:tr>
        <w:trPr>
          <w:trHeight w:val="214"/>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11"/>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U.S. GAAP measure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(Gains) losses, net, on fair value of investment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r>
      <w:tr>
        <w:trPr>
          <w:trHeight w:val="219"/>
        </w:trPr>
        <w:tc>
          <w:tcPr>
            <w:tcW w:w="57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16"/>
        </w:trPr>
        <w:tc>
          <w:tcPr>
            <w:tcW w:w="57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Statutory tax rate effects </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07"/>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non-U.S. GAAP measure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r>
    </w:tbl>
    <w:p>
      <w:pPr>
        <w:spacing w:after="0" w:line="126" w:lineRule="exact"/>
        <w:rPr>
          <w:sz w:val="20"/>
          <w:szCs w:val="20"/>
          <w:color w:val="auto"/>
        </w:rPr>
      </w:pPr>
    </w:p>
    <w:p>
      <w:pPr>
        <w:jc w:val="both"/>
        <w:ind w:left="340" w:hanging="332"/>
        <w:spacing w:after="0" w:line="261"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tax effect of the adjusted items that are subject to tax, including the tax effects of non-cash stock-based compensation expense, which for the six month periods ended June 30, 2022 and 2021, included net tax benefits of $0.9 million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4"/>
          <w:szCs w:val="14"/>
          <w:color w:val="auto"/>
        </w:rPr>
        <w:t xml:space="preserve"> $0.1 million, respectively, from the vesting of share-based payment awards. Tax effects are determined based on the tax treatment of the related item, the incremental statutory tax rate of the jurisdictions pertaining to the adjustment, and their effects on pre-tax income. For the three and six month periods ended June 30, 2022, our consolidated effective tax rates, as reported, were 10.9% and 37.4%, respectively, and as adjusted, were 22.5% and 22.4%, respectively. For the three and six month periods ended June 30, 2021, our consolidated effective tax rates, as reported, were 26.3% and 28.4%, respectively, and as adjusted, were 24.9% and 25.8%, respectively.</w:t>
      </w:r>
    </w:p>
    <w:p>
      <w:pPr>
        <w:spacing w:after="0" w:line="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 periods ended June 30, 2021, includes the effect of changes in certain state tax rates.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investments and other arrangements from time to time, and we may consider opportunities to borrow additional funds, which may include borrowings under our Credit Facility or debt issuances, or to refinance, extend the terms of our existing indebtedness or retire outstanding debt, or to repurchase additional shares of our outstanding common stock under share repurchase authorizations, any of which may require our use of cash.</w:t>
      </w:r>
    </w:p>
    <w:p>
      <w:pPr>
        <w:spacing w:after="0" w:line="6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six month period ended June 30, 2022, we spent approximately $190 million on capital expenditures, or $172 million, net of asset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disposals, and incurred approximately $127 million of equipment purchases under finance leases. We estimate that second half 2022 capital expenditure levels will decrease, with estimated full year capital expenditures approximating $270 million, or approximately $220 million, net of asset disposals, and we expect to incur approximately $170 million to $190 million of equipment purchases under finance leases. Actual capital expenditures may increase or decrease in the future depending upon business activity levels, as well as ongoing assessments of equipment lease versus purchase decisions based on short and long-term equipment requirements.</w:t>
      </w:r>
    </w:p>
    <w:p>
      <w:pPr>
        <w:spacing w:after="0" w:line="6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Acquisitions and Earn-Out Liabilities. </w:t>
      </w:r>
      <w:r>
        <w:rPr>
          <w:rFonts w:ascii="Times New Roman" w:cs="Times New Roman" w:eastAsia="Times New Roman" w:hAnsi="Times New Roman"/>
          <w:sz w:val="16"/>
          <w:szCs w:val="16"/>
          <w:color w:val="auto"/>
        </w:rPr>
        <w:t>We typically utilize cash for business acquisitions and other strategic arrangements, and for the six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June 30, 2022, we used $45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liabilities as of June 30, 2022 was approximately $135 million. Of this amount, approximately $17 million represents the liability for earned amounts. The remainder is management’s estimate of Earn-out liabilities that are contingent upon future performance. For the six month periods ended June 30, 2022 and 2021, we made $27 million and $46 million, respectively, of Earn-out payments.</w:t>
      </w:r>
    </w:p>
    <w:p>
      <w:pPr>
        <w:spacing w:after="0" w:line="2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One of our acquisitions provides for certain additional payments to be made to the sellers if certain acquired receivables are collected, which we refer to as the “Additional Payments.” Pursuant to the terms of the purchase agreement, a portion of the Additional Payments will be made in cash, with the remainder due in shares of MasTec common stock. An Additional Payment of approximately $29.4 million was made in May 2022, which payment was composed of approximately $18 million in cash and 133,157 shares of MasTec common stock. As of June 30, 2022, the estimated fair value of remaining Additional Payments was approximately $32 million and includes the effect of an unrealized fair value gain of approximately $3 million related to the contingent shares. The number of shares that would be paid in connection with the remaining Additional Payment liability as of June 30, 2022 is approximately 160,000 shares. In addition, the HMG purchase agreement provides for a customary net working capital adjustment. In the second quarter of 2022, this working capital adjustment was resolved, resulting in a reduction in acquisition consideration for HMG of approximately $15 million.</w:t>
      </w:r>
    </w:p>
    <w:p>
      <w:pPr>
        <w:spacing w:after="0" w:line="7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For the six month period ended June 30, 2022, tax payments, net of tax refunds, totaled approximately $1 million, and for the six month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June 30, 2021, totaled $61 million. Our tax payments vary with changes in taxable income and earnings based on estimates of full year taxable income activity and estimated tax rates.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38" w:name="page39"/>
    <w:bookmarkEnd w:id="38"/>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variations in our business, primarily due to the effect of weather conditions on external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construction 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typically become payable before the receivables resulting from work performed are collected. The timing of billings and project close-outs can contribute to changes in unbilled revenue. As of June 30, 2022, we expect that substantially all of our unbilled receivables will be billed to customers in the normal course of business within the next twelve months. Total accounts receivable, which consists of contract billings, unbilled receivables and retainage, net of allowance, increased to approximately $2.5 billion as of June 30, 2022 from $2.2 billion as of December 31, 2021 due primarily to higher levels of revenue, including from our fourth quarter 2021 acquisitions, as well as an increase in our DSOs. See below for discussion of our days sales outstanding, net of contract liabilities, which we refer to as days sales outstanding, or “DSO.”</w:t>
      </w:r>
    </w:p>
    <w:p>
      <w:pPr>
        <w:spacing w:after="0" w:line="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Including our current assessment of general economic conditions on our results of operations and capital resource requirements, we anticipate that funds generated from operations, borrowings under our existing credit facilities, as well as those facilities discussed under “Recent Transactions,” above, and our cash balances will be sufficient to meet our working capital requirements, anticipated capital expenditures, debt service obligations, insurance and performance collateral requirements, letter of credit needs, earn-out obligations, required income tax payments, share repurchase activity and acquisition, strategic arrangement and investment funding requirements, including the recently announced agreement to acquire the stock of IEA, and other liquidity needs for the next twelve months and the foreseeable future. For additional information regarding financing for the IEA transaction, see “Recent Transactions,” above.</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Sources and Uses of Cash</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June 30, 2022, we had approximately $1,160 million in working capital, defined as current assets less current liabilities, as compared with $1,089 million as of December 31, 2021, an increase of approximately $70 million. Cash and cash equivalents totaled approximately $139 million and $361 million as of June 30, 2022 and December 31, 2021, respectively, for a decrease of $222 million, due, in part, to a decrease in net income.</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302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8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rPr>
              <w:t>349.3</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(676.1)</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rPr>
              <w:t>140.8</w:t>
            </w: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affected by working capital needs associated with the various types of services we provide. Working capital is affected by changes in total accounts receivable,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six month period ended June 30, 2022 was $2 million, as compared with approximately $349 million for the same period in 2021, for a decrease in net cash provided by operating activities of approximately $348 million, due primarily to a decrease in net income as well as the effect of working capital changes in assets and liabilities, net, including from our recent acquisitions and from higher levels of purchasing activity to secure inventory and materials components to address concerns resulting from inflation and supply chain disruptions in the first half of 2022. The above described items, which resulted in a reduction in our operating cash flows, were offset, in part, by increases in certain expenses that reconcile net income to operating cash flows, including depreciation expense and amortization of intangible assets.</w:t>
      </w:r>
    </w:p>
    <w:p>
      <w:pPr>
        <w:spacing w:after="0" w:line="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days sales outstanding, net of contract liabilities (“DSO”) was 88 as of June 30, 2022. As of December 31, 2021, our DSO was 98, and as adjusted for December 2021 acquisitions, was 77. DSO is calculated as total accounts receivable, net of allowance, less contract liabilities, divided by average daily revenue for the most recently completed quarter as of the balance sheet date. Our DSOs can fluctuate from period to period due to timing of billings, billing terms, collections and settlements, timing of project close-outs and retainage collections, changes in project and customer mix and the effect of working capital initiatives. To provide a representative comparison of our DSOs across periods, for December 31, 2021, we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16"/>
          <w:szCs w:val="16"/>
          <w:color w:val="auto"/>
        </w:rPr>
        <w:t>calculated DSO as adjusted for our December 2021 acquisitions. This calculation for December 31, 2021 excludes revenue and accounts receivable, net of allowance, less contract liabilities for our December 2021 acquisitions, given that our consolidated results for the related period do not reflect the full quarter’s revenue for these acquisitions, but our consolidated balance sheet as of December 31, 2021 includes the full amount of related accounts receivable, net of allowance, less contract liabilities. The increase in DSO as of June 30, 2022 as compared with December 31, 2021, as adjusted for our December 2021 acquisitions, was due to timing of ordinary course billing and collection activities and the effect of our recent acquisitions, some of which have a higher DSO than the DSO of our organic operations, as well as the effect of lower levels of organic revenue with fixed amounts of project retainage. Other than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decreased by approximately $456 million to $220 million for the six month period ended June 30, 2022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$676 million for the six month period ended June 30, 2021. We paid $45 million related to acquisitions for the six month period ended June 30, 2022, in which period we completed two acquisitions, as compared with $589 million for the same period in 2021, in which period we completed seven acquisitions, for an increase of approximately $544 million. Capital expenditures for the six month period ended June 30, 2022 totaled $190 million, or $172 million, net of asset disposals, as compared with $97 million, or $84 million, net of asset disposals, for the same period in 2021, for an increase in cash used in investing activities of approximately $88 million, due to acceleration of capital expenditures in the first half of 2022 to address supply chain disruption concerns. Payments for other investments, which relate primarily to investments in certain equity investees, decreased from $6 million for the six month period ended June 30, 2021 to $3 million for the same period in 2022. In July 2022, we entered into an agreement to acquire all of the outstanding shares of IEA, for which the total transaction consideration is expected to approximate $1.1 billion, including approximately 2.8 million MasTec shares. We expect the IEA acquisition to close in the fourth quarter of 2022. This acquisition will be funded with cash on hand, borrowings under our senior secured credit facility and additional debt financing. See “Recent Transactions,” above.</w:t>
      </w:r>
    </w:p>
    <w:p>
      <w:pPr>
        <w:spacing w:after="0" w:line="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used in financing activities for the six month period ended June 30, 2022 was $3 million, as compared with $141 million of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cash provided by financing activities for the same period in 2021, for a decrease in cash provided by financing activities of $144 million. The decrease in cash provided by financing activities was driven primarily by share repurchase and Credit Facility (as defined below) activity. Share repurchases totaled $81 million for the six month period ended June 30, 2022, whereas there were no share repurchases for the same period in 2021. Credit Facility activity, net, totaled $214 million of borrowings, net of repayments for the six month period ended June 30, 2022, as compared with $253 million for the same period in 2021, for a reduction in cash provided by financing activities of $40 million. Payments of finance lease obligations increased by approximately $7 million for the six month period ended June 30, 2022 as compared with the same period in 2021. Payments of acquisition-related contingent consideration included within financing activities totaled $27 million for the six month period ended June 30, 2022 as compared with $21 million for the same period in 2021, for an increase in cash used in financing activities of $6 million. Total payments of acquisition-related contingent consideration, including payments in excess of acquisition-date liabilities, which are classified within operating activities, totaled $27 million for the six month period ended June 30, 2022 as compared with $44 million for the same period in 2021. Additionally, payments for acquisition-related contingent assets related to the December 2021 acquisition of HMG totaled approximately $18 million for the six month period ended June 30, 2022. Offsetting the above noted increases in cash used in financing activities, for the six month period ended June 30, 2021, we paid approximately $9 million to holders of our non-controlling interests, including $7 million as consideration to acquire 15% of the remaining interests of one of these entities, whereas for the six month period ended June 30, 2022, we made no payments.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have a senior unsecured credit facility (the “Credit Facility”) that matures on November 1, 2026 and has aggregate borrowing commitments totaling $2.0 billion, which amount is composed of $1.65 billion of revolving commitments and a Term Loan totaling $350 million in original principal amount. Aggregate outstanding borrowings under the Credit Facility as of June 30, 2022 totaled approximately $1.3 billion. Borrowings under the Credit Facility are used for working capital requirements, capital expenditures and other corporate purposes, including acquisitions, equity investments or other strategic arrangements, share repurchases and the repurchase or prepayment of indebtedness, including repayment of term loans.</w:t>
      </w:r>
    </w:p>
    <w:p>
      <w:pPr>
        <w:spacing w:after="0" w:line="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2021 Form 10-K.</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4.50% Senior Notes</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have $600 million of 4.50% Senior Notes due August 15, 2028 (the “4.50% Senior Notes”). The 4.50% Senior Notes are fully and unconditionally guaranteed on a senior unsecured, joint and several basis by certain of our wholly-owned domestic restricted subsidiaries. The 4.50% Senior Notes are subject to certain provisions and covenants, as more fully described in Note 7 - Debt in the notes to the audited consolidated financial statements included in our 2021 Form 10-K.</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June 30, 2022.</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See “Recent Transactions,” above, pertaining to our recently announced acquisition of IEA and related financing activities. For detailed discussion and additional information pertaining to our debt instruments and related transactions, see Note 7 - Debt in the notes to the audited consolidated financial statements included in our 2021 Form 10-K and Note 7 - Debt in the notes to the consolidated financial statements in this Form 10-Q, which is incorporated by reference, for current period balances and discussion.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1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Times New Roman" w:cs="Times New Roman" w:eastAsia="Times New Roman" w:hAnsi="Times New Roman"/>
          <w:sz w:val="16"/>
          <w:szCs w:val="16"/>
          <w:color w:val="252525"/>
        </w:rPr>
        <w:t>with durations of less than twelve months</w:t>
      </w:r>
      <w:r>
        <w:rPr>
          <w:rFonts w:ascii="Times New Roman" w:cs="Times New Roman" w:eastAsia="Times New Roman" w:hAnsi="Times New Roman"/>
          <w:sz w:val="16"/>
          <w:szCs w:val="16"/>
          <w:color w:val="auto"/>
        </w:rPr>
        <w:t>, letter of credit obligations, surety and performance and payment bonds entered into in the normal course of business, self-insurance liabilities, liabilities associated with multiemployer pension plans, liabilities associated with potential funding obligations and indemnification and/or guarantee arrangements relating to our equity and other investment arrangements, including our variable interest entities. These off-balance sheet arrangements have not had, and are not reasonably likely to have, a material impact on our financial condition, revenues or expenses, results of operations, liquidity, cash requirements or capital resources in the next twelve months or in the foreseeable future. Refer to Note 14 - Commitments and Contingencies, Note 4 - Fair Value of Financial Instruments and Note 15 - Related Party Transactions in the notes to the consolidated financial statements, which are incorporated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primary inflationary factors directly affecting our operations are labor, fuel and material costs. In times of low unemployment and/or high inflation, our labor costs may increase due to shortages in the supply of skilled labor and increases in compensation rates generally. Although most project materials are provided by our customers, increases in the cost of materials could negatively affect the economic viability of our customers’ projects, and accordingly, demand for our services. Material and commodity prices are subject to unexpected fluctuations due to events outside of our control, including fluctuations in global supply and demand, climate-related effects, and geopolitical events, such as the ongoing conflict in Ukraine, which events have recently caused market volatility, particularly in the oil and gas markets, among others. Recent increases in labor, fuel and materials costs, to the extent that we have been unable to pass such increases along to our customers, have negatively affected our project margins, and could continue to affect our profitability in the future if we are unable to pass these costs along to our customers. Such market volatility can also affect our customers’ investment decisions and subject us to project cancellations, deferrals or unexpected changes in the timing of project work. Market prices for goods can also be affected by supply chain disruptions, such as those arising from the effects of the COVID-19 pandemic. We closely monitor inflationary factors, including the current rise in the rate of inflation, and any potential effects they may have on our business operations, operating results and/or financial condition.</w:t>
      </w:r>
    </w:p>
    <w:p>
      <w:pPr>
        <w:spacing w:after="0" w:line="249" w:lineRule="exact"/>
        <w:rPr>
          <w:sz w:val="20"/>
          <w:szCs w:val="20"/>
          <w:color w:val="auto"/>
        </w:rPr>
      </w:pPr>
    </w:p>
    <w:p>
      <w:pPr>
        <w:ind w:right="4660"/>
        <w:spacing w:after="0" w:line="397" w:lineRule="auto"/>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As of June 30, 2022,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June 30, 2022, we had $986 million aggregate principal amount of outstanding revolving loans under our Credit Facility with a weighted average interest rate of 2.61% and a Term Loan with a balance of $350 million and an interest rate of 2.92%. Our variable rate interest debt subjects us to risk from increases in prevailing interest rates, particularly in an inflationary environment, such as the current inflationary market conditions, as central banks seek to increase interest rates, which has recently caused an increase in our variable interest rates. A 100 basis point increase in the applicable interest rates under our Credit Facility and Term Loan would have increased our interest expense by approximately $6 million for the six month period ended June 30, 2022. While our material financing arrangements indexed to LIBOR have procedures for determining an alternative base rate, the upcoming expected phase-out of LIBOR could lead to volatility in interest rates for our variable rate debt, as the alternative base rate could perform differently than the current LIBOR-indexed rate, which could result in an increase in the cost of our variable rate indebtedness.</w:t>
      </w:r>
    </w:p>
    <w:p>
      <w:pPr>
        <w:spacing w:after="0" w:line="2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June 30, 2022, our fixed interest rate debt primarily included $600 million aggregate principal amount of 4.50% Senior Notes and $337 million of finance lease obligations, which accrued interest at a weighted average interest rate of approximately 3.4%. None of this debt subjects us to interest rate risk, but we may be subject to changes in interest rates if and when we refinance this debt at maturity or otherwise.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Certain of our consolidated revenue and operating expenses are in foreign currencies. Our foreign operations are primarily in Canada. Revenue generated from foreign operations represented 2% of our total revenue for the six month period ended June 30, 2022.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six month period ended June 30, 2022. Translation gains or losses, which are recorded in other comprehensive income or loss, result from translation of the assets and liabilities of our foreign subsidiaries into U.S. dollars. For the six month period ended June 30, 2022, foreign currency translation losses, net, totaled approximately $1 million and related to our operations in Canada and Mexico.</w:t>
      </w:r>
    </w:p>
    <w:p>
      <w:pPr>
        <w:spacing w:after="0" w:line="78"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jc w:val="both"/>
        <w:spacing w:after="0" w:line="280" w:lineRule="auto"/>
        <w:rPr>
          <w:sz w:val="20"/>
          <w:szCs w:val="20"/>
          <w:color w:val="auto"/>
        </w:rPr>
      </w:pPr>
      <w:r>
        <w:rPr>
          <w:rFonts w:ascii="Times New Roman" w:cs="Times New Roman" w:eastAsia="Times New Roman" w:hAnsi="Times New Roman"/>
          <w:sz w:val="16"/>
          <w:szCs w:val="16"/>
          <w:color w:val="auto"/>
        </w:rPr>
        <w:t>other than the functional currency, which exposure was not significant to our consolidated financial position as of June 30, 2022. We may enter into foreign currency derivative contracts in the future to manage such exposure.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14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June 30, 2022.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There have been no changes in the Company’s internal control over financial reporting during the quarter ended June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PART II.</w:t>
        <w:tab/>
        <w:t>OTHER INFORMATION</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w:t>
        <w:tab/>
        <w:t>LEGAL PROCEEDINGS</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2021 Form 10-K.</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Except as set forth below and subject to the potential effects of general economic conditions, including inflation and rising interest rates, and the recent announcement of MasTec’s definitive agreement to acquire all of the outstanding shares of IEA, including the financing thereof, on certain of the risks we normally face in operating our business, including those disclosed in our 2021 Form 10-K, there have been no material changes to either the cautionary statement regarding forward-looking statements or to any of the risk factors disclosed in our 2021 Form 10-K, as updated by our Quarterly Report on Form 10-Q and other filings we make with the SEC.</w:t>
      </w:r>
    </w:p>
    <w:p>
      <w:pPr>
        <w:spacing w:after="0" w:line="8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experiencing impacts from inflationary pressures, including with respect to fuel, labor and materials costs, which could adversely impact our profitability and cash flow.</w:t>
      </w: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We are experiencing, and may continue to experience, the general impact of inflationary market pressures on our business, particularly with respect to fuel, labor and materials costs. We are experiencing pressures on fuel, materials and certain labor costs as a result of the inflationary environment and current general labor shortage, which has resulted in increased competition for skilled labor and wage inflation. It is possible that our labor, fuel and materials costs could continue to increase as we expand our operations and volume of work. We have not been, and may not be able to, fully adjust our contract pricing to compensate for these cost increases, which has affected, and may continue to affect, our profitability and cash flows. Inflationary pressures and related recessionary concerns in light of governmental and central bank efforts to mitigate inflation could also cause uncertainties for our customers and affect the level of their project activity, which could also adversely affect our profitability and cash flows.</w:t>
      </w:r>
    </w:p>
    <w:p>
      <w:pPr>
        <w:spacing w:after="0" w:line="37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2.</w:t>
        <w:tab/>
        <w:t>UNREGISTERED SALES OF EQUITY SECURITIES AND USE OF PROCEEDS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Issuer Purchases of Equity Securities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quarter ended June 30, 2022:</w:t>
      </w:r>
    </w:p>
    <w:p>
      <w:pPr>
        <w:sectPr>
          <w:pgSz w:w="11900" w:h="16838" w:orient="portrait"/>
          <w:cols w:equalWidth="0" w:num="1">
            <w:col w:w="11240"/>
          </w:cols>
          <w:pgMar w:left="320" w:top="1109"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9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Period</w:t>
            </w:r>
          </w:p>
        </w:tc>
        <w:tc>
          <w:tcPr>
            <w:tcW w:w="1380" w:type="dxa"/>
            <w:vAlign w:val="bottom"/>
          </w:tcPr>
          <w:p>
            <w:pPr>
              <w:jc w:val="right"/>
              <w:ind w:right="543"/>
              <w:spacing w:after="0" w:line="108" w:lineRule="exact"/>
              <w:rPr>
                <w:sz w:val="20"/>
                <w:szCs w:val="20"/>
                <w:color w:val="auto"/>
              </w:rPr>
            </w:pPr>
            <w:r>
              <w:rPr>
                <w:rFonts w:ascii="Times New Roman" w:cs="Times New Roman" w:eastAsia="Times New Roman" w:hAnsi="Times New Roman"/>
                <w:sz w:val="11"/>
                <w:szCs w:val="11"/>
                <w:b w:val="1"/>
                <w:bCs w:val="1"/>
                <w:color w:val="auto"/>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right"/>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0" w:type="dxa"/>
            <w:vAlign w:val="bottom"/>
          </w:tcPr>
          <w:p>
            <w:pPr>
              <w:spacing w:after="0"/>
              <w:rPr>
                <w:sz w:val="1"/>
                <w:szCs w:val="1"/>
                <w:color w:val="auto"/>
              </w:rPr>
            </w:pPr>
          </w:p>
        </w:tc>
      </w:tr>
      <w:tr>
        <w:trPr>
          <w:trHeight w:val="54"/>
        </w:trPr>
        <w:tc>
          <w:tcPr>
            <w:tcW w:w="3900" w:type="dxa"/>
            <w:vAlign w:val="bottom"/>
            <w:gridSpan w:val="2"/>
            <w:vMerge w:val="continue"/>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April 1 through April 30</w:t>
            </w:r>
          </w:p>
        </w:tc>
        <w:tc>
          <w:tcPr>
            <w:tcW w:w="1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358,403</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through May 31</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1 through June 30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398,288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08"/>
        </w:trPr>
        <w:tc>
          <w:tcPr>
            <w:tcW w:w="2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vMerge w:val="restart"/>
          </w:tcPr>
          <w:p>
            <w:pPr>
              <w:jc w:val="center"/>
              <w:ind w:right="44"/>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5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Program</w:t>
            </w:r>
          </w:p>
        </w:tc>
        <w:tc>
          <w:tcPr>
            <w:tcW w:w="0" w:type="dxa"/>
            <w:vAlign w:val="bottom"/>
          </w:tcPr>
          <w:p>
            <w:pPr>
              <w:spacing w:after="0"/>
              <w:rPr>
                <w:sz w:val="1"/>
                <w:szCs w:val="1"/>
                <w:color w:val="auto"/>
              </w:rPr>
            </w:pPr>
          </w:p>
        </w:tc>
      </w:tr>
      <w:tr>
        <w:trPr>
          <w:trHeight w:val="162"/>
        </w:trPr>
        <w:tc>
          <w:tcPr>
            <w:tcW w:w="21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Announced Program </w:t>
            </w:r>
            <w:r>
              <w:rPr>
                <w:rFonts w:ascii="Times New Roman" w:cs="Times New Roman" w:eastAsia="Times New Roman" w:hAnsi="Times New Roman"/>
                <w:sz w:val="18"/>
                <w:szCs w:val="18"/>
                <w:b w:val="1"/>
                <w:bCs w:val="1"/>
                <w:color w:val="auto"/>
                <w:vertAlign w:val="superscript"/>
              </w:rPr>
              <w:t>(b)</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0" w:type="dxa"/>
            <w:vAlign w:val="bottom"/>
          </w:tcPr>
          <w:p>
            <w:pPr>
              <w:spacing w:after="0"/>
              <w:rPr>
                <w:sz w:val="1"/>
                <w:szCs w:val="1"/>
                <w:color w:val="auto"/>
              </w:rPr>
            </w:pPr>
          </w:p>
        </w:tc>
      </w:tr>
      <w:tr>
        <w:trPr>
          <w:trHeight w:val="204"/>
        </w:trPr>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349,020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119,406,839</w:t>
            </w:r>
          </w:p>
        </w:tc>
        <w:tc>
          <w:tcPr>
            <w:tcW w:w="0" w:type="dxa"/>
            <w:vAlign w:val="bottom"/>
          </w:tcPr>
          <w:p>
            <w:pPr>
              <w:spacing w:after="0"/>
              <w:rPr>
                <w:sz w:val="1"/>
                <w:szCs w:val="1"/>
                <w:color w:val="auto"/>
              </w:rPr>
            </w:pPr>
          </w:p>
        </w:tc>
      </w:tr>
      <w:tr>
        <w:trPr>
          <w:trHeight w:val="216"/>
        </w:trPr>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104,627,002</w:t>
            </w:r>
          </w:p>
        </w:tc>
        <w:tc>
          <w:tcPr>
            <w:tcW w:w="0" w:type="dxa"/>
            <w:vAlign w:val="bottom"/>
          </w:tcPr>
          <w:p>
            <w:pPr>
              <w:spacing w:after="0"/>
              <w:rPr>
                <w:sz w:val="1"/>
                <w:szCs w:val="1"/>
                <w:color w:val="auto"/>
              </w:rPr>
            </w:pPr>
          </w:p>
        </w:tc>
      </w:tr>
      <w:tr>
        <w:trPr>
          <w:trHeight w:val="219"/>
        </w:trPr>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384,706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2">
            <w:col w:w="6640" w:space="120"/>
            <w:col w:w="4480"/>
          </w:cols>
          <w:pgMar w:left="320" w:top="1109" w:right="339" w:bottom="1440" w:gutter="0" w:footer="0" w:header="0"/>
          <w:type w:val="continuous"/>
        </w:sectPr>
      </w:pPr>
    </w:p>
    <w:p>
      <w:pPr>
        <w:jc w:val="both"/>
        <w:ind w:left="340" w:right="20" w:hanging="332"/>
        <w:spacing w:after="0" w:line="261" w:lineRule="auto"/>
        <w:tabs>
          <w:tab w:leader="none" w:pos="33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9,383, 8,923 and 13,582 shares reacquired by the Company on the open market pursuant to the Amended ESPPs in April, May and June of 2022, respectively, 364 shares withheld for income tax purposes in connection with shares issued under compensation and benefit programs in May of 2022, and 936,308 shares repurchased under our $150 million March 2020 share repurchase program during the three month period ended June 30, 2022.</w:t>
      </w: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were repurchased under our $150 million March 2020 share repurchase program, which was publicly announced on March 19, 2020.</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2022, the remaining amount available for share repurchases under our March 2020 $150 million share repurchase program totaled $77.3 million.</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115" w:lineRule="exact"/>
        <w:rPr>
          <w:sz w:val="20"/>
          <w:szCs w:val="20"/>
          <w:color w:val="auto"/>
        </w:rPr>
      </w:pPr>
    </w:p>
    <w:p>
      <w:pPr>
        <w:ind w:right="20" w:firstLine="648"/>
        <w:spacing w:after="0" w:line="298" w:lineRule="auto"/>
        <w:rPr>
          <w:sz w:val="20"/>
          <w:szCs w:val="20"/>
          <w:color w:val="auto"/>
        </w:rPr>
      </w:pPr>
      <w:r>
        <w:rPr>
          <w:rFonts w:ascii="Times New Roman" w:cs="Times New Roman" w:eastAsia="Times New Roman" w:hAnsi="Times New Roman"/>
          <w:sz w:val="16"/>
          <w:szCs w:val="16"/>
          <w:color w:val="auto"/>
        </w:rPr>
        <w:t>The information concerning mine safety violations or other regulatory matters required by Section 1503(a) of the Dodd-Frank Wall Street Reform and Consumer Protection Act and Item 104 of Regulation S-K is included in Exhibit 95.1 to this Quarterly Report on Form 10-Q.</w:t>
      </w:r>
    </w:p>
    <w:p>
      <w:pPr>
        <w:spacing w:after="0" w:line="14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5.</w:t>
        <w:tab/>
        <w:t>OTHER INFORMATION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43" w:name="page44"/>
    <w:bookmarkEnd w:id="43"/>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6.</w:t>
        <w:tab/>
        <w:t>EXHIBITS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Exhibit Index below contains a list of exhibits filed or furnished with this Form 10-Q.</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w:t>
            </w: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2.1</w:t>
            </w:r>
          </w:p>
        </w:tc>
        <w:tc>
          <w:tcPr>
            <w:tcW w:w="520" w:type="dxa"/>
            <w:vAlign w:val="bottom"/>
          </w:tcPr>
          <w:p>
            <w:pPr>
              <w:spacing w:after="0"/>
              <w:rPr>
                <w:sz w:val="21"/>
                <w:szCs w:val="21"/>
                <w:color w:val="auto"/>
              </w:rPr>
            </w:pPr>
          </w:p>
        </w:tc>
        <w:tc>
          <w:tcPr>
            <w:tcW w:w="9920" w:type="dxa"/>
            <w:vAlign w:val="bottom"/>
            <w:gridSpan w:val="9"/>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Agreement and Plan of Merger, dated as of July 24, 2022, by and among Infrastructure and Energy Alternatives, Inc., MasTec, Inc. and Indigo</w:t>
              </w:r>
            </w:hyperlink>
          </w:p>
        </w:tc>
        <w:tc>
          <w:tcPr>
            <w:tcW w:w="0" w:type="dxa"/>
            <w:vAlign w:val="bottom"/>
          </w:tcPr>
          <w:p>
            <w:pPr>
              <w:spacing w:after="0"/>
              <w:rPr>
                <w:sz w:val="1"/>
                <w:szCs w:val="1"/>
                <w:color w:val="auto"/>
              </w:rPr>
            </w:pPr>
          </w:p>
        </w:tc>
      </w:tr>
      <w:tr>
        <w:trPr>
          <w:trHeight w:val="142"/>
        </w:trPr>
        <w:tc>
          <w:tcPr>
            <w:tcW w:w="7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90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Acquisition I Corp.</w:t>
              </w:r>
              <w:r>
                <w:rPr>
                  <w:rFonts w:ascii="Times New Roman" w:cs="Times New Roman" w:eastAsia="Times New Roman" w:hAnsi="Times New Roman"/>
                  <w:sz w:val="16"/>
                  <w:szCs w:val="16"/>
                  <w:color w:val="000000"/>
                </w:rPr>
                <w:t>, filed as Exhibit 2.1 to Infrastructure and Energy Alternatives, Inc.'s Current Report on Form 8-K filed with the SEC on July 25,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Borders>
              <w:top w:val="single" w:sz="8" w:color="0000FF"/>
            </w:tcBorders>
          </w:tcPr>
          <w:p>
            <w:pPr>
              <w:spacing w:after="0" w:line="182" w:lineRule="exact"/>
              <w:rPr>
                <w:sz w:val="20"/>
                <w:szCs w:val="20"/>
                <w:color w:val="auto"/>
              </w:rPr>
            </w:pPr>
            <w:r>
              <w:rPr>
                <w:rFonts w:ascii="Times New Roman" w:cs="Times New Roman" w:eastAsia="Times New Roman" w:hAnsi="Times New Roman"/>
                <w:sz w:val="16"/>
                <w:szCs w:val="16"/>
                <w:color w:val="auto"/>
              </w:rPr>
              <w:t>2022.</w:t>
            </w:r>
          </w:p>
        </w:tc>
        <w:tc>
          <w:tcPr>
            <w:tcW w:w="52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auto"/>
              </w:rPr>
              <w:t>31.1*</w:t>
            </w:r>
          </w:p>
        </w:tc>
        <w:tc>
          <w:tcPr>
            <w:tcW w:w="520" w:type="dxa"/>
            <w:vAlign w:val="bottom"/>
          </w:tcPr>
          <w:p>
            <w:pPr>
              <w:spacing w:after="0"/>
              <w:rPr>
                <w:sz w:val="15"/>
                <w:szCs w:val="15"/>
                <w:color w:val="auto"/>
              </w:rPr>
            </w:pPr>
          </w:p>
        </w:tc>
        <w:tc>
          <w:tcPr>
            <w:tcW w:w="5020" w:type="dxa"/>
            <w:vAlign w:val="bottom"/>
            <w:tcBorders>
              <w:bottom w:val="single" w:sz="8" w:color="0000FF"/>
            </w:tcBorders>
            <w:gridSpan w:val="7"/>
          </w:tcPr>
          <w:p>
            <w:pPr>
              <w:spacing w:after="0" w:line="176" w:lineRule="exact"/>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49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31.2*</w:t>
            </w:r>
          </w:p>
        </w:tc>
        <w:tc>
          <w:tcPr>
            <w:tcW w:w="520" w:type="dxa"/>
            <w:vAlign w:val="bottom"/>
          </w:tcPr>
          <w:p>
            <w:pPr>
              <w:spacing w:after="0"/>
              <w:rPr>
                <w:sz w:val="17"/>
                <w:szCs w:val="17"/>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32.1**</w:t>
            </w:r>
          </w:p>
        </w:tc>
        <w:tc>
          <w:tcPr>
            <w:tcW w:w="52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160" w:type="dxa"/>
            <w:vAlign w:val="bottom"/>
            <w:tcBorders>
              <w:top w:val="single" w:sz="8" w:color="0000FF"/>
            </w:tcBorders>
          </w:tcPr>
          <w:p>
            <w:pPr>
              <w:spacing w:after="0"/>
              <w:rPr>
                <w:sz w:val="17"/>
                <w:szCs w:val="17"/>
                <w:color w:val="auto"/>
              </w:rPr>
            </w:pPr>
          </w:p>
        </w:tc>
        <w:tc>
          <w:tcPr>
            <w:tcW w:w="49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32.2**</w:t>
            </w:r>
          </w:p>
        </w:tc>
        <w:tc>
          <w:tcPr>
            <w:tcW w:w="520" w:type="dxa"/>
            <w:vAlign w:val="bottom"/>
          </w:tcPr>
          <w:p>
            <w:pPr>
              <w:spacing w:after="0"/>
              <w:rPr>
                <w:sz w:val="17"/>
                <w:szCs w:val="17"/>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95.1*</w:t>
            </w:r>
          </w:p>
        </w:tc>
        <w:tc>
          <w:tcPr>
            <w:tcW w:w="5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Mine Safety Disclosure.</w:t>
            </w:r>
          </w:p>
        </w:tc>
        <w:tc>
          <w:tcPr>
            <w:tcW w:w="3240" w:type="dxa"/>
            <w:vAlign w:val="bottom"/>
            <w:tcBorders>
              <w:top w:val="single" w:sz="8" w:color="0000FF"/>
            </w:tcBorders>
          </w:tcPr>
          <w:p>
            <w:pPr>
              <w:spacing w:after="0"/>
              <w:rPr>
                <w:sz w:val="17"/>
                <w:szCs w:val="17"/>
                <w:color w:val="auto"/>
              </w:rPr>
            </w:pPr>
          </w:p>
        </w:tc>
        <w:tc>
          <w:tcPr>
            <w:tcW w:w="5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101.INS</w:t>
            </w:r>
          </w:p>
        </w:tc>
        <w:tc>
          <w:tcPr>
            <w:tcW w:w="992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29"/>
        </w:trPr>
        <w:tc>
          <w:tcPr>
            <w:tcW w:w="1280" w:type="dxa"/>
            <w:vAlign w:val="bottom"/>
            <w:gridSpan w:val="2"/>
            <w:vMerge w:val="continue"/>
          </w:tcPr>
          <w:p>
            <w:pPr>
              <w:spacing w:after="0"/>
              <w:rPr>
                <w:sz w:val="11"/>
                <w:szCs w:val="11"/>
                <w:color w:val="auto"/>
              </w:rPr>
            </w:pPr>
          </w:p>
        </w:tc>
        <w:tc>
          <w:tcPr>
            <w:tcW w:w="992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9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20"/>
          </w:cols>
          <w:pgMar w:left="320" w:top="1109" w:right="359" w:bottom="1440" w:gutter="0" w:footer="0" w:header="0"/>
        </w:sectPr>
      </w:pPr>
    </w:p>
    <w:p>
      <w:pPr>
        <w:ind w:left="60"/>
        <w:spacing w:after="0"/>
        <w:rPr>
          <w:sz w:val="20"/>
          <w:szCs w:val="20"/>
          <w:color w:val="auto"/>
        </w:rPr>
      </w:pPr>
      <w:r>
        <w:rPr>
          <w:rFonts w:ascii="Times New Roman" w:cs="Times New Roman" w:eastAsia="Times New Roman" w:hAnsi="Times New Roman"/>
          <w:sz w:val="16"/>
          <w:szCs w:val="16"/>
          <w:color w:val="auto"/>
        </w:rPr>
        <w:t>101.SCH</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101.CAL</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101.DEF</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101.LAB</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101.PRE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Inline XBRL Taxonomy Extension Schema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p>
      <w:pPr>
        <w:spacing w:after="0" w:line="32"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6"/>
          <w:szCs w:val="16"/>
          <w:color w:val="auto"/>
        </w:rPr>
        <w:t>The cover page of MasTec, Inc.’s Quarterly Report on Form 10-Q for the quarter ended June 30, 2022, formatted in Inline XBRL (included with the Exhibit 101 attachments).</w:t>
      </w:r>
    </w:p>
    <w:p>
      <w:pPr>
        <w:spacing w:after="0" w:line="317" w:lineRule="exact"/>
        <w:rPr>
          <w:sz w:val="20"/>
          <w:szCs w:val="20"/>
          <w:color w:val="auto"/>
        </w:rPr>
      </w:pPr>
    </w:p>
    <w:p>
      <w:pPr>
        <w:sectPr>
          <w:pgSz w:w="11900" w:h="16838" w:orient="portrait"/>
          <w:cols w:equalWidth="0" w:num="2">
            <w:col w:w="1140" w:space="160"/>
            <w:col w:w="9920"/>
          </w:cols>
          <w:pgMar w:left="320" w:top="1109" w:right="359" w:bottom="1440" w:gutter="0" w:footer="0" w:header="0"/>
          <w:type w:val="continuous"/>
        </w:sect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8" w:lineRule="exact"/>
        <w:rPr>
          <w:sz w:val="20"/>
          <w:szCs w:val="20"/>
          <w:color w:val="auto"/>
        </w:rPr>
      </w:pPr>
    </w:p>
    <w:p>
      <w:pPr>
        <w:ind w:left="300" w:hanging="292"/>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9" w:right="359" w:bottom="1440" w:gutter="0" w:footer="0" w:header="0"/>
          <w:type w:val="continuous"/>
        </w:sectPr>
      </w:pPr>
    </w:p>
    <w:bookmarkStart w:id="44" w:name="page45"/>
    <w:bookmarkEnd w:id="44"/>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50"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5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MASTEC, INC.</w:t>
      </w:r>
    </w:p>
    <w:p>
      <w:pPr>
        <w:spacing w:after="0" w:line="32"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6"/>
          <w:szCs w:val="16"/>
          <w:color w:val="auto"/>
        </w:rPr>
        <w:t>Date:</w:t>
        <w:tab/>
        <w:t>August 4, 2022</w:t>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21590</wp:posOffset>
            </wp:positionV>
            <wp:extent cx="29660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0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21590</wp:posOffset>
            </wp:positionV>
            <wp:extent cx="29660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George L. Pita</w:t>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240"/>
          </w:cols>
          <w:pgMar w:left="320" w:top="113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August 4, 2022</w:t>
      </w:r>
    </w:p>
    <w:p>
      <w:pPr>
        <w:spacing w:after="0" w:line="30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21590</wp:posOffset>
            </wp:positionV>
            <wp:extent cx="26574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José R. Mas</w:t>
      </w:r>
    </w:p>
    <w:p>
      <w:pPr>
        <w:ind w:left="5000"/>
        <w:spacing w:after="0" w:line="211" w:lineRule="auto"/>
        <w:rPr>
          <w:sz w:val="20"/>
          <w:szCs w:val="20"/>
          <w:color w:val="auto"/>
        </w:rPr>
      </w:pPr>
      <w:r>
        <w:rPr>
          <w:rFonts w:ascii="Times New Roman" w:cs="Times New Roman" w:eastAsia="Times New Roman" w:hAnsi="Times New Roman"/>
          <w:sz w:val="16"/>
          <w:szCs w:val="16"/>
          <w:color w:val="auto"/>
        </w:rPr>
        <w:t>Chief Executive Officer</w:t>
      </w:r>
    </w:p>
    <w:p>
      <w:pPr>
        <w:ind w:left="500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George L. Pita,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August 4, 2022</w:t>
      </w:r>
    </w:p>
    <w:p>
      <w:pPr>
        <w:spacing w:after="0" w:line="30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21590</wp:posOffset>
            </wp:positionV>
            <wp:extent cx="27514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George L. Pita</w:t>
      </w:r>
    </w:p>
    <w:p>
      <w:pPr>
        <w:ind w:left="5000"/>
        <w:spacing w:after="0" w:line="211" w:lineRule="auto"/>
        <w:rPr>
          <w:sz w:val="20"/>
          <w:szCs w:val="20"/>
          <w:color w:val="auto"/>
        </w:rPr>
      </w:pPr>
      <w:r>
        <w:rPr>
          <w:rFonts w:ascii="Times New Roman" w:cs="Times New Roman" w:eastAsia="Times New Roman" w:hAnsi="Times New Roman"/>
          <w:sz w:val="16"/>
          <w:szCs w:val="16"/>
          <w:color w:val="auto"/>
        </w:rPr>
        <w:t>Executive Vice President and Chief Financial Officer</w:t>
      </w:r>
    </w:p>
    <w:p>
      <w:pPr>
        <w:ind w:left="500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240"/>
          </w:cols>
          <w:pgMar w:left="320" w:top="89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June 30, 2022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August 4, 2022</w:t>
      </w:r>
    </w:p>
    <w:p>
      <w:pPr>
        <w:spacing w:after="0" w:line="9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21590</wp:posOffset>
            </wp:positionV>
            <wp:extent cx="25031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color w:val="auto"/>
        </w:rPr>
        <w:t>José R. Mas</w:t>
      </w:r>
    </w:p>
    <w:p>
      <w:pPr>
        <w:ind w:left="4720"/>
        <w:spacing w:after="0" w:line="211" w:lineRule="auto"/>
        <w:rPr>
          <w:sz w:val="20"/>
          <w:szCs w:val="20"/>
          <w:color w:val="auto"/>
        </w:rPr>
      </w:pPr>
      <w:r>
        <w:rPr>
          <w:rFonts w:ascii="Times New Roman" w:cs="Times New Roman" w:eastAsia="Times New Roman" w:hAnsi="Times New Roman"/>
          <w:sz w:val="16"/>
          <w:szCs w:val="16"/>
          <w:color w:val="auto"/>
        </w:rPr>
        <w:t>Chief Executive Officer</w:t>
      </w:r>
    </w:p>
    <w:p>
      <w:pPr>
        <w:ind w:left="47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3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June 30, 2022,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June 30, 2022 as filed with the Securities and Exchange Commission on the date hereof (the “Report”), I, George L. Pita, Executive Vice President and Chief Financial Officer of MasTec, Inc.,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August 4, 2022</w:t>
      </w:r>
    </w:p>
    <w:p>
      <w:pPr>
        <w:spacing w:after="0" w:line="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21590</wp:posOffset>
            </wp:positionV>
            <wp:extent cx="30086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George L. Pita</w:t>
      </w:r>
    </w:p>
    <w:p>
      <w:pPr>
        <w:ind w:left="5000"/>
        <w:spacing w:after="0" w:line="211" w:lineRule="auto"/>
        <w:rPr>
          <w:sz w:val="20"/>
          <w:szCs w:val="20"/>
          <w:color w:val="auto"/>
        </w:rPr>
      </w:pPr>
      <w:r>
        <w:rPr>
          <w:rFonts w:ascii="Times New Roman" w:cs="Times New Roman" w:eastAsia="Times New Roman" w:hAnsi="Times New Roman"/>
          <w:sz w:val="16"/>
          <w:szCs w:val="16"/>
          <w:color w:val="auto"/>
        </w:rPr>
        <w:t>Executive Vice President and Chief Financial Officer</w:t>
      </w:r>
    </w:p>
    <w:p>
      <w:pPr>
        <w:ind w:left="500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33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June 30, 2022,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49" w:name="page50"/>
    <w:bookmarkEnd w:id="49"/>
    <w:p>
      <w:pPr>
        <w:ind w:left="10160"/>
        <w:spacing w:after="0"/>
        <w:rPr>
          <w:sz w:val="20"/>
          <w:szCs w:val="20"/>
          <w:color w:val="auto"/>
        </w:rPr>
      </w:pPr>
      <w:r>
        <w:rPr>
          <w:rFonts w:ascii="Times New Roman" w:cs="Times New Roman" w:eastAsia="Times New Roman" w:hAnsi="Times New Roman"/>
          <w:sz w:val="16"/>
          <w:szCs w:val="16"/>
          <w:b w:val="1"/>
          <w:bCs w:val="1"/>
          <w:color w:val="auto"/>
        </w:rPr>
        <w:t>Exhibit 95.1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MINE SAFETY DISCLOSURES</w:t>
      </w:r>
    </w:p>
    <w:p>
      <w:pPr>
        <w:spacing w:after="0" w:line="250"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16"/>
          <w:szCs w:val="16"/>
          <w:color w:val="auto"/>
        </w:rPr>
        <w:t xml:space="preserve">One of our acquired businesses operates aggregate mines that are subject to regulation by the federal Mine Safety and Health Administration (“MSHA”) under the Federal Mine Safety and Health Act of 1977, 30 U.S.C. § 801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(the “Mine Act”). Set forth below is the required information regarding certain mining safety and health matters for the quarter ended June 30, 2022. Citations and orders may be contested and appealed, and in that process, may be reduced in severity and amount, and are sometimes dismissed. The table below includes references to specific sections of the Mine Act.</w:t>
      </w:r>
    </w:p>
    <w:p>
      <w:pPr>
        <w:spacing w:after="0" w:line="80" w:lineRule="exact"/>
        <w:rPr>
          <w:sz w:val="20"/>
          <w:szCs w:val="20"/>
          <w:color w:val="auto"/>
        </w:rPr>
      </w:pPr>
    </w:p>
    <w:p>
      <w:pPr>
        <w:jc w:val="both"/>
        <w:ind w:right="20" w:firstLine="648"/>
        <w:spacing w:after="0" w:line="333" w:lineRule="auto"/>
        <w:rPr>
          <w:sz w:val="20"/>
          <w:szCs w:val="20"/>
          <w:color w:val="auto"/>
        </w:rPr>
      </w:pPr>
      <w:r>
        <w:rPr>
          <w:rFonts w:ascii="Times New Roman" w:cs="Times New Roman" w:eastAsia="Times New Roman" w:hAnsi="Times New Roman"/>
          <w:sz w:val="16"/>
          <w:szCs w:val="16"/>
          <w:color w:val="auto"/>
        </w:rPr>
        <w:t>The information in the table below is presented by mine, consistent with the manner in which we maintain safety and compliance information about our mining operations.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Pending</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104(d)</w:t>
            </w: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104</w:t>
            </w:r>
          </w:p>
        </w:tc>
        <w:tc>
          <w:tcPr>
            <w:tcW w:w="80" w:type="dxa"/>
            <w:vAlign w:val="bottom"/>
          </w:tcPr>
          <w:p>
            <w:pPr>
              <w:spacing w:after="0"/>
              <w:rPr>
                <w:sz w:val="14"/>
                <w:szCs w:val="14"/>
                <w:color w:val="auto"/>
              </w:rPr>
            </w:pPr>
          </w:p>
        </w:tc>
        <w:tc>
          <w:tcPr>
            <w:tcW w:w="10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104(b)</w:t>
            </w:r>
          </w:p>
        </w:tc>
        <w:tc>
          <w:tcPr>
            <w:tcW w:w="10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Citations and</w:t>
            </w:r>
          </w:p>
        </w:tc>
        <w:tc>
          <w:tcPr>
            <w:tcW w:w="11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110(b)(2)</w:t>
            </w:r>
          </w:p>
        </w:tc>
        <w:tc>
          <w:tcPr>
            <w:tcW w:w="10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107(a)</w:t>
            </w:r>
          </w:p>
        </w:tc>
        <w:tc>
          <w:tcPr>
            <w:tcW w:w="138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Legal</w:t>
            </w:r>
          </w:p>
        </w:tc>
        <w:tc>
          <w:tcPr>
            <w:tcW w:w="0" w:type="dxa"/>
            <w:vAlign w:val="bottom"/>
          </w:tcPr>
          <w:p>
            <w:pPr>
              <w:spacing w:after="0"/>
              <w:rPr>
                <w:sz w:val="1"/>
                <w:szCs w:val="1"/>
                <w:color w:val="auto"/>
              </w:rPr>
            </w:pP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Mine Name / ID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Citations</w:t>
            </w:r>
            <w:r>
              <w:rPr>
                <w:rFonts w:ascii="Times New Roman" w:cs="Times New Roman" w:eastAsia="Times New Roman" w:hAnsi="Times New Roman"/>
                <w:sz w:val="21"/>
                <w:szCs w:val="21"/>
                <w:b w:val="1"/>
                <w:bCs w:val="1"/>
                <w:color w:val="auto"/>
                <w:w w:val="96"/>
                <w:vertAlign w:val="superscript"/>
              </w:rPr>
              <w:t>(a)</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Orders</w:t>
            </w:r>
            <w:r>
              <w:rPr>
                <w:rFonts w:ascii="Times New Roman" w:cs="Times New Roman" w:eastAsia="Times New Roman" w:hAnsi="Times New Roman"/>
                <w:sz w:val="21"/>
                <w:szCs w:val="21"/>
                <w:b w:val="1"/>
                <w:bCs w:val="1"/>
                <w:color w:val="auto"/>
                <w:w w:val="93"/>
                <w:vertAlign w:val="superscript"/>
              </w:rPr>
              <w:t>(b)</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Orders</w:t>
            </w:r>
            <w:r>
              <w:rPr>
                <w:rFonts w:ascii="Times New Roman" w:cs="Times New Roman" w:eastAsia="Times New Roman" w:hAnsi="Times New Roman"/>
                <w:sz w:val="21"/>
                <w:szCs w:val="21"/>
                <w:b w:val="1"/>
                <w:bCs w:val="1"/>
                <w:color w:val="auto"/>
                <w:w w:val="96"/>
                <w:vertAlign w:val="superscript"/>
              </w:rPr>
              <w:t>(c)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Violations</w:t>
            </w:r>
            <w:r>
              <w:rPr>
                <w:rFonts w:ascii="Times New Roman" w:cs="Times New Roman" w:eastAsia="Times New Roman" w:hAnsi="Times New Roman"/>
                <w:sz w:val="21"/>
                <w:szCs w:val="21"/>
                <w:b w:val="1"/>
                <w:bCs w:val="1"/>
                <w:color w:val="auto"/>
                <w:w w:val="94"/>
                <w:vertAlign w:val="superscript"/>
              </w:rPr>
              <w:t>(d)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Orders</w:t>
            </w:r>
            <w:r>
              <w:rPr>
                <w:rFonts w:ascii="Times New Roman" w:cs="Times New Roman" w:eastAsia="Times New Roman" w:hAnsi="Times New Roman"/>
                <w:sz w:val="21"/>
                <w:szCs w:val="21"/>
                <w:b w:val="1"/>
                <w:bCs w:val="1"/>
                <w:color w:val="auto"/>
                <w:w w:val="96"/>
                <w:vertAlign w:val="superscript"/>
              </w:rPr>
              <w:t>(e)</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Assessments</w:t>
            </w:r>
            <w:r>
              <w:rPr>
                <w:rFonts w:ascii="Times New Roman" w:cs="Times New Roman" w:eastAsia="Times New Roman" w:hAnsi="Times New Roman"/>
                <w:sz w:val="21"/>
                <w:szCs w:val="21"/>
                <w:b w:val="1"/>
                <w:bCs w:val="1"/>
                <w:color w:val="auto"/>
                <w:w w:val="97"/>
                <w:vertAlign w:val="superscript"/>
              </w:rPr>
              <w:t>(f)</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Fatalities</w:t>
            </w:r>
            <w:r>
              <w:rPr>
                <w:rFonts w:ascii="Times New Roman" w:cs="Times New Roman" w:eastAsia="Times New Roman" w:hAnsi="Times New Roman"/>
                <w:sz w:val="21"/>
                <w:szCs w:val="21"/>
                <w:b w:val="1"/>
                <w:bCs w:val="1"/>
                <w:color w:val="auto"/>
                <w:w w:val="95"/>
                <w:vertAlign w:val="superscript"/>
              </w:rPr>
              <w:t>(g)</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Action</w:t>
            </w:r>
            <w:r>
              <w:rPr>
                <w:rFonts w:ascii="Times New Roman" w:cs="Times New Roman" w:eastAsia="Times New Roman" w:hAnsi="Times New Roman"/>
                <w:sz w:val="21"/>
                <w:szCs w:val="21"/>
                <w:b w:val="1"/>
                <w:bCs w:val="1"/>
                <w:color w:val="auto"/>
                <w:w w:val="92"/>
                <w:vertAlign w:val="superscript"/>
              </w:rPr>
              <w:t>(h)</w:t>
            </w:r>
          </w:p>
        </w:tc>
        <w:tc>
          <w:tcPr>
            <w:tcW w:w="0" w:type="dxa"/>
            <w:vAlign w:val="bottom"/>
          </w:tcPr>
          <w:p>
            <w:pPr>
              <w:spacing w:after="0"/>
              <w:rPr>
                <w:sz w:val="1"/>
                <w:szCs w:val="1"/>
                <w:color w:val="auto"/>
              </w:rPr>
            </w:pPr>
          </w:p>
        </w:tc>
      </w:tr>
      <w:tr>
        <w:trPr>
          <w:trHeight w:val="209"/>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1 / 02-03091</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2 / 02-02622</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3 / 02-02774</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4 / 02-03036</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5 / 29-02226</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6 / 02-02589</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7 / 02-03079</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8 / 02-03035</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hanging="252"/>
        <w:spacing w:after="0" w:line="291" w:lineRule="auto"/>
        <w:tabs>
          <w:tab w:leader="none" w:pos="35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w:t>
      </w:r>
    </w:p>
    <w:p>
      <w:pPr>
        <w:spacing w:after="0" w:line="4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for unwarrantable failure of the mine operator to comply with mandatory health or safety standards under Section 104(d) of the Mine Act.</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under Section 110(b)(2) of the Mine Act.</w:t>
      </w:r>
    </w:p>
    <w:p>
      <w:pPr>
        <w:spacing w:after="0" w:line="4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imminent danger orders issued under Section 107(a) of the Mine Act.</w:t>
      </w:r>
    </w:p>
    <w:p>
      <w:pPr>
        <w:spacing w:after="0" w:line="4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dollar value of proposed assessments from the MSHA under the Mine Act.</w:t>
      </w:r>
    </w:p>
    <w:p>
      <w:pPr>
        <w:spacing w:after="0" w:line="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mining-related fatalities.</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pending legal action before the Federal Mine Safety and Health Review Commission involving the applicable mine(s).</w:t>
      </w:r>
    </w:p>
    <w:p>
      <w:pPr>
        <w:spacing w:after="0" w:line="212"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6"/>
          <w:szCs w:val="16"/>
          <w:color w:val="auto"/>
        </w:rPr>
        <w:t>During the quarter ended June 30, 2022,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sectPr>
      <w:pgSz w:w="11900" w:h="16838" w:orient="portrait"/>
      <w:cols w:equalWidth="0" w:num="1">
        <w:col w:w="11240"/>
      </w:cols>
      <w:pgMar w:left="320" w:top="9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Roman"/>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Roman"/>
      <w:start w:val="3"/>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56" Type="http://schemas.openxmlformats.org/officeDocument/2006/relationships/hyperlink" Target="https://www.sec.gov/Archives/edgar/data/1652362/000110465922082260/tm2221705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2022-08-04T16:50:10Z</dcterms:created>
  <dcterms:modified xsi:type="dcterms:W3CDTF">2022-08-04T16:50:10Z</dcterms:modified>
</cp:coreProperties>
</file>